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GAB</w:t>
      </w:r>
    </w:p>
    <w:p>
      <w:r>
        <w:rPr>
          <w:b/>
        </w:rPr>
        <w:t xml:space="preserve">Unidade: </w:t>
      </w:r>
      <w:r>
        <w:t>GAB — Gabinete do Procurador-Geral do Estado</w:t>
        <w:br/>
      </w:r>
      <w:r>
        <w:rPr>
          <w:b/>
        </w:rPr>
        <w:t xml:space="preserve">Chefia / Interlocutor(a): </w:t>
      </w:r>
      <w:r>
        <w:t>Márcia Fernanda Bastos (Chefe de Gabinete)</w:t>
        <w:br/>
      </w:r>
      <w:r>
        <w:rPr>
          <w:b/>
        </w:rPr>
        <w:t xml:space="preserve">Processo SEI: </w:t>
      </w:r>
      <w:r>
        <w:t xml:space="preserve">2026.11103.07184 | </w:t>
      </w:r>
      <w:r>
        <w:rPr>
          <w:b/>
        </w:rPr>
        <w:t xml:space="preserve">Status: </w:t>
      </w:r>
      <w:r>
        <w:t>Reunião Realizada</w:t>
        <w:br/>
      </w:r>
      <w:r>
        <w:rPr>
          <w:b/>
        </w:rPr>
        <w:t xml:space="preserve">KRs Vinculados: </w:t>
      </w:r>
      <w:r>
        <w:t>E5.O5.KR1, E5.O5.KR3, E5.O7.KR1, E5.O7.KR2, E6.O1.KR1, E6.O2.KR1, E7.O3.KR1, E8.O1.KR2, E9.O2.KR1 (11 ações)</w:t>
        <w:br/>
      </w:r>
      <w:r>
        <w:rPr>
          <w:b/>
        </w:rPr>
        <w:t xml:space="preserve">Síntese das Deliberações: </w:t>
      </w:r>
      <w:r>
        <w:t>Coordenação institucional superior, edição de portarias normativas (prazos consultivos, fluxo ASCOM, governança de dados) e articulação estratégica de alto nível.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Implementar Painel de Controle de prazos de processos administrativos em tramitação na PGE via SEI</w:t>
            </w:r>
          </w:p>
        </w:tc>
        <w:tc>
          <w:tcPr>
            <w:tcW w:type="dxa" w:w="1440"/>
          </w:tcPr>
          <w:p>
            <w:r>
              <w:t>Monitorar quantitativamente os processos pendentes de providência por especializada, identificando gargalos e atrasos de fluxo de forma automatizada e visual.</w:t>
            </w:r>
          </w:p>
        </w:tc>
        <w:tc>
          <w:tcPr>
            <w:tcW w:type="dxa" w:w="1440"/>
          </w:tcPr>
          <w:p>
            <w:r>
              <w:t>Chefia de Gabinete e Assessoria (Desenvolvimento/Painel: Assessoria em TIC da PGAAE / INOVA; Suporte de Infraestrutura: SI)</w:t>
            </w:r>
          </w:p>
        </w:tc>
        <w:tc>
          <w:tcPr>
            <w:tcW w:type="dxa" w:w="1440"/>
          </w:tcPr>
          <w:p>
            <w:r>
              <w:t>120 dias e monitoramento contínuo</w:t>
            </w:r>
          </w:p>
        </w:tc>
      </w:tr>
      <w:tr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sistemática de mensuração de produtividade setorial do Gabinete</w:t>
            </w:r>
          </w:p>
        </w:tc>
        <w:tc>
          <w:tcPr>
            <w:tcW w:type="dxa" w:w="1440"/>
          </w:tcPr>
          <w:p>
            <w:r>
              <w:t>Definir e disponibilizar modelos padronizados de manifestações, despachos e portarias para uniformização, celeridade e eliminação de retrabalho documental.</w:t>
            </w:r>
          </w:p>
        </w:tc>
        <w:tc>
          <w:tcPr>
            <w:tcW w:type="dxa" w:w="1440"/>
          </w:tcPr>
          <w:p>
            <w:r>
              <w:t>Chefia de Gabinete e Assessoria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Revisar e desregulamentar fluxos burocráticos de mero expediente entre Gabinete e Especializadas</w:t>
            </w:r>
          </w:p>
        </w:tc>
        <w:tc>
          <w:tcPr>
            <w:tcW w:type="dxa" w:w="1440"/>
          </w:tcPr>
          <w:p>
            <w:r>
              <w:t>Mapear e instituir delegações formais de competência e fluxos diretos de tramitação para expedientes de rotina, desonerando o Gabinete para matérias estritamente decisórias.</w:t>
            </w:r>
          </w:p>
        </w:tc>
        <w:tc>
          <w:tcPr>
            <w:tcW w:type="dxa" w:w="1440"/>
          </w:tcPr>
          <w:p>
            <w:r>
              <w:t>Chefia de Gabinete e Subprocuradoria-Geral Adjunta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Planejar e formalizar os atos de nomeação e posse dos novos servidores concursados</w:t>
            </w:r>
          </w:p>
        </w:tc>
        <w:tc>
          <w:tcPr>
            <w:tcW w:type="dxa" w:w="1440"/>
          </w:tcPr>
          <w:p>
            <w:r>
              <w:t>Coordenar cronograma integrado de nomeações junto à Subprocuradoria-Geral Adjunta e SGRH, acompanhando publicação oficial, posse e lotação nas unidades estratégicas da PGE.</w:t>
            </w:r>
          </w:p>
        </w:tc>
        <w:tc>
          <w:tcPr>
            <w:tcW w:type="dxa" w:w="1440"/>
          </w:tcPr>
          <w:p>
            <w:r>
              <w:t>Líder: Gabinete do Procurador-Geral;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Conforme cronograma do concurso até 2028</w:t>
            </w:r>
          </w:p>
        </w:tc>
      </w:tr>
      <w:tr>
        <w:tc>
          <w:tcPr>
            <w:tcW w:type="dxa" w:w="1440"/>
          </w:tcPr>
          <w:p>
            <w:r>
              <w:t>E5.O7.KR2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Adotar providências institucionais e atos executivos para nomeação e posse de Procuradores do Estado</w:t>
            </w:r>
          </w:p>
        </w:tc>
        <w:tc>
          <w:tcPr>
            <w:tcW w:type="dxa" w:w="1440"/>
          </w:tcPr>
          <w:p>
            <w:r>
              <w:t>Articular com o Conselho Superior da PGE-MA e Casa Civil a formalização dos decretos de nomeação e posse dos novos membros da carreira, recompondo o quadro das especializadas e regionais.</w:t>
            </w:r>
          </w:p>
        </w:tc>
        <w:tc>
          <w:tcPr>
            <w:tcW w:type="dxa" w:w="1440"/>
          </w:tcPr>
          <w:p>
            <w:r>
              <w:t>Chefia de Gabinete, Conselho Superior e Subprocuradoria-Geral Adjunta</w:t>
            </w:r>
          </w:p>
        </w:tc>
        <w:tc>
          <w:tcPr>
            <w:tcW w:type="dxa" w:w="1440"/>
          </w:tcPr>
          <w:p>
            <w:r>
              <w:t>Conforme cronograma homologado até 2028</w:t>
            </w:r>
          </w:p>
        </w:tc>
      </w:tr>
      <w:tr>
        <w:tc>
          <w:tcPr>
            <w:tcW w:type="dxa" w:w="1440"/>
          </w:tcPr>
          <w:p>
            <w:r>
              <w:t>E6.O1.KR1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Fornecer subsídios estratégicos e divulgar atos e conquistas relevantes do Gabinete para cobertura institucional</w:t>
            </w:r>
          </w:p>
        </w:tc>
        <w:tc>
          <w:tcPr>
            <w:tcW w:type="dxa" w:w="1440"/>
          </w:tcPr>
          <w:p>
            <w:r>
              <w:t>Estabelecer canal direto e rotina semanal de repasse de pautas entre a Chefia de Gabinete e a ASCOM para publicizar acordos, audiências, representações institucionais e atos de gestão.</w:t>
            </w:r>
          </w:p>
        </w:tc>
        <w:tc>
          <w:tcPr>
            <w:tcW w:type="dxa" w:w="1440"/>
          </w:tcPr>
          <w:p>
            <w:r>
              <w:t>Chefia de Gabinete e Assessoria de Comunicação (ASCOM)</w:t>
            </w:r>
          </w:p>
        </w:tc>
        <w:tc>
          <w:tcPr>
            <w:tcW w:type="dxa" w:w="1440"/>
          </w:tcPr>
          <w:p>
            <w:r>
              <w:t>Contínuo</w:t>
            </w:r>
          </w:p>
        </w:tc>
      </w:tr>
      <w:tr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Prospectar e formalizar termos de cooperação, convênios e projetos institucionais de alto impacto</w:t>
            </w:r>
          </w:p>
        </w:tc>
        <w:tc>
          <w:tcPr>
            <w:tcW w:type="dxa" w:w="1440"/>
          </w:tcPr>
          <w:p>
            <w:r>
              <w:t>Estruturar e gerenciar carteira executiva de acordos com órgãos públicos estaduais e federais, universidades, institutos e Fóruns da Advocacia Pública (CONPEG/FONACE) para intercâmbio técnico e soluções conjuntas.</w:t>
            </w:r>
          </w:p>
        </w:tc>
        <w:tc>
          <w:tcPr>
            <w:tcW w:type="dxa" w:w="1440"/>
          </w:tcPr>
          <w:p>
            <w:r>
              <w:t>Gabinete do Procurador-Geral, ESAP, PGAAE e Procuradoria de Brasília</w:t>
            </w:r>
          </w:p>
        </w:tc>
        <w:tc>
          <w:tcPr>
            <w:tcW w:type="dxa" w:w="1440"/>
          </w:tcPr>
          <w:p>
            <w:r>
              <w:t>180 dias e contínuo até 2030</w:t>
            </w:r>
          </w:p>
        </w:tc>
      </w:tr>
      <w:tr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Liderar programa de benchmarking e missões de cooperação entre Procuradorias-Gerais de Estado</w:t>
            </w:r>
          </w:p>
        </w:tc>
        <w:tc>
          <w:tcPr>
            <w:tcW w:type="dxa" w:w="1440"/>
          </w:tcPr>
          <w:p>
            <w:r>
              <w:t>Articular intercâmbio de experiências exitosas com outras PGEs, identificando boas práticas replicáveis em governança, transformação digital, conciliação e gestão do contencioso.</w:t>
            </w:r>
          </w:p>
        </w:tc>
        <w:tc>
          <w:tcPr>
            <w:tcW w:type="dxa" w:w="1440"/>
          </w:tcPr>
          <w:p>
            <w:r>
              <w:t>Gabinete do Procurador-Geral e ESAP</w:t>
            </w:r>
          </w:p>
        </w:tc>
        <w:tc>
          <w:tcPr>
            <w:tcW w:type="dxa" w:w="1440"/>
          </w:tcPr>
          <w:p>
            <w:r>
              <w:t>Anual até 2030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Exercer o patrocínio executivo e acompanhamento de marcos decisórios dos projetos estratégicos de inovação</w:t>
            </w:r>
          </w:p>
        </w:tc>
        <w:tc>
          <w:tcPr>
            <w:tcW w:type="dxa" w:w="1440"/>
          </w:tcPr>
          <w:p>
            <w:r>
              <w:t>Conduzir reuniões semestrais de governança com a Assessoria em TIC da PGAAE / INOVA, ESAP e PGAAE para avaliar entregas, mitigar entraves institucionais e assegurar investimento nas plataformas tecnológicas da PGE.</w:t>
            </w:r>
          </w:p>
        </w:tc>
        <w:tc>
          <w:tcPr>
            <w:tcW w:type="dxa" w:w="1440"/>
          </w:tcPr>
          <w:p>
            <w:r>
              <w:t>Gabinete do Procurador-Geral, Assessoria em TIC da PGAAE / INOVA, ESAP e PGAAE</w:t>
            </w:r>
          </w:p>
        </w:tc>
        <w:tc>
          <w:tcPr>
            <w:tcW w:type="dxa" w:w="1440"/>
          </w:tcPr>
          <w:p>
            <w:r>
              <w:t>Semestral contínuo até 2030</w:t>
            </w:r>
          </w:p>
        </w:tc>
      </w:tr>
      <w:tr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Adotar diretrizes institucionais de equidade e diversidade na designação de cargos e funções de liderança</w:t>
            </w:r>
          </w:p>
        </w:tc>
        <w:tc>
          <w:tcPr>
            <w:tcW w:type="dxa" w:w="1440"/>
          </w:tcPr>
          <w:p>
            <w:r>
              <w:t>Monitorar junto ao Comitê de Equidade e SGRH a composição funcional da PGE, promovendo critérios transparentes e de estímulo à participação de grupos sub-representados em posições decisórias.</w:t>
            </w:r>
          </w:p>
        </w:tc>
        <w:tc>
          <w:tcPr>
            <w:tcW w:type="dxa" w:w="1440"/>
          </w:tcPr>
          <w:p>
            <w:r>
              <w:t>Líder: Gabinete do Procurador-Geral;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Revisão anual até 2028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governança pública, gestão estratégica, assessoramento executivo, cerimonial institucional e tramitação avançada no SEI),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Gabinete do Procurador-Geral;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</w:tbl>
    <w:p>
      <w:pPr>
        <w:pStyle w:val="Heading2"/>
      </w:pPr>
      <w:r>
        <w:t>2. Demandas Externas Recebidas por GAB (18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ASCOM</w:t>
            </w:r>
          </w:p>
        </w:tc>
        <w:tc>
          <w:tcPr>
            <w:tcW w:type="dxa" w:w="2160"/>
          </w:tcPr>
          <w:p>
            <w:r>
              <w:t>E6.O1.KR1</w:t>
            </w:r>
          </w:p>
        </w:tc>
        <w:tc>
          <w:tcPr>
            <w:tcW w:type="dxa" w:w="2160"/>
          </w:tcPr>
          <w:p>
            <w:r>
              <w:t>Propor ato normativo disciplinando o fluxo de captação tempestiva de êxitos processuais</w:t>
            </w:r>
          </w:p>
        </w:tc>
        <w:tc>
          <w:tcPr>
            <w:tcW w:type="dxa" w:w="2160"/>
          </w:tcPr>
          <w:p>
            <w:r>
              <w:t>Líder: Assessoria de Comunicação (ASCOM); Coexecutores: Gabinete do Procurador-Geral, Chefias das Procuradorias Especializadas, Subprocuradoria-Geral Adjunta para Assuntos Judiciais (PGAAJ), Subprocuradoria-Geral Adjunta (SGA)</w:t>
            </w:r>
          </w:p>
        </w:tc>
      </w:tr>
      <w:tr>
        <w:tc>
          <w:tcPr>
            <w:tcW w:type="dxa" w:w="2160"/>
          </w:tcPr>
          <w:p>
            <w:r>
              <w:t>ASCOM</w:t>
            </w:r>
          </w:p>
        </w:tc>
        <w:tc>
          <w:tcPr>
            <w:tcW w:type="dxa" w:w="2160"/>
          </w:tcPr>
          <w:p>
            <w:r>
              <w:t>E6.O1.KR1</w:t>
            </w:r>
          </w:p>
        </w:tc>
        <w:tc>
          <w:tcPr>
            <w:tcW w:type="dxa" w:w="2160"/>
          </w:tcPr>
          <w:p>
            <w:r>
              <w:t>Planejar e executar a comunicação e a cobertura jornalística dos eventos estratégicos da PGE-MA</w:t>
            </w:r>
          </w:p>
        </w:tc>
        <w:tc>
          <w:tcPr>
            <w:tcW w:type="dxa" w:w="2160"/>
          </w:tcPr>
          <w:p>
            <w:r>
              <w:t>Líder: Assessoria de Comunicação (ASCOM - Comunicação e Cobertura); Coexecutores: Escola Superior da Advocacia Pública (ESAP - Coordenação Geral), Gabinete do Procurador-Geral, Comissões Organizadoras</w:t>
            </w:r>
          </w:p>
        </w:tc>
      </w:tr>
      <w:tr>
        <w:tc>
          <w:tcPr>
            <w:tcW w:type="dxa" w:w="2160"/>
          </w:tcPr>
          <w:p>
            <w:r>
              <w:t>ASCOM</w:t>
            </w:r>
          </w:p>
        </w:tc>
        <w:tc>
          <w:tcPr>
            <w:tcW w:type="dxa" w:w="2160"/>
          </w:tcPr>
          <w:p>
            <w:r>
              <w:t>E6.O1.KR1</w:t>
            </w:r>
          </w:p>
        </w:tc>
        <w:tc>
          <w:tcPr>
            <w:tcW w:type="dxa" w:w="2160"/>
          </w:tcPr>
          <w:p>
            <w:r>
              <w:t>Instituir fluxo institucional para solicitação de apoio e cobertura de comunicação</w:t>
            </w:r>
          </w:p>
        </w:tc>
        <w:tc>
          <w:tcPr>
            <w:tcW w:type="dxa" w:w="2160"/>
          </w:tcPr>
          <w:p>
            <w:r>
              <w:t>Líder: Assessoria de Comunicação (ASCOM); Coexecutores: Gabinete do Procurador-Geral, Chefias de todas as Unidades, ESAP</w:t>
            </w:r>
          </w:p>
        </w:tc>
      </w:tr>
      <w:tr>
        <w:tc>
          <w:tcPr>
            <w:tcW w:type="dxa" w:w="2160"/>
          </w:tcPr>
          <w:p>
            <w:r>
              <w:t>ASJUR</w:t>
            </w:r>
          </w:p>
        </w:tc>
        <w:tc>
          <w:tcPr>
            <w:tcW w:type="dxa" w:w="2160"/>
          </w:tcPr>
          <w:p>
            <w:r>
              <w:t>E6.O1.KR2</w:t>
            </w:r>
          </w:p>
        </w:tc>
        <w:tc>
          <w:tcPr>
            <w:tcW w:type="dxa" w:w="2160"/>
          </w:tcPr>
          <w:p>
            <w:r>
              <w:t>Alimentação sistemática da ASCOM com pareceres referenciais, minutas-padrão e marcos normativos relevantes</w:t>
            </w:r>
          </w:p>
        </w:tc>
        <w:tc>
          <w:tcPr>
            <w:tcW w:type="dxa" w:w="2160"/>
          </w:tcPr>
          <w:p>
            <w:r>
              <w:t>Líder: Assessoria Jurídica / Consultoria-Geral; Coexecutores: Assessoria de Comunicação (ASCOM), Gabinete do Procurador-Geral</w:t>
            </w:r>
          </w:p>
        </w:tc>
      </w:tr>
      <w:tr>
        <w:tc>
          <w:tcPr>
            <w:tcW w:type="dxa" w:w="2160"/>
          </w:tcPr>
          <w:p>
            <w:r>
              <w:t>OUV</w:t>
            </w:r>
          </w:p>
        </w:tc>
        <w:tc>
          <w:tcPr>
            <w:tcW w:type="dxa" w:w="2160"/>
          </w:tcPr>
          <w:p>
            <w:r>
              <w:t>E4.O1.KR3</w:t>
            </w:r>
          </w:p>
        </w:tc>
        <w:tc>
          <w:tcPr>
            <w:tcW w:type="dxa" w:w="2160"/>
          </w:tcPr>
          <w:p>
            <w:r>
              <w:t>Propor fluxo interno institucionalmente validado para encaminhamento e prazos setoriais</w:t>
            </w:r>
          </w:p>
        </w:tc>
        <w:tc>
          <w:tcPr>
            <w:tcW w:type="dxa" w:w="2160"/>
          </w:tcPr>
          <w:p>
            <w:r>
              <w:t>Líder: Ouvidoria; Coexecutores: Gabinete do Procurador-Geral, Chefias de todas as Unidades</w:t>
            </w:r>
          </w:p>
        </w:tc>
      </w:tr>
      <w:tr>
        <w:tc>
          <w:tcPr>
            <w:tcW w:type="dxa" w:w="2160"/>
          </w:tcPr>
          <w:p>
            <w:r>
              <w:t>OUV</w:t>
            </w:r>
          </w:p>
        </w:tc>
        <w:tc>
          <w:tcPr>
            <w:tcW w:type="dxa" w:w="2160"/>
          </w:tcPr>
          <w:p>
            <w:r>
              <w:t>E8.O2.KR1</w:t>
            </w:r>
          </w:p>
        </w:tc>
        <w:tc>
          <w:tcPr>
            <w:tcW w:type="dxa" w:w="2160"/>
          </w:tcPr>
          <w:p>
            <w:r>
              <w:t>Contribuir para a elaboração do Manual de Boas Práticas e Integridade da PGE-MA</w:t>
            </w:r>
          </w:p>
        </w:tc>
        <w:tc>
          <w:tcPr>
            <w:tcW w:type="dxa" w:w="2160"/>
          </w:tcPr>
          <w:p>
            <w:r>
              <w:t>Líder: Ouvidoria; Coexecutores: Corregedoria-Geral, Comitê de Equidade, ESAP, Gabinete do Procurador-Geral</w:t>
            </w:r>
          </w:p>
        </w:tc>
      </w:tr>
      <w:tr>
        <w:tc>
          <w:tcPr>
            <w:tcW w:type="dxa" w:w="2160"/>
          </w:tcPr>
          <w:p>
            <w:r>
              <w:t>PB</w:t>
            </w:r>
          </w:p>
        </w:tc>
        <w:tc>
          <w:tcPr>
            <w:tcW w:type="dxa" w:w="2160"/>
          </w:tcPr>
          <w:p>
            <w:r>
              <w:t>E6.O2.KR1</w:t>
            </w:r>
          </w:p>
        </w:tc>
        <w:tc>
          <w:tcPr>
            <w:tcW w:type="dxa" w:w="2160"/>
          </w:tcPr>
          <w:p>
            <w:r>
              <w:t>Integrar fóruns de cooperação técnica e benchmarking com Procuradorias dos Estados em Brasília</w:t>
            </w:r>
          </w:p>
        </w:tc>
        <w:tc>
          <w:tcPr>
            <w:tcW w:type="dxa" w:w="2160"/>
          </w:tcPr>
          <w:p>
            <w:r>
              <w:t>Líder: Procuradoria de Brasília; Coexecutores: Gabinete do Procurador-Geral, ESAP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Realizar audiências e despachos qualificados com magistrados em causas tributárias de grande impacto</w:t>
            </w:r>
          </w:p>
        </w:tc>
        <w:tc>
          <w:tcPr>
            <w:tcW w:type="dxa" w:w="2160"/>
          </w:tcPr>
          <w:p>
            <w:r>
              <w:t>Líder: Procuradoria do Contencioso Fiscal; Coexecutores: PGAAJ, Gabinete PGE</w:t>
            </w:r>
          </w:p>
        </w:tc>
      </w:tr>
      <w:tr>
        <w:tc>
          <w:tcPr>
            <w:tcW w:type="dxa" w:w="2160"/>
          </w:tcPr>
          <w:p>
            <w:r>
              <w:t>PEDU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Propor via de solução consensual para teses pacificadas contra o Estado</w:t>
            </w:r>
          </w:p>
        </w:tc>
        <w:tc>
          <w:tcPr>
            <w:tcW w:type="dxa" w:w="2160"/>
          </w:tcPr>
          <w:p>
            <w:r>
              <w:t>Líder: Procurador-Chefe (interlocução com PGAAE e Gabinete). Coexecutores: assessores</w:t>
            </w:r>
          </w:p>
        </w:tc>
      </w:tr>
      <w:tr>
        <w:tc>
          <w:tcPr>
            <w:tcW w:type="dxa" w:w="2160"/>
          </w:tcPr>
          <w:p>
            <w:r>
              <w:t>PGARI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Articular a instituição de Programa Permanente de Captação de Recursos Externos</w:t>
            </w:r>
          </w:p>
        </w:tc>
        <w:tc>
          <w:tcPr>
            <w:tcW w:type="dxa" w:w="2160"/>
          </w:tcPr>
          <w:p>
            <w:r>
              <w:t>Articulador: PGARI; Coexecutores: PGAAE, Procuradoria de Brasília, Gabinete</w:t>
            </w:r>
          </w:p>
        </w:tc>
      </w:tr>
      <w:tr>
        <w:tc>
          <w:tcPr>
            <w:tcW w:type="dxa" w:w="2160"/>
          </w:tcPr>
          <w:p>
            <w:r>
              <w:t>PGARI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Prospectar parcerias estratégicas junto a organismos multilaterais e instituições de fomento</w:t>
            </w:r>
          </w:p>
        </w:tc>
        <w:tc>
          <w:tcPr>
            <w:tcW w:type="dxa" w:w="2160"/>
          </w:tcPr>
          <w:p>
            <w:r>
              <w:t>Articulador: PGARI; Coexecutores: PGAAE, ESAP, Gabinete</w:t>
            </w:r>
          </w:p>
        </w:tc>
      </w:tr>
      <w:tr>
        <w:tc>
          <w:tcPr>
            <w:tcW w:type="dxa" w:w="2160"/>
          </w:tcPr>
          <w:p>
            <w:r>
              <w:t>PGARI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Articular diretrizes institucionais para captação de emendas parlamentares</w:t>
            </w:r>
          </w:p>
        </w:tc>
        <w:tc>
          <w:tcPr>
            <w:tcW w:type="dxa" w:w="2160"/>
          </w:tcPr>
          <w:p>
            <w:r>
              <w:t>Articulador: PGARI; Coexecutores: Gabinete, PGAAE, PGA</w:t>
            </w:r>
          </w:p>
        </w:tc>
      </w:tr>
      <w:tr>
        <w:tc>
          <w:tcPr>
            <w:tcW w:type="dxa" w:w="2160"/>
          </w:tcPr>
          <w:p>
            <w:r>
              <w:t>PGARI</w:t>
            </w:r>
          </w:p>
        </w:tc>
        <w:tc>
          <w:tcPr>
            <w:tcW w:type="dxa" w:w="2160"/>
          </w:tcPr>
          <w:p>
            <w:r>
              <w:t>E5.O4.KR1</w:t>
            </w:r>
          </w:p>
        </w:tc>
        <w:tc>
          <w:tcPr>
            <w:tcW w:type="dxa" w:w="2160"/>
          </w:tcPr>
          <w:p>
            <w:r>
              <w:t>Vincular o monitoramento normativo prévio ao Comitê de Riscos Institucionais e CPARI</w:t>
            </w:r>
          </w:p>
        </w:tc>
        <w:tc>
          <w:tcPr>
            <w:tcW w:type="dxa" w:w="2160"/>
          </w:tcPr>
          <w:p>
            <w:r>
              <w:t>Articulador: PGARI; Execução Técnico-Jurídica: Assessoria Jurídica (ASJUR); Coexecutores: CPARI, Gabinete</w:t>
            </w:r>
          </w:p>
        </w:tc>
      </w:tr>
      <w:tr>
        <w:tc>
          <w:tcPr>
            <w:tcW w:type="dxa" w:w="2160"/>
          </w:tcPr>
          <w:p>
            <w:r>
              <w:t>PGARI</w:t>
            </w:r>
          </w:p>
        </w:tc>
        <w:tc>
          <w:tcPr>
            <w:tcW w:type="dxa" w:w="2160"/>
          </w:tcPr>
          <w:p>
            <w:r>
              <w:t>E5.O4.KR1</w:t>
            </w:r>
          </w:p>
        </w:tc>
        <w:tc>
          <w:tcPr>
            <w:tcW w:type="dxa" w:w="2160"/>
          </w:tcPr>
          <w:p>
            <w:r>
              <w:t>Instituir protocolo de alerta institucional para projetos normativos de alto impacto financeiro ou regulatório</w:t>
            </w:r>
          </w:p>
        </w:tc>
        <w:tc>
          <w:tcPr>
            <w:tcW w:type="dxa" w:w="2160"/>
          </w:tcPr>
          <w:p>
            <w:r>
              <w:t>Articulador: PGARI; Execução Técnico-Jurídica: Assessoria Jurídica (ASJUR); Coexecutores: CPARI, Gabinete</w:t>
            </w:r>
          </w:p>
        </w:tc>
      </w:tr>
      <w:tr>
        <w:tc>
          <w:tcPr>
            <w:tcW w:type="dxa" w:w="2160"/>
          </w:tcPr>
          <w:p>
            <w:r>
              <w:t>PJ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Instituir escala de despachos de memoriais e sustentações orais nas Câmaras do TJMA e TRF1</w:t>
            </w:r>
          </w:p>
        </w:tc>
        <w:tc>
          <w:tcPr>
            <w:tcW w:type="dxa" w:w="2160"/>
          </w:tcPr>
          <w:p>
            <w:r>
              <w:t>Líder: Procuradoria Judicial; Coexecutores: Subprocuradoria-Geral Adjunta, Gabinete PGE</w:t>
            </w:r>
          </w:p>
        </w:tc>
      </w:tr>
      <w:tr>
        <w:tc>
          <w:tcPr>
            <w:tcW w:type="dxa" w:w="2160"/>
          </w:tcPr>
          <w:p>
            <w:r>
              <w:t>PJEFP</w:t>
            </w:r>
          </w:p>
        </w:tc>
        <w:tc>
          <w:tcPr>
            <w:tcW w:type="dxa" w:w="2160"/>
          </w:tcPr>
          <w:p>
            <w:r>
              <w:t>E5.O3.KR2</w:t>
            </w:r>
          </w:p>
        </w:tc>
        <w:tc>
          <w:tcPr>
            <w:tcW w:type="dxa" w:w="2160"/>
          </w:tcPr>
          <w:p>
            <w:r>
              <w:t>Elaborar e submeter proposta de regulamentação para celebração de acordos e transações no âmbito dos Juizados da Fazenda Pública</w:t>
            </w:r>
          </w:p>
        </w:tc>
        <w:tc>
          <w:tcPr>
            <w:tcW w:type="dxa" w:w="2160"/>
          </w:tcPr>
          <w:p>
            <w:r>
              <w:t>Líder: Procuradoria dos Juizados Especiais da Fazenda Pública; Coexecutores: CPARI, PGAAJ, Gabinete do Procurador-Geral, Subprocuradoria-Geral Adjunta</w:t>
            </w:r>
          </w:p>
        </w:tc>
      </w:tr>
      <w:tr>
        <w:tc>
          <w:tcPr>
            <w:tcW w:type="dxa" w:w="2160"/>
          </w:tcPr>
          <w:p>
            <w:r>
              <w:t>PSAU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Instituir protocolo de atuação qualificada com memoriais técnicos e sustentações orais nas Câmaras Cíveis do TJMA e TRF1</w:t>
            </w:r>
          </w:p>
        </w:tc>
        <w:tc>
          <w:tcPr>
            <w:tcW w:type="dxa" w:w="2160"/>
          </w:tcPr>
          <w:p>
            <w:r>
              <w:t>Líder: Procuradoria da Saúde; Coexecutores: Subprocuradoria-Geral Adjunta, Gabinete do Procurador-Geral</w:t>
            </w:r>
          </w:p>
        </w:tc>
      </w:tr>
      <w:tr>
        <w:tc>
          <w:tcPr>
            <w:tcW w:type="dxa" w:w="2160"/>
          </w:tcPr>
          <w:p>
            <w:r>
              <w:t>SI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Dar suporte de infraestrutura e sustentação técnica à carteira de projetos de inovação da PGE</w:t>
            </w:r>
          </w:p>
        </w:tc>
        <w:tc>
          <w:tcPr>
            <w:tcW w:type="dxa" w:w="2160"/>
          </w:tcPr>
          <w:p>
            <w:r>
              <w:t>Líder: Assessoria em TIC da PGAAE / INOVA; Coexecutores: ESAP, PGAAE, Gabinete do Procurador-Geral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Gabinete do Procurador-Geral do Estado (GAB),</w:t>
        <w:br/>
        <w:br/>
        <w:t>No âmbito da consolidação do Planejamento Estratégico 2027–2030 da PGE-MA (Processo SEI: 2026.11103.07184), e em conformidade com o alinhamento técnico realizado com a unidade (Márcia Fernanda Bastos (Chefe de Gabinete)), a Assessoria de Planejamento e Gestão Estratégica acosta aos presentes autos a versão consolidada e saneada do Plano de Ação Setorial (Plano_Acao_Pos_Comparacao_GAB.xlsx, contemplando 11 ações estratégicas vinculadas aos resultados-chave E5.O5.KR1, E5.O5.KR3, E5.O7.KR1, E5.O7.KR2, E6.O1.KR1, E6.O2.KR1, E7.O3.KR1, E8.O1.KR2, E9.O2.KR1).</w:t>
        <w:br/>
        <w:br/>
        <w:t>Destaques técnicos consolidados: Coordenação institucional superior, edição de portarias normativas (prazos consultivos, fluxo ASCOM, governança de dados) e articulação estratégica de alto nível.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