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NCIA</w:t>
      </w:r>
    </w:p>
    <w:p>
      <w:r>
        <w:rPr>
          <w:b/>
        </w:rPr>
        <w:t xml:space="preserve">Unidade: </w:t>
      </w:r>
      <w:r>
        <w:t>NCIA — Núcleo de Combate à Improbidade Administrativa</w:t>
        <w:br/>
      </w:r>
      <w:r>
        <w:rPr>
          <w:b/>
        </w:rPr>
        <w:t xml:space="preserve">Chefia / Interlocutor(a): </w:t>
      </w:r>
      <w:r>
        <w:t>Dr. Francisco Beolândio</w:t>
        <w:br/>
      </w:r>
      <w:r>
        <w:rPr>
          <w:b/>
        </w:rPr>
        <w:t xml:space="preserve">Processo SEI: </w:t>
      </w:r>
      <w:r>
        <w:t xml:space="preserve">Verificar SEI | </w:t>
      </w:r>
      <w:r>
        <w:rPr>
          <w:b/>
        </w:rPr>
        <w:t xml:space="preserve">Status: </w:t>
      </w:r>
      <w:r>
        <w:t>Reunião Realizada</w:t>
        <w:br/>
      </w:r>
      <w:r>
        <w:rPr>
          <w:b/>
        </w:rPr>
        <w:t xml:space="preserve">KRs Vinculados: </w:t>
      </w:r>
      <w:r>
        <w:t>E5.O6.KR1, E7.O3.KR2, E9.O2.KR1 (6 ações)</w:t>
        <w:br/>
      </w:r>
      <w:r>
        <w:rPr>
          <w:b/>
        </w:rPr>
        <w:t xml:space="preserve">Síntese das Deliberações: </w:t>
      </w:r>
      <w:r>
        <w:t>Plano enxuto focado em 100% de tempestividade nas ACPs e assistências ao MP (E5.O6.KR1), parametrização do SPA, saneamento de falsos positivos no Dashboard e trilhas de investigação patrimonial/IA.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Garantir o cumprimento tempestivo de 100% dos prazos judiciais em Ações Civis Públicas e assistências ao MP</w:t>
            </w:r>
          </w:p>
        </w:tc>
        <w:tc>
          <w:tcPr>
            <w:tcW w:type="dxa" w:w="1440"/>
          </w:tcPr>
          <w:p>
            <w:r>
              <w:t>Assegurar manifestação tempestiva em todas as fases processuais das ACPs de improbidade administrativa ajuizadas diretamente pela PGE ou em litisconsórcio ativo com o Ministério Público, bem como nas tratativas de Acordo de Não Persecução Cível (ANPC).</w:t>
            </w:r>
          </w:p>
        </w:tc>
        <w:tc>
          <w:tcPr>
            <w:tcW w:type="dxa" w:w="1440"/>
          </w:tcPr>
          <w:p>
            <w:r>
              <w:t>Líder Executivo: Núcleo de Combate à Improbidade Administrativa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Diário / Contínuo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Fornecer insumos técnicos e cooperar na parametrização do SPA para sanar falhas na captura de intimações</w:t>
            </w:r>
          </w:p>
        </w:tc>
        <w:tc>
          <w:tcPr>
            <w:tcW w:type="dxa" w:w="1440"/>
          </w:tcPr>
          <w:p>
            <w:r>
              <w:t>Identificar e reportar à equipe de desenvolvimento da TI falhas de sincronização na captura de expedientes do PJe das Varas da Fazenda Pública, prevenindo divergências entre prazos reais e virtuais.</w:t>
            </w:r>
          </w:p>
        </w:tc>
        <w:tc>
          <w:tcPr>
            <w:tcW w:type="dxa" w:w="1440"/>
          </w:tcPr>
          <w:p>
            <w:r>
              <w:t>Líder Executivo: Núcleo de Combate à Improbidade Administrativa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Contínuo até 2030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Saneamento de regras do Dashboard da Corregedoria para eliminação de falsos positivos de prazos perdidos</w:t>
            </w:r>
          </w:p>
        </w:tc>
        <w:tc>
          <w:tcPr>
            <w:tcW w:type="dxa" w:w="1440"/>
          </w:tcPr>
          <w:p>
            <w:r>
              <w:t>Alinhar com a Corregedoria-Geral e desenvolvedores de TI a correção na contagem de prazos sobre processos armazenados sem necessidade de intervenção processual, assegurando a fidelidade dos dados estatísticos do núcleo.</w:t>
            </w:r>
          </w:p>
        </w:tc>
        <w:tc>
          <w:tcPr>
            <w:tcW w:type="dxa" w:w="1440"/>
          </w:tcPr>
          <w:p>
            <w:r>
              <w:t>Líder Executivo: Núcleo de Combate à Improbidade Administrativa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90 dias e Contínuo</w:t>
            </w:r>
          </w:p>
        </w:tc>
      </w:tr>
      <w:tr>
        <w:tc>
          <w:tcPr>
            <w:tcW w:type="dxa" w:w="1440"/>
          </w:tcPr>
          <w:p>
            <w:r>
              <w:t>E5.O6.KR1</w:t>
            </w:r>
          </w:p>
        </w:tc>
        <w:tc>
          <w:tcPr>
            <w:tcW w:type="dxa" w:w="1440"/>
          </w:tcPr>
          <w:p>
            <w:r>
              <w:t>1º P: Prazo</w:t>
            </w:r>
          </w:p>
        </w:tc>
        <w:tc>
          <w:tcPr>
            <w:tcW w:type="dxa" w:w="1440"/>
          </w:tcPr>
          <w:p>
            <w:r>
              <w:t>Realizar conferência rotineira e diária de processos pendentes no PJe e SPA</w:t>
            </w:r>
          </w:p>
        </w:tc>
        <w:tc>
          <w:tcPr>
            <w:tcW w:type="dxa" w:w="1440"/>
          </w:tcPr>
          <w:p>
            <w:r>
              <w:t>Executar rotina matinal e vespertina de conferência direta nos painéis do PJe e do SPA sobre expedientes distribuídos ou ciências automáticas, garantindo controle visual independente de inconsistências sistêmicas.</w:t>
            </w:r>
          </w:p>
        </w:tc>
        <w:tc>
          <w:tcPr>
            <w:tcW w:type="dxa" w:w="1440"/>
          </w:tcPr>
          <w:p>
            <w:r>
              <w:t>Líder Executivo: Núcleo de Combate à Improbidade Administrativa (Cumprimento indelegável); Triagem e Etiquetas SPA: Serviço de Distribuição</w:t>
            </w:r>
          </w:p>
        </w:tc>
        <w:tc>
          <w:tcPr>
            <w:tcW w:type="dxa" w:w="1440"/>
          </w:tcPr>
          <w:p>
            <w:r>
              <w:t>Diário / Permanente</w:t>
            </w:r>
          </w:p>
        </w:tc>
      </w:tr>
      <w:tr>
        <w:tc>
          <w:tcPr>
            <w:tcW w:type="dxa" w:w="1440"/>
          </w:tcPr>
          <w:p>
            <w:r>
              <w:t>E7.O3.KR2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Participar de trilhas de capacitação em Direito Digital, Inteligência Artificial e Investigação Patrimonial Tecnológica</w:t>
            </w:r>
          </w:p>
        </w:tc>
        <w:tc>
          <w:tcPr>
            <w:tcW w:type="dxa" w:w="1440"/>
          </w:tcPr>
          <w:p>
            <w:r>
              <w:t>Indicar demandas formativas à ESAP e viabilizar a participação da equipe do NCIA em cursos sobre ferramentas de IA generativa, cruzamento de dados públicos, rastreamento de ativos e jurimetria aplicada à probidade administrativa.</w:t>
            </w:r>
          </w:p>
        </w:tc>
        <w:tc>
          <w:tcPr>
            <w:tcW w:type="dxa" w:w="1440"/>
          </w:tcPr>
          <w:p>
            <w:r>
              <w:t>Líder: Núcleo de Combate à Improbidade Administrativa (NCIA); Coexecutores: ESAP, Assessoria em TIC da PGAAE / INOVA</w:t>
            </w:r>
          </w:p>
        </w:tc>
        <w:tc>
          <w:tcPr>
            <w:tcW w:type="dxa" w:w="1440"/>
          </w:tcPr>
          <w:p>
            <w:r>
              <w:t>Anual até 2027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tutela da probidade administrativa (Lei 8.429/1992 reformada), Acordos de Não Persecução Cível (ANPC), recuperação de ativos e processo estrutural),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Núcleo de Combate à Improbidade Administrativa (NCIA);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</w:tbl>
    <w:p>
      <w:pPr>
        <w:pStyle w:val="Heading2"/>
      </w:pPr>
      <w:r>
        <w:t>2. Demandas Externas Recebidas por NCIA (3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ASCOM</w:t>
            </w:r>
          </w:p>
        </w:tc>
        <w:tc>
          <w:tcPr>
            <w:tcW w:type="dxa" w:w="2160"/>
          </w:tcPr>
          <w:p>
            <w:r>
              <w:t>E6.O1.KR2</w:t>
            </w:r>
          </w:p>
        </w:tc>
        <w:tc>
          <w:tcPr>
            <w:tcW w:type="dxa" w:w="2160"/>
          </w:tcPr>
          <w:p>
            <w:r>
              <w:t>Aproveitar o acervo de sustentações orais gravadas no YouTube dos Tribunais para produção de conteúdos institucionais</w:t>
            </w:r>
          </w:p>
        </w:tc>
        <w:tc>
          <w:tcPr>
            <w:tcW w:type="dxa" w:w="2160"/>
          </w:tcPr>
          <w:p>
            <w:r>
              <w:t>Líder: Assessoria de Comunicação (ASCOM); Coexecutores: Subprocuradoria-Geral Adjunta (SGA), NCIA e Procuradorias Especializadas Contenciosas</w:t>
            </w:r>
          </w:p>
        </w:tc>
      </w:tr>
      <w:tr>
        <w:tc>
          <w:tcPr>
            <w:tcW w:type="dxa" w:w="2160"/>
          </w:tcPr>
          <w:p>
            <w:r>
              <w:t>CG</w:t>
            </w:r>
          </w:p>
        </w:tc>
        <w:tc>
          <w:tcPr>
            <w:tcW w:type="dxa" w:w="2160"/>
          </w:tcPr>
          <w:p>
            <w:r>
              <w:t>E5.O6.KR1</w:t>
            </w:r>
          </w:p>
        </w:tc>
        <w:tc>
          <w:tcPr>
            <w:tcW w:type="dxa" w:w="2160"/>
          </w:tcPr>
          <w:p>
            <w:r>
              <w:t>Sanear regras do Dashboard da Corregedoria para eliminação de falsos positivos de perda de prazo</w:t>
            </w:r>
          </w:p>
        </w:tc>
        <w:tc>
          <w:tcPr>
            <w:tcW w:type="dxa" w:w="2160"/>
          </w:tcPr>
          <w:p>
            <w:r>
              <w:t>Líder: Corregedoria-Geral; Coexecutores: Assessoria em TIC da PGAAE / INOVA (Suporte de Infraestrutura: SI), Subprocuradoria-Geral Adjunta (SGA), NCIA</w:t>
            </w:r>
          </w:p>
        </w:tc>
      </w:tr>
      <w:tr>
        <w:tc>
          <w:tcPr>
            <w:tcW w:type="dxa" w:w="2160"/>
          </w:tcPr>
          <w:p>
            <w:r>
              <w:t>SGA</w:t>
            </w:r>
          </w:p>
        </w:tc>
        <w:tc>
          <w:tcPr>
            <w:tcW w:type="dxa" w:w="2160"/>
          </w:tcPr>
          <w:p>
            <w:r>
              <w:t>E5.O1.KR1</w:t>
            </w:r>
          </w:p>
        </w:tc>
        <w:tc>
          <w:tcPr>
            <w:tcW w:type="dxa" w:w="2160"/>
          </w:tcPr>
          <w:p>
            <w:r>
              <w:t>Supervisionar diretamente os núcleos temáticos subordinados (Núcleo de Cálculos e NCIA)</w:t>
            </w:r>
          </w:p>
        </w:tc>
        <w:tc>
          <w:tcPr>
            <w:tcW w:type="dxa" w:w="2160"/>
          </w:tcPr>
          <w:p>
            <w:r>
              <w:t>Líder: Subprocuradoria-Geral Adjunta (SGA); Coexecutores: Núcleo de Cálculos, NCIA, Corregedoria-Geral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Núcleo de Combate à Improbidade Administrativa (NCIA),</w:t>
        <w:br/>
        <w:br/>
        <w:t>No âmbito da consolidação do Planejamento Estratégico 2027–2030 da PGE-MA (Processo SEI: Verificar SEI), e em conformidade com o alinhamento técnico realizado com a unidade (Dr. Francisco Beolândio), a Assessoria de Planejamento e Gestão Estratégica acosta aos presentes autos a versão consolidada e saneada do Plano de Ação Setorial (Plano_Acao_Pos_Comparacao_NCIA.xlsx, contemplando 6 ações estratégicas vinculadas aos resultados-chave E5.O6.KR1, E7.O3.KR2, E9.O2.KR1).</w:t>
        <w:br/>
        <w:br/>
        <w:t>Destaques técnicos consolidados: Plano enxuto focado em 100% de tempestividade nas ACPs e assistências ao MP (E5.O6.KR1), parametrização do SPA, saneamento de falsos positivos no Dashboard e trilhas de investigação patrimonial/IA.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