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NIRF</w:t>
      </w:r>
    </w:p>
    <w:p>
      <w:r>
        <w:rPr>
          <w:b/>
        </w:rPr>
        <w:t xml:space="preserve">Unidade: </w:t>
      </w:r>
      <w:r>
        <w:t>NIRF — Núcleo de Inteligência e Recuperação Fiscal</w:t>
        <w:br/>
      </w:r>
      <w:r>
        <w:rPr>
          <w:b/>
        </w:rPr>
        <w:t xml:space="preserve">Chefia / Interlocutor(a): </w:t>
      </w:r>
      <w:r>
        <w:t>Dr. Marcelo Sampaio (Despacho nº 50/2026)</w:t>
        <w:br/>
      </w:r>
      <w:r>
        <w:rPr>
          <w:b/>
        </w:rPr>
        <w:t xml:space="preserve">Processo SEI: </w:t>
      </w:r>
      <w:r>
        <w:t xml:space="preserve">2026.11103.07215 | </w:t>
      </w:r>
      <w:r>
        <w:rPr>
          <w:b/>
        </w:rPr>
        <w:t xml:space="preserve">Status: </w:t>
      </w:r>
      <w:r>
        <w:t>Respondido no SEI</w:t>
        <w:br/>
      </w:r>
      <w:r>
        <w:rPr>
          <w:b/>
        </w:rPr>
        <w:t xml:space="preserve">KRs Vinculados: </w:t>
      </w:r>
      <w:r>
        <w:t>E1.O1.KR1, E1.O2.KR1, E1.O2.KR2, E1.O2.KR3, E1.O4.KR1, E1.O4.KR2, E1.O5.KR1, E1.O5.KR2, E1.O5.KR3, E6.O1.KR2, E7.O3.KR2, E9.O2.KR1, E9.O3.KR1 (28 ações)</w:t>
        <w:br/>
      </w:r>
      <w:r>
        <w:rPr>
          <w:b/>
        </w:rPr>
        <w:t xml:space="preserve">Síntese das Deliberações: </w:t>
      </w:r>
      <w:r>
        <w:t>Ações de inteligência fiscal, mineração de dados e investigação patrimonial de grandes devedores integralmente absorvidas e espelhadas na Procuradoria da Dívida Ativa (PDA).</w:t>
      </w:r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E1.O2.KR1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Dispensa formal de planilha autônoma e unificação com o plano da Procuradoria da Dívida Ativa (PDA)</w:t>
            </w:r>
          </w:p>
        </w:tc>
        <w:tc>
          <w:tcPr>
            <w:tcW w:type="dxa" w:w="1440"/>
          </w:tcPr>
          <w:p>
            <w:r>
              <w:t>Conforme Despacho nº 50/2026 (Processo SEI nº 2026.11103.07215), as ações e subações do NIRF passam a integrar o Plano Consolidado da PDA, atuando o Núcleo no suporte técnico de inteligência fiscal, cruzamento de bases patrimoniais e saneamento de CDAs.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e Inteligência de Dados: NIRF (Ato SEI nº 50/2026)</w:t>
            </w:r>
          </w:p>
        </w:tc>
        <w:tc>
          <w:tcPr>
            <w:tcW w:type="dxa" w:w="1440"/>
          </w:tcPr>
          <w:p>
            <w:r>
              <w:t>Imediato / Pleno</w:t>
            </w:r>
          </w:p>
        </w:tc>
      </w:tr>
      <w:tr>
        <w:tc>
          <w:tcPr>
            <w:tcW w:type="dxa" w:w="1440"/>
          </w:tcPr>
          <w:p>
            <w:r>
              <w:t>E1.O1.KR1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Integrar recuperação de créditos a litígios de execução e pagamento judicial</w:t>
            </w:r>
          </w:p>
        </w:tc>
        <w:tc>
          <w:tcPr>
            <w:tcW w:type="dxa" w:w="1440"/>
          </w:tcPr>
          <w:p>
            <w:r>
              <w:t>Identificar oportunidades de recuperação vinculadas a execuções e depósitos judiciais e priorizar casos de maior repercussão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440"/>
          </w:tcPr>
          <w:p>
            <w:r>
              <w:t>180 dias para carteira priorizada; revisão trimestral</w:t>
            </w:r>
          </w:p>
        </w:tc>
      </w:tr>
      <w:tr>
        <w:tc>
          <w:tcPr>
            <w:tcW w:type="dxa" w:w="1440"/>
          </w:tcPr>
          <w:p>
            <w:r>
              <w:t>E1.O2.KR1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programa integrado de recuperação fiscal digital</w:t>
            </w:r>
          </w:p>
        </w:tc>
        <w:tc>
          <w:tcPr>
            <w:tcW w:type="dxa" w:w="1440"/>
          </w:tcPr>
          <w:p>
            <w:r>
              <w:t>Consolidar governança única entre PDA, Contencioso Fiscal, NIRF e PGAAE para arrecadação, protesto, transação e inteligência fiscal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</w:tr>
      <w:tr>
        <w:tc>
          <w:tcPr>
            <w:tcW w:type="dxa" w:w="1440"/>
          </w:tcPr>
          <w:p>
            <w:r>
              <w:t>E1.O2.KR1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Consolidar linha de base arrecadatória e metas intermediárias</w:t>
            </w:r>
          </w:p>
        </w:tc>
        <w:tc>
          <w:tcPr>
            <w:tcW w:type="dxa" w:w="1440"/>
          </w:tcPr>
          <w:p>
            <w:r>
              <w:t>Fixar valor-base de 2025, desdobrar meta de 10% em metas anuais e separar arrecadação por canal: judicial, protesto, acordo, transação e inteligência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E1.O2.KR1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painel executivo mensal da recuperação fiscal</w:t>
            </w:r>
          </w:p>
        </w:tc>
        <w:tc>
          <w:tcPr>
            <w:tcW w:type="dxa" w:w="1440"/>
          </w:tcPr>
          <w:p>
            <w:r>
              <w:t>Segregar arrecadação por instrumento e divulgar resultados para governança interna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440"/>
          </w:tcPr>
          <w:p>
            <w:r>
              <w:t>60 dias após definição da linha de base</w:t>
            </w:r>
          </w:p>
        </w:tc>
      </w:tr>
      <w:tr>
        <w:tc>
          <w:tcPr>
            <w:tcW w:type="dxa" w:w="1440"/>
          </w:tcPr>
          <w:p>
            <w:r>
              <w:t>E1.O2.KR2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Realizar força-tarefa de saneamento e classificação do estoque</w:t>
            </w:r>
          </w:p>
        </w:tc>
        <w:tc>
          <w:tcPr>
            <w:tcW w:type="dxa" w:w="1440"/>
          </w:tcPr>
          <w:p>
            <w:r>
              <w:t>Classificar CDAs em ajuizáveis, protestáveis, dependentes de saneamento e inviáveis; organizar fila priorizada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440"/>
          </w:tcPr>
          <w:p>
            <w:r>
              <w:t>120 dias para inventário; conclusão até 2026</w:t>
            </w:r>
          </w:p>
        </w:tc>
      </w:tr>
      <w:tr>
        <w:tc>
          <w:tcPr>
            <w:tcW w:type="dxa" w:w="1440"/>
          </w:tcPr>
          <w:p>
            <w:r>
              <w:t>E1.O2.KR2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Implantar rotina pré-ajuizamento com conferência obrigatória</w:t>
            </w:r>
          </w:p>
        </w:tc>
        <w:tc>
          <w:tcPr>
            <w:tcW w:type="dxa" w:w="1440"/>
          </w:tcPr>
          <w:p>
            <w:r>
              <w:t>Verificar CPF/CNPJ, endereço, conta de honorários, exigibilidade, piso mínimo e completude documental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E1.O2.KR3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Consolidar o fluxo de protesto como via ordinária de recuperação</w:t>
            </w:r>
          </w:p>
        </w:tc>
        <w:tc>
          <w:tcPr>
            <w:tcW w:type="dxa" w:w="1440"/>
          </w:tcPr>
          <w:p>
            <w:r>
              <w:t>Finalizar implantação do sistema de protesto e padronizar remessa automática ou semiautomática das CDAs aptas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440"/>
          </w:tcPr>
          <w:p>
            <w:r>
              <w:t>Até 2026</w:t>
            </w:r>
          </w:p>
        </w:tc>
      </w:tr>
      <w:tr>
        <w:tc>
          <w:tcPr>
            <w:tcW w:type="dxa" w:w="1440"/>
          </w:tcPr>
          <w:p>
            <w:r>
              <w:t>E1.O4.KR1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célula de inteligência fiscal para inconsistências cadastrais e patrimoniais</w:t>
            </w:r>
          </w:p>
        </w:tc>
        <w:tc>
          <w:tcPr>
            <w:tcW w:type="dxa" w:w="1440"/>
          </w:tcPr>
          <w:p>
            <w:r>
              <w:t>Definir equipe, escopo, critérios de seleção e carteira inicial de devedores/inscrições críticas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</w:tr>
      <w:tr>
        <w:tc>
          <w:tcPr>
            <w:tcW w:type="dxa" w:w="1440"/>
          </w:tcPr>
          <w:p>
            <w:r>
              <w:t>E1.O4.KR1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Firmar ou reativar convênios de dados patrimoniais e societários</w:t>
            </w:r>
          </w:p>
        </w:tc>
        <w:tc>
          <w:tcPr>
            <w:tcW w:type="dxa" w:w="1440"/>
          </w:tcPr>
          <w:p>
            <w:r>
              <w:t>Formalizar acesso a bases públicas e privadas relevantes para pesquisa patrimonial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E1.O4.KR2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conferência pré-ajuizamento obrigatória</w:t>
            </w:r>
          </w:p>
        </w:tc>
        <w:tc>
          <w:tcPr>
            <w:tcW w:type="dxa" w:w="1440"/>
          </w:tcPr>
          <w:p>
            <w:r>
              <w:t>Validar antes da distribuição os elementos mínimos do crédito, a exigibilidade e a completude do cadastro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E1.O4.KR2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Medir o custo institucional das execuções inconsistentes</w:t>
            </w:r>
          </w:p>
        </w:tc>
        <w:tc>
          <w:tcPr>
            <w:tcW w:type="dxa" w:w="1440"/>
          </w:tcPr>
          <w:p>
            <w:r>
              <w:t>Levantar honorários sucumbenciais, extinções, nulidades e retrabalho gerado por falhas cadastrais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E1.O5.KR1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Consolidar carteira institucional de mecanismos de cobrança administrativa</w:t>
            </w:r>
          </w:p>
        </w:tc>
        <w:tc>
          <w:tcPr>
            <w:tcW w:type="dxa" w:w="1440"/>
          </w:tcPr>
          <w:p>
            <w:r>
              <w:t>Definir instrumentos prioritários: protesto, negativação, pesquisa patrimonial, bloqueio de recebíveis, acordos e comunicação qualificada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E1.O5.KR1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manual operacional único de cobrança administrativa</w:t>
            </w:r>
          </w:p>
        </w:tc>
        <w:tc>
          <w:tcPr>
            <w:tcW w:type="dxa" w:w="1440"/>
          </w:tcPr>
          <w:p>
            <w:r>
              <w:t>Padronizar hipóteses de uso, documentos, responsáveis, prazos e escalonamento entre medida administrativa e judicial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E1.O5.KR1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Implantar rotina de pesquisa patrimonial orientada por inteligência</w:t>
            </w:r>
          </w:p>
        </w:tc>
        <w:tc>
          <w:tcPr>
            <w:tcW w:type="dxa" w:w="1440"/>
          </w:tcPr>
          <w:p>
            <w:r>
              <w:t>Priorizar grandes devedores, rodar trilhas de pesquisa e documentar evidências patrimoniais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440"/>
          </w:tcPr>
          <w:p>
            <w:r>
              <w:t>90 dias para início; rotina contínua</w:t>
            </w:r>
          </w:p>
        </w:tc>
      </w:tr>
      <w:tr>
        <w:tc>
          <w:tcPr>
            <w:tcW w:type="dxa" w:w="1440"/>
          </w:tcPr>
          <w:p>
            <w:r>
              <w:t>E1.O5.KR1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Incorporar benchmarking da PGE-CE e resultados do mutirão fiscal</w:t>
            </w:r>
          </w:p>
        </w:tc>
        <w:tc>
          <w:tcPr>
            <w:tcW w:type="dxa" w:w="1440"/>
          </w:tcPr>
          <w:p>
            <w:r>
              <w:t>Traduzir aprendizados do intercâmbio e da experiência de 2025 em protocolos formais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E1.O5.KR2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Estruturar protocolo de bloqueio e arrolamento preventivo para grandes devedores</w:t>
            </w:r>
          </w:p>
        </w:tc>
        <w:tc>
          <w:tcPr>
            <w:tcW w:type="dxa" w:w="1440"/>
          </w:tcPr>
          <w:p>
            <w:r>
              <w:t>Definir critérios de elegibilidade, rito decisório, prova mínima e articulação com Judiciário/SEFAZ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E1.O5.KR2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mecanismo específico de identificação e bloqueio de recebíveis</w:t>
            </w:r>
          </w:p>
        </w:tc>
        <w:tc>
          <w:tcPr>
            <w:tcW w:type="dxa" w:w="1440"/>
          </w:tcPr>
          <w:p>
            <w:r>
              <w:t>Mapear fontes de recebíveis e desenhar fluxo de requerimento e monitoramento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E1.O5.KR2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Transformar o CIRDA em instância de monitoramento executivo do eixo fiscal</w:t>
            </w:r>
          </w:p>
        </w:tc>
        <w:tc>
          <w:tcPr>
            <w:tcW w:type="dxa" w:w="1440"/>
          </w:tcPr>
          <w:p>
            <w:r>
              <w:t>Fixar metas mensais por instrumento, revisar resultados e deliberar correções de rota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440"/>
          </w:tcPr>
          <w:p>
            <w:r>
              <w:t>Imediato; rotina mensal</w:t>
            </w:r>
          </w:p>
        </w:tc>
      </w:tr>
      <w:tr>
        <w:tc>
          <w:tcPr>
            <w:tcW w:type="dxa" w:w="1440"/>
          </w:tcPr>
          <w:p>
            <w:r>
              <w:t>E1.O5.KR3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Transformar o CIRDA em instância de monitoramento executivo do eixo fiscal</w:t>
            </w:r>
          </w:p>
        </w:tc>
        <w:tc>
          <w:tcPr>
            <w:tcW w:type="dxa" w:w="1440"/>
          </w:tcPr>
          <w:p>
            <w:r>
              <w:t>Fixar metas mensais por instrumento, revisar resultados e deliberar correções de rota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440"/>
          </w:tcPr>
          <w:p>
            <w:r>
              <w:t>Imediato; rotina mensal</w:t>
            </w:r>
          </w:p>
        </w:tc>
      </w:tr>
      <w:tr>
        <w:tc>
          <w:tcPr>
            <w:tcW w:type="dxa" w:w="1440"/>
          </w:tcPr>
          <w:p>
            <w:r>
              <w:t>E1.O4.KR2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Implantar plataforma de higienização de dados e cruzamento de vínculos</w:t>
            </w:r>
          </w:p>
        </w:tc>
        <w:tc>
          <w:tcPr>
            <w:tcW w:type="dxa" w:w="1440"/>
          </w:tcPr>
          <w:p>
            <w:r>
              <w:t>Contratar solução prevista no PROFISCO, definir fontes, regras de consulta e integração com SPA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440"/>
          </w:tcPr>
          <w:p>
            <w:r>
              <w:t>Cronograma plurianual PROFISCO; fase inicial nos 12 primeiros meses</w:t>
            </w:r>
          </w:p>
        </w:tc>
      </w:tr>
      <w:tr>
        <w:tc>
          <w:tcPr>
            <w:tcW w:type="dxa" w:w="1440"/>
          </w:tcPr>
          <w:p>
            <w:r>
              <w:t>E1.O5.KR2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Priorizar grandes devedores e créditos de maior repercussão</w:t>
            </w:r>
          </w:p>
        </w:tc>
        <w:tc>
          <w:tcPr>
            <w:tcW w:type="dxa" w:w="1440"/>
          </w:tcPr>
          <w:p>
            <w:r>
              <w:t>Criar ranking de maiores devedores e selecionar casos com maior potencial de recuperação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E1.O4.KR2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rotina trimestral de saneamento cadastral</w:t>
            </w:r>
          </w:p>
        </w:tc>
        <w:tc>
          <w:tcPr>
            <w:tcW w:type="dxa" w:w="1440"/>
          </w:tcPr>
          <w:p>
            <w:r>
              <w:t>Rodar varreduras por CPF/CNPJ, endereço, duplicidade, baixa cadastral e vínculo patrimonial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440"/>
          </w:tcPr>
          <w:p>
            <w:r>
              <w:t>Trimestral, a partir da implantação da base</w:t>
            </w:r>
          </w:p>
        </w:tc>
      </w:tr>
      <w:tr>
        <w:tc>
          <w:tcPr>
            <w:tcW w:type="dxa" w:w="1440"/>
          </w:tcPr>
          <w:p>
            <w:r>
              <w:t>E1.O4.KR2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Publicar relatório semestral de inteligência recuperatória</w:t>
            </w:r>
          </w:p>
        </w:tc>
        <w:tc>
          <w:tcPr>
            <w:tcW w:type="dxa" w:w="1440"/>
          </w:tcPr>
          <w:p>
            <w:r>
              <w:t>Consolidar créditos localizados, saneamentos, inconsistências corrigidas e impacto financeiro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</w:tr>
      <w:tr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Capacitar a equipe em Inteligência Artificial, Ciência de Dados Fiscais e Investigação Patrimonial Digital</w:t>
            </w:r>
          </w:p>
        </w:tc>
        <w:tc>
          <w:tcPr>
            <w:tcW w:type="dxa" w:w="1440"/>
          </w:tcPr>
          <w:p>
            <w:r>
              <w:t>Encaminhar demandas formativas à ESAP e garantir a participação dos integrantes do NIRF em treinamentos de ferramentas analíticas, IA aplicada à recuperação de créditos, cruzamento de bancos de dados e automação fiscal.</w:t>
            </w:r>
          </w:p>
        </w:tc>
        <w:tc>
          <w:tcPr>
            <w:tcW w:type="dxa" w:w="1440"/>
          </w:tcPr>
          <w:p>
            <w:r>
              <w:t>Líder: Núcleo de Inteligência e Recuperação Fiscal (NIRF); Coexecutores: ESAP, Procuradoria da Dívida Ativa (PDA), Assessoria em TIC da PGAAE / INOVA</w:t>
            </w:r>
          </w:p>
        </w:tc>
        <w:tc>
          <w:tcPr>
            <w:tcW w:type="dxa" w:w="1440"/>
          </w:tcPr>
          <w:p>
            <w:r>
              <w:t>Anual até 2027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inteligência fiscal, investigação patrimonial avançada, fraude à execução fiscal, responsabilidade tributária de grupos econômicos e transação tributária),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Núcleo de Inteligência e Recuperação Fiscal (NIRF);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  <w:tr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Alimentação sistemática da ASCOM com resultados de inteligência fiscal e recuperação de ativos ocultos</w:t>
            </w:r>
          </w:p>
        </w:tc>
        <w:tc>
          <w:tcPr>
            <w:tcW w:type="dxa" w:w="1440"/>
          </w:tcPr>
          <w:p>
            <w:r>
              <w:t>Encaminhar quinzenalmente à ASCOM, em conjunto com a PDA e resguardado o sigilo fiscal, balanços de operações de recuperação de créditos e combate à fraude fiscal para divulgação institucional.</w:t>
            </w:r>
          </w:p>
        </w:tc>
        <w:tc>
          <w:tcPr>
            <w:tcW w:type="dxa" w:w="1440"/>
          </w:tcPr>
          <w:p>
            <w:r>
              <w:t>Líder: Núcleo de Inteligência e Recuperação Fiscal (NIRF); Coexecutores: Procuradoria da Dívida Ativa (PDA), Assessoria de Comunicação (ASCOM)</w:t>
            </w:r>
          </w:p>
        </w:tc>
        <w:tc>
          <w:tcPr>
            <w:tcW w:type="dxa" w:w="1440"/>
          </w:tcPr>
          <w:p>
            <w:r>
              <w:t>Fluxo Quinzenal / Contínuo</w:t>
            </w:r>
          </w:p>
        </w:tc>
      </w:tr>
      <w:tr>
        <w:tc>
          <w:tcPr>
            <w:tcW w:type="dxa" w:w="1440"/>
          </w:tcPr>
          <w:p>
            <w:r>
              <w:t>E9.O3.KR1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1440"/>
          </w:tcPr>
          <w:p>
            <w:r>
              <w:t>Formular pedidos expressos de fixação e majoração de honorários sucumbenciais (inclusive recursais, art. 85, § 11, do CPC) em operações de recuperação de ativos, execuções fiscais de grandes devedores e transações tributárias, apurando o trânsito em julgado e encaminhando tempestivamente os dados/certidões à PDA e PERJP para cobrança, protesto ou compensação em favor do FUNPGE.</w:t>
            </w:r>
          </w:p>
        </w:tc>
        <w:tc>
          <w:tcPr>
            <w:tcW w:type="dxa" w:w="1440"/>
          </w:tcPr>
          <w:p>
            <w:r>
              <w:t>Líder: Núcleo de Inteligência e Recuperação Fiscal (NIRF); Coexecutores: Procuradoria da Dívida Ativa (PDA), PERJP, Subprocuradoria-Geral Adjunta (SGA)</w:t>
            </w:r>
          </w:p>
        </w:tc>
        <w:tc>
          <w:tcPr>
            <w:tcW w:type="dxa" w:w="1440"/>
          </w:tcPr>
          <w:p>
            <w:r>
              <w:t>Contínuo até 2029</w:t>
            </w:r>
          </w:p>
        </w:tc>
      </w:tr>
    </w:tbl>
    <w:p>
      <w:pPr>
        <w:pStyle w:val="Heading2"/>
      </w:pPr>
      <w:r>
        <w:t>2. Demandas Externas Recebidas por NIRF (35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Origem</w:t>
            </w:r>
          </w:p>
        </w:tc>
        <w:tc>
          <w:tcPr>
            <w:tcW w:type="dxa" w:w="2160"/>
          </w:tcPr>
          <w:p>
            <w:r>
              <w:t>KR</w:t>
            </w:r>
          </w:p>
        </w:tc>
        <w:tc>
          <w:tcPr>
            <w:tcW w:type="dxa" w:w="2160"/>
          </w:tcPr>
          <w:p>
            <w:r>
              <w:t>Ação</w:t>
            </w:r>
          </w:p>
        </w:tc>
        <w:tc>
          <w:tcPr>
            <w:tcW w:type="dxa" w:w="2160"/>
          </w:tcPr>
          <w:p>
            <w:r>
              <w:t>Responsáveis</w:t>
            </w:r>
          </w:p>
        </w:tc>
      </w:tr>
      <w:tr>
        <w:tc>
          <w:tcPr>
            <w:tcW w:type="dxa" w:w="2160"/>
          </w:tcPr>
          <w:p>
            <w:r>
              <w:t>PCF</w:t>
            </w:r>
          </w:p>
        </w:tc>
        <w:tc>
          <w:tcPr>
            <w:tcW w:type="dxa" w:w="2160"/>
          </w:tcPr>
          <w:p>
            <w:r>
              <w:t>E1.O4.KR1</w:t>
            </w:r>
          </w:p>
        </w:tc>
        <w:tc>
          <w:tcPr>
            <w:tcW w:type="dxa" w:w="2160"/>
          </w:tcPr>
          <w:p>
            <w:r>
              <w:t>Instaurar incidentes de desconsideração da personalidade jurídica (IDPJ) e medidas cautelares em litígios fiscais</w:t>
            </w:r>
          </w:p>
        </w:tc>
        <w:tc>
          <w:tcPr>
            <w:tcW w:type="dxa" w:w="2160"/>
          </w:tcPr>
          <w:p>
            <w:r>
              <w:t>Líder: Procuradoria do Contencioso Fiscal; Coexecutores: NIRF, SEFAZ</w:t>
            </w:r>
          </w:p>
        </w:tc>
      </w:tr>
      <w:tr>
        <w:tc>
          <w:tcPr>
            <w:tcW w:type="dxa" w:w="2160"/>
          </w:tcPr>
          <w:p>
            <w:r>
              <w:t>PCF</w:t>
            </w:r>
          </w:p>
        </w:tc>
        <w:tc>
          <w:tcPr>
            <w:tcW w:type="dxa" w:w="2160"/>
          </w:tcPr>
          <w:p>
            <w:r>
              <w:t>E1.O4.KR1</w:t>
            </w:r>
          </w:p>
        </w:tc>
        <w:tc>
          <w:tcPr>
            <w:tcW w:type="dxa" w:w="2160"/>
          </w:tcPr>
          <w:p>
            <w:r>
              <w:t>Apurar simulações fiscais e planejamentos tributários abusivos em ações declaratórias e anulatórias</w:t>
            </w:r>
          </w:p>
        </w:tc>
        <w:tc>
          <w:tcPr>
            <w:tcW w:type="dxa" w:w="2160"/>
          </w:tcPr>
          <w:p>
            <w:r>
              <w:t>Líder: Procuradoria do Contencioso Fiscal; Coexecutores: NIRF, SEFAZ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E1.O2.KR1</w:t>
            </w:r>
          </w:p>
        </w:tc>
        <w:tc>
          <w:tcPr>
            <w:tcW w:type="dxa" w:w="2160"/>
          </w:tcPr>
          <w:p>
            <w:r>
              <w:t>Instituir programa integrado de recuperação fiscal com a SEFAZ</w:t>
            </w:r>
          </w:p>
        </w:tc>
        <w:tc>
          <w:tcPr>
            <w:tcW w:type="dxa" w:w="216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E1.O2.KR1</w:t>
            </w:r>
          </w:p>
        </w:tc>
        <w:tc>
          <w:tcPr>
            <w:tcW w:type="dxa" w:w="2160"/>
          </w:tcPr>
          <w:p>
            <w:r>
              <w:t>Consolidar linha de base arrecadatória e metas setoriais</w:t>
            </w:r>
          </w:p>
        </w:tc>
        <w:tc>
          <w:tcPr>
            <w:tcW w:type="dxa" w:w="216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E1.O2.KR1</w:t>
            </w:r>
          </w:p>
        </w:tc>
        <w:tc>
          <w:tcPr>
            <w:tcW w:type="dxa" w:w="2160"/>
          </w:tcPr>
          <w:p>
            <w:r>
              <w:t>Integrar SPA e SEFAZNET para fluxo arrecadatório automatizado</w:t>
            </w:r>
          </w:p>
        </w:tc>
        <w:tc>
          <w:tcPr>
            <w:tcW w:type="dxa" w:w="216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E1.O2.KR1</w:t>
            </w:r>
          </w:p>
        </w:tc>
        <w:tc>
          <w:tcPr>
            <w:tcW w:type="dxa" w:w="2160"/>
          </w:tcPr>
          <w:p>
            <w:r>
              <w:t>Usar novas funcionalidades do SPA para acelerar ajuizamentos</w:t>
            </w:r>
          </w:p>
        </w:tc>
        <w:tc>
          <w:tcPr>
            <w:tcW w:type="dxa" w:w="216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E1.O2.KR1</w:t>
            </w:r>
          </w:p>
        </w:tc>
        <w:tc>
          <w:tcPr>
            <w:tcW w:type="dxa" w:w="2160"/>
          </w:tcPr>
          <w:p>
            <w:r>
              <w:t>Criar painel executivo mensal da recuperação fiscal</w:t>
            </w:r>
          </w:p>
        </w:tc>
        <w:tc>
          <w:tcPr>
            <w:tcW w:type="dxa" w:w="216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E1.O2.KR1</w:t>
            </w:r>
          </w:p>
        </w:tc>
        <w:tc>
          <w:tcPr>
            <w:tcW w:type="dxa" w:w="2160"/>
          </w:tcPr>
          <w:p>
            <w:r>
              <w:t>Normatizar a transação tributária no Maranhão</w:t>
            </w:r>
          </w:p>
        </w:tc>
        <w:tc>
          <w:tcPr>
            <w:tcW w:type="dxa" w:w="216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E1.O2.KR2</w:t>
            </w:r>
          </w:p>
        </w:tc>
        <w:tc>
          <w:tcPr>
            <w:tcW w:type="dxa" w:w="2160"/>
          </w:tcPr>
          <w:p>
            <w:r>
              <w:t>Realizar força-tarefa de saneamento e classificação do estoque</w:t>
            </w:r>
          </w:p>
        </w:tc>
        <w:tc>
          <w:tcPr>
            <w:tcW w:type="dxa" w:w="216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E1.O2.KR2</w:t>
            </w:r>
          </w:p>
        </w:tc>
        <w:tc>
          <w:tcPr>
            <w:tcW w:type="dxa" w:w="2160"/>
          </w:tcPr>
          <w:p>
            <w:r>
              <w:t>Implantar rotina pré-ajuizamento com conferência obrigatória de dados</w:t>
            </w:r>
          </w:p>
        </w:tc>
        <w:tc>
          <w:tcPr>
            <w:tcW w:type="dxa" w:w="216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E1.O2.KR3</w:t>
            </w:r>
          </w:p>
        </w:tc>
        <w:tc>
          <w:tcPr>
            <w:tcW w:type="dxa" w:w="2160"/>
          </w:tcPr>
          <w:p>
            <w:r>
              <w:t>Consolidar o fluxo de protesto como via ordinária de cobrança</w:t>
            </w:r>
          </w:p>
        </w:tc>
        <w:tc>
          <w:tcPr>
            <w:tcW w:type="dxa" w:w="216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E1.O2.KR3</w:t>
            </w:r>
          </w:p>
        </w:tc>
        <w:tc>
          <w:tcPr>
            <w:tcW w:type="dxa" w:w="2160"/>
          </w:tcPr>
          <w:p>
            <w:r>
              <w:t>Operacionalizar o convênio com IEPTB/MA em regime automatizado</w:t>
            </w:r>
          </w:p>
        </w:tc>
        <w:tc>
          <w:tcPr>
            <w:tcW w:type="dxa" w:w="216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E1.O3.KR1</w:t>
            </w:r>
          </w:p>
        </w:tc>
        <w:tc>
          <w:tcPr>
            <w:tcW w:type="dxa" w:w="2160"/>
          </w:tcPr>
          <w:p>
            <w:r>
              <w:t>Definir o catálogo de 'demandas tributárias simples' prioritárias</w:t>
            </w:r>
          </w:p>
        </w:tc>
        <w:tc>
          <w:tcPr>
            <w:tcW w:type="dxa" w:w="2160"/>
          </w:tcPr>
          <w:p>
            <w:r>
              <w:t>Líder: Procuradoria da Dívida Ativa; Coexecutores: SEFAZ, NIRF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E1.O4.KR1</w:t>
            </w:r>
          </w:p>
        </w:tc>
        <w:tc>
          <w:tcPr>
            <w:tcW w:type="dxa" w:w="2160"/>
          </w:tcPr>
          <w:p>
            <w:r>
              <w:t>Criar célula de inteligência fiscal para inconsistências cadastrais</w:t>
            </w:r>
          </w:p>
        </w:tc>
        <w:tc>
          <w:tcPr>
            <w:tcW w:type="dxa" w:w="216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E1.O4.KR1</w:t>
            </w:r>
          </w:p>
        </w:tc>
        <w:tc>
          <w:tcPr>
            <w:tcW w:type="dxa" w:w="2160"/>
          </w:tcPr>
          <w:p>
            <w:r>
              <w:t>Firmar ou reativar convênios de dados patrimoniais</w:t>
            </w:r>
          </w:p>
        </w:tc>
        <w:tc>
          <w:tcPr>
            <w:tcW w:type="dxa" w:w="216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E1.O4.KR2</w:t>
            </w:r>
          </w:p>
        </w:tc>
        <w:tc>
          <w:tcPr>
            <w:tcW w:type="dxa" w:w="2160"/>
          </w:tcPr>
          <w:p>
            <w:r>
              <w:t>Criar conferência pré-ajuizamento obrigatória contra riscos de sucumbência</w:t>
            </w:r>
          </w:p>
        </w:tc>
        <w:tc>
          <w:tcPr>
            <w:tcW w:type="dxa" w:w="216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E1.O4.KR2</w:t>
            </w:r>
          </w:p>
        </w:tc>
        <w:tc>
          <w:tcPr>
            <w:tcW w:type="dxa" w:w="2160"/>
          </w:tcPr>
          <w:p>
            <w:r>
              <w:t>Medir o custo institucional das execuções incorretas</w:t>
            </w:r>
          </w:p>
        </w:tc>
        <w:tc>
          <w:tcPr>
            <w:tcW w:type="dxa" w:w="216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E1.O4.KR3</w:t>
            </w:r>
          </w:p>
        </w:tc>
        <w:tc>
          <w:tcPr>
            <w:tcW w:type="dxa" w:w="2160"/>
          </w:tcPr>
          <w:p>
            <w:r>
              <w:t>Implantar protocolo de triagem preventiva e saneamento de liquidez de CDAs para redução de sucumbência</w:t>
            </w:r>
          </w:p>
        </w:tc>
        <w:tc>
          <w:tcPr>
            <w:tcW w:type="dxa" w:w="2160"/>
          </w:tcPr>
          <w:p>
            <w:r>
              <w:t>Líder: Procuradoria da Dívida Ativa; Coexecutores: Procuradoria do Contencioso Fiscal, NIRF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E1.O5.KR1</w:t>
            </w:r>
          </w:p>
        </w:tc>
        <w:tc>
          <w:tcPr>
            <w:tcW w:type="dxa" w:w="2160"/>
          </w:tcPr>
          <w:p>
            <w:r>
              <w:t>Consolidar carteira institucional de mecanismos de cobrança administrativa</w:t>
            </w:r>
          </w:p>
        </w:tc>
        <w:tc>
          <w:tcPr>
            <w:tcW w:type="dxa" w:w="216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E1.O5.KR1</w:t>
            </w:r>
          </w:p>
        </w:tc>
        <w:tc>
          <w:tcPr>
            <w:tcW w:type="dxa" w:w="2160"/>
          </w:tcPr>
          <w:p>
            <w:r>
              <w:t>Criar manual operacional único de cobrança administrativa e extrajudicial</w:t>
            </w:r>
          </w:p>
        </w:tc>
        <w:tc>
          <w:tcPr>
            <w:tcW w:type="dxa" w:w="216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E1.O5.KR1</w:t>
            </w:r>
          </w:p>
        </w:tc>
        <w:tc>
          <w:tcPr>
            <w:tcW w:type="dxa" w:w="2160"/>
          </w:tcPr>
          <w:p>
            <w:r>
              <w:t>Implantar rotina de pesquisa patrimonial orientada a grandes devedores</w:t>
            </w:r>
          </w:p>
        </w:tc>
        <w:tc>
          <w:tcPr>
            <w:tcW w:type="dxa" w:w="216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E1.O5.KR1</w:t>
            </w:r>
          </w:p>
        </w:tc>
        <w:tc>
          <w:tcPr>
            <w:tcW w:type="dxa" w:w="2160"/>
          </w:tcPr>
          <w:p>
            <w:r>
              <w:t>Incorporar benchmarking de outras Procuradorias Estaduais em cobrança fiscal</w:t>
            </w:r>
          </w:p>
        </w:tc>
        <w:tc>
          <w:tcPr>
            <w:tcW w:type="dxa" w:w="216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E1.O5.KR2</w:t>
            </w:r>
          </w:p>
        </w:tc>
        <w:tc>
          <w:tcPr>
            <w:tcW w:type="dxa" w:w="2160"/>
          </w:tcPr>
          <w:p>
            <w:r>
              <w:t>Estruturar protocolo de bloqueio e arrolamento cautelar de bens</w:t>
            </w:r>
          </w:p>
        </w:tc>
        <w:tc>
          <w:tcPr>
            <w:tcW w:type="dxa" w:w="216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E1.O5.KR2</w:t>
            </w:r>
          </w:p>
        </w:tc>
        <w:tc>
          <w:tcPr>
            <w:tcW w:type="dxa" w:w="2160"/>
          </w:tcPr>
          <w:p>
            <w:r>
              <w:t>Criar mecanismo específico de identificação e arrolamento de bens de grandes devedores</w:t>
            </w:r>
          </w:p>
        </w:tc>
        <w:tc>
          <w:tcPr>
            <w:tcW w:type="dxa" w:w="216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E1.O5.KR2</w:t>
            </w:r>
          </w:p>
        </w:tc>
        <w:tc>
          <w:tcPr>
            <w:tcW w:type="dxa" w:w="2160"/>
          </w:tcPr>
          <w:p>
            <w:r>
              <w:t>Transformar o CIRDA em instância de monitoramento patrimonial contínuo</w:t>
            </w:r>
          </w:p>
        </w:tc>
        <w:tc>
          <w:tcPr>
            <w:tcW w:type="dxa" w:w="216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E1.O4.KR2</w:t>
            </w:r>
          </w:p>
        </w:tc>
        <w:tc>
          <w:tcPr>
            <w:tcW w:type="dxa" w:w="2160"/>
          </w:tcPr>
          <w:p>
            <w:r>
              <w:t>Implantar plataforma de higienização de dados cadastrais</w:t>
            </w:r>
          </w:p>
        </w:tc>
        <w:tc>
          <w:tcPr>
            <w:tcW w:type="dxa" w:w="2160"/>
          </w:tcPr>
          <w:p>
            <w:r>
              <w:t>Líder: Procuradoria da Dívida Ativa; Coexecutores: NIRF, Assessoria em TIC da PGAAE / INOVA (Suporte de Infraestrutura: SI)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E1.O5.KR2</w:t>
            </w:r>
          </w:p>
        </w:tc>
        <w:tc>
          <w:tcPr>
            <w:tcW w:type="dxa" w:w="2160"/>
          </w:tcPr>
          <w:p>
            <w:r>
              <w:t>Priorizar grandes devedores e créditos de maior valor</w:t>
            </w:r>
          </w:p>
        </w:tc>
        <w:tc>
          <w:tcPr>
            <w:tcW w:type="dxa" w:w="2160"/>
          </w:tcPr>
          <w:p>
            <w:r>
              <w:t>Líder: Procuradoria da Dívida Ativa; Coexecutores: NIRF, SEFAZ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E1.O4.KR2</w:t>
            </w:r>
          </w:p>
        </w:tc>
        <w:tc>
          <w:tcPr>
            <w:tcW w:type="dxa" w:w="2160"/>
          </w:tcPr>
          <w:p>
            <w:r>
              <w:t>Instituir rotina trimestral de saneamento cadastral com a SEFAZ</w:t>
            </w:r>
          </w:p>
        </w:tc>
        <w:tc>
          <w:tcPr>
            <w:tcW w:type="dxa" w:w="2160"/>
          </w:tcPr>
          <w:p>
            <w:r>
              <w:t>Líder: Procuradoria da Dívida Ativa; Coexecutores: SEFAZ, NIRF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E1.O4.KR2</w:t>
            </w:r>
          </w:p>
        </w:tc>
        <w:tc>
          <w:tcPr>
            <w:tcW w:type="dxa" w:w="2160"/>
          </w:tcPr>
          <w:p>
            <w:r>
              <w:t>Publicar relatório semestral de inteligência fiscal</w:t>
            </w:r>
          </w:p>
        </w:tc>
        <w:tc>
          <w:tcPr>
            <w:tcW w:type="dxa" w:w="2160"/>
          </w:tcPr>
          <w:p>
            <w:r>
              <w:t>Líder: Procuradoria da Dívida Ativa; Coexecutores: NIRF, PGAAE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E1.O5.KR2</w:t>
            </w:r>
          </w:p>
        </w:tc>
        <w:tc>
          <w:tcPr>
            <w:tcW w:type="dxa" w:w="2160"/>
          </w:tcPr>
          <w:p>
            <w:r>
              <w:t>Instituir política de gestão e mapeamento de grandes devedores e execuções fiscais estratégicas</w:t>
            </w:r>
          </w:p>
        </w:tc>
        <w:tc>
          <w:tcPr>
            <w:tcW w:type="dxa" w:w="2160"/>
          </w:tcPr>
          <w:p>
            <w:r>
              <w:t>Líder: Procuradoria da Dívida Ativa; Coexecutores: NIRF, PGAAE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rito mensal de revisão das execuções fiscais de grandes devedores</w:t>
            </w:r>
          </w:p>
        </w:tc>
        <w:tc>
          <w:tcPr>
            <w:tcW w:type="dxa" w:w="2160"/>
          </w:tcPr>
          <w:p>
            <w:r>
              <w:t>Líder: Procuradoria da Dívida Ativa; Coexecutores: NIRF, PGAAE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Mapear rotinas repetitivas de ajuizamento, cálculo de atualização e conferência de guias de pagamento</w:t>
            </w:r>
          </w:p>
        </w:tc>
        <w:tc>
          <w:tcPr>
            <w:tcW w:type="dxa" w:w="2160"/>
          </w:tcPr>
          <w:p>
            <w:r>
              <w:t>Líder: Procuradoria da Dívida Ativa; Coexecutores: Assessoria em TIC da PGAAE / INOVA (Suporte de Infraestrutura: SI), NIRF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Propor e executar projeto inovador de inteligência artificial aplicada ao cruzamento fiscal e cobrança preditiva</w:t>
            </w:r>
          </w:p>
        </w:tc>
        <w:tc>
          <w:tcPr>
            <w:tcW w:type="dxa" w:w="2160"/>
          </w:tcPr>
          <w:p>
            <w:r>
              <w:t>Líder: Procuradoria da Dívida Ativa; Coexecutores: NIRF, Laboratório de Inovação (INOVA), PGA (Assessoria em TIC da PGAAE / INOVA)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E1.O4.KR1</w:t>
            </w:r>
          </w:p>
        </w:tc>
        <w:tc>
          <w:tcPr>
            <w:tcW w:type="dxa" w:w="2160"/>
          </w:tcPr>
          <w:p>
            <w:r>
              <w:t>Mineração de dados e cruzamento de bases cadastrais e patrimoniais de grandes devedores (Inteligência NIRF)</w:t>
            </w:r>
          </w:p>
        </w:tc>
        <w:tc>
          <w:tcPr>
            <w:tcW w:type="dxa" w:w="216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E6.O1.KR2</w:t>
            </w:r>
          </w:p>
        </w:tc>
        <w:tc>
          <w:tcPr>
            <w:tcW w:type="dxa" w:w="2160"/>
          </w:tcPr>
          <w:p>
            <w:r>
              <w:t>Alimentação sistemática e tempestiva da Assessoria de Comunicação (ASCOM) com resultados de arrecadação, protesto e transações fiscais</w:t>
            </w:r>
          </w:p>
        </w:tc>
        <w:tc>
          <w:tcPr>
            <w:tcW w:type="dxa" w:w="2160"/>
          </w:tcPr>
          <w:p>
            <w:r>
              <w:t>Líder: Procuradoria da Dívida Ativa (PDA); Coexecutores: NIRF, Assessoria de Comunicação (ASCOM)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Núcleo de Inteligência e Recuperação Fiscal (NIRF),</w:t>
        <w:br/>
        <w:br/>
        <w:t>No âmbito da consolidação do Planejamento Estratégico 2027–2030 da PGE-MA (Processo SEI: 2026.11103.07215), e em conformidade com o alinhamento técnico realizado com a unidade (Dr. Marcelo Sampaio (Despacho nº 50/2026)), a Assessoria de Planejamento e Gestão Estratégica acosta aos presentes autos a versão consolidada e saneada do Plano de Ação Setorial (Plano_Acao_Pos_Comparacao_NIRF.xlsx, contemplando 28 ações estratégicas vinculadas aos resultados-chave E1.O1.KR1, E1.O2.KR1, E1.O2.KR2, E1.O2.KR3, E1.O4.KR1, E1.O4.KR2, E1.O5.KR1, E1.O5.KR2, E1.O5.KR3, E6.O1.KR2, E7.O3.KR2, E9.O2.KR1, E9.O3.KR1).</w:t>
        <w:br/>
        <w:br/>
        <w:t>Destaques técnicos consolidados: Ações de inteligência fiscal, mineração de dados e investigação patrimonial de grandes devedores integralmente absorvidas e espelhadas na Procuradoria da Dívida Ativa (PDA).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