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SCC</w:t>
      </w:r>
    </w:p>
    <w:p>
      <w:r>
        <w:rPr>
          <w:b/>
        </w:rPr>
        <w:t xml:space="preserve">Unidade: </w:t>
      </w:r>
      <w:r>
        <w:t>SCC — Serviço de Contratos e Convênios</w:t>
        <w:br/>
      </w:r>
      <w:r>
        <w:rPr>
          <w:b/>
        </w:rPr>
        <w:t xml:space="preserve">Chefia / Interlocutor(a): </w:t>
      </w:r>
      <w:r>
        <w:t>Chefia do SCC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E2.O1.KR1, E2.O2.KR1, E2.O2.KR2, E2.O2.KR3, E3.O1.KR1, E9.O2.KR1 (13 ações)</w:t>
        <w:br/>
      </w:r>
      <w:r>
        <w:rPr>
          <w:b/>
        </w:rPr>
        <w:t xml:space="preserve">Síntese das Deliberações: </w:t>
      </w:r>
      <w:r>
        <w:t>Gestão preventiva de vigências contratuais (alerta 90 dias), fiscalização contratual padronizada e integração ao Painel Compartilhado de Visibilidade Intersetorial com CSL e SMP.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setorial de revisão e eficiência de contratos fixos</w:t>
            </w:r>
          </w:p>
        </w:tc>
        <w:tc>
          <w:tcPr>
            <w:tcW w:type="dxa" w:w="1440"/>
          </w:tcPr>
          <w:p>
            <w:r>
              <w:t>Identificar contratos continuados de maior impacto financeiro, propondo renegociações de valores, readequação de postos terceirizados e redução de custos operacionais recorrentes.</w:t>
            </w:r>
          </w:p>
        </w:tc>
        <w:tc>
          <w:tcPr>
            <w:tcW w:type="dxa" w:w="1440"/>
          </w:tcPr>
          <w:p>
            <w:r>
              <w:t>Líder: Serviço de Controle de Contratos; Coexecutores: Procurador-Geral Adjunto; Unidade Gestora de Atividade Meio (UGAM); Serviço de Material e Patrimônio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Revisar contratos fixos para busca contínua de economicidade</w:t>
            </w:r>
          </w:p>
        </w:tc>
        <w:tc>
          <w:tcPr>
            <w:tcW w:type="dxa" w:w="1440"/>
          </w:tcPr>
          <w:p>
            <w:r>
              <w:t>Mapear índices de reajuste (IPCA/IGP-M), repactuações de mão de obra e possibilidade de supressão ou redimensionamento de serviços continuados.</w:t>
            </w:r>
          </w:p>
        </w:tc>
        <w:tc>
          <w:tcPr>
            <w:tcW w:type="dxa" w:w="1440"/>
          </w:tcPr>
          <w:p>
            <w:r>
              <w:t>Líder: Serviço de Controle de Contratos; Coexecutores: Procurador-Geral Adjunto; Unidade Gestora de Atividade Meio (UGAM)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Segregar a gestão de contratos ordinários e contratos de projetos PROFISCO III</w:t>
            </w:r>
          </w:p>
        </w:tc>
        <w:tc>
          <w:tcPr>
            <w:tcW w:type="dxa" w:w="1440"/>
          </w:tcPr>
          <w:p>
            <w:r>
              <w:t>Estruturar acompanhamento contratual diferenciado para contratos custeados pelo tesouro estadual e contratações financiadas pelo BID/PROFISCO III, evitando descontinuidade ou sobrecusto.</w:t>
            </w:r>
          </w:p>
        </w:tc>
        <w:tc>
          <w:tcPr>
            <w:tcW w:type="dxa" w:w="1440"/>
          </w:tcPr>
          <w:p>
            <w:r>
              <w:t>Líder: Serviço de Controle de Contratos; Coexecutores: Unidade Setorial de Finanças (USF); Procurador-Geral Adjunta para Assuntos Estratégicos (PGAAE)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rotina preventiva de conformidade contratual</w:t>
            </w:r>
          </w:p>
        </w:tc>
        <w:tc>
          <w:tcPr>
            <w:tcW w:type="dxa" w:w="1440"/>
          </w:tcPr>
          <w:p>
            <w:r>
              <w:t>Revisar, antes da assinatura e formalização, documentos essenciais, certidões negativas fiscais/trabalhistas, aderência orçamentária, cláusulas críticas e designação de fiscais nos termos da Lei 14.133/2021.</w:t>
            </w:r>
          </w:p>
        </w:tc>
        <w:tc>
          <w:tcPr>
            <w:tcW w:type="dxa" w:w="1440"/>
          </w:tcPr>
          <w:p>
            <w:r>
              <w:t>Líder: Serviço de Controle de Contratos; Coexecutores: Comissão Setorial de Licitação (CSL); Unidade Setorial de Finanças (USF)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painel de fiscalização e gestão contratual</w:t>
            </w:r>
          </w:p>
        </w:tc>
        <w:tc>
          <w:tcPr>
            <w:tcW w:type="dxa" w:w="1440"/>
          </w:tcPr>
          <w:p>
            <w:r>
              <w:t>Monitorar vigência, aditivos, saldo financeiro de empenhos, cronogramas de entrega, atestes, sanções e certidões das contratadas em painel integrado.</w:t>
            </w:r>
          </w:p>
        </w:tc>
        <w:tc>
          <w:tcPr>
            <w:tcW w:type="dxa" w:w="1440"/>
          </w:tcPr>
          <w:p>
            <w:r>
              <w:t>Líder: Serviço de Controle de Contratos; Coexecutores: Assessoria em TIC da PGAAE / INOVA (Suporte de Infraestrutura: SI); Unidade Gestora de Atividade Meio (UGAM)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fiscais e gestores de contratos das unidades da PGE</w:t>
            </w:r>
          </w:p>
        </w:tc>
        <w:tc>
          <w:tcPr>
            <w:tcW w:type="dxa" w:w="1440"/>
          </w:tcPr>
          <w:p>
            <w:r>
              <w:t>Realizar capacitação periódica em conjunto com a ESAP sobre rotinas de fiscalização administrativa e técnica, atesto de notas fiscais, relatórios circunstanciados e aplicação de sanções contratuais.</w:t>
            </w:r>
          </w:p>
        </w:tc>
        <w:tc>
          <w:tcPr>
            <w:tcW w:type="dxa" w:w="1440"/>
          </w:tcPr>
          <w:p>
            <w:r>
              <w:t>Líder: Serviço de Controle de Contratos;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dias; depois periodicidade anual</w:t>
            </w:r>
          </w:p>
        </w:tc>
      </w:tr>
      <w:tr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auditorias internas semestrais de conformidade contratual</w:t>
            </w:r>
          </w:p>
        </w:tc>
        <w:tc>
          <w:tcPr>
            <w:tcW w:type="dxa" w:w="1440"/>
          </w:tcPr>
          <w:p>
            <w:r>
              <w:t>Auditar contratos críticos, verificar a manutenção das condições de habilitação, tempestividade de atestes e regularidade dos termos aditivos, sanando falhas preventivamente.</w:t>
            </w:r>
          </w:p>
        </w:tc>
        <w:tc>
          <w:tcPr>
            <w:tcW w:type="dxa" w:w="1440"/>
          </w:tcPr>
          <w:p>
            <w:r>
              <w:t>Líder: Serviço de Controle de Contratos;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sistema automatizado de alerta de vencimentos contratuais</w:t>
            </w:r>
          </w:p>
        </w:tc>
        <w:tc>
          <w:tcPr>
            <w:tcW w:type="dxa" w:w="1440"/>
          </w:tcPr>
          <w:p>
            <w:r>
              <w:t>Configurar agenda de notificações com antecedência mínima de 180, 120, 90 e 60 dias do término de vigência para cobrar manifestação das áreas técnicas e instrução tempestiva.</w:t>
            </w:r>
          </w:p>
        </w:tc>
        <w:tc>
          <w:tcPr>
            <w:tcW w:type="dxa" w:w="1440"/>
          </w:tcPr>
          <w:p>
            <w:r>
              <w:t>Líder: Serviço de Controle de Contratos; Coexecutores: Assessoria em TIC da PGAAE / INOVA (Suporte de Infraestrutura: SI); Comissão Setorial de Licitação (CSL)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Vincular renovações contratuais ao Plano de Contratações Anual (PCA)</w:t>
            </w:r>
          </w:p>
        </w:tc>
        <w:tc>
          <w:tcPr>
            <w:tcW w:type="dxa" w:w="1440"/>
          </w:tcPr>
          <w:p>
            <w:r>
              <w:t>Compatibilizar o cronograma de vencimentos ao calendário anual de compras, demandando a deflagração antecipada de procedimentos licitatórios para evitar descontinuidade de serviços.</w:t>
            </w:r>
          </w:p>
        </w:tc>
        <w:tc>
          <w:tcPr>
            <w:tcW w:type="dxa" w:w="1440"/>
          </w:tcPr>
          <w:p>
            <w:r>
              <w:t>Líder: Serviço de Controle de Contratos; Coexecutores: Comissão Setorial de Licitação (CSL); Unidade Gestora de Atividade Meio (UGAM)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protocolo de contingência e mapa de risco para contratos essenciais</w:t>
            </w:r>
          </w:p>
        </w:tc>
        <w:tc>
          <w:tcPr>
            <w:tcW w:type="dxa" w:w="1440"/>
          </w:tcPr>
          <w:p>
            <w:r>
              <w:t>Definir medidas de contingenciamento para serviços contínuos críticos (vigilância, limpeza, TI, links de dados), prevenindo ruptura de serviços e contratações emergenciais tardias.</w:t>
            </w:r>
          </w:p>
        </w:tc>
        <w:tc>
          <w:tcPr>
            <w:tcW w:type="dxa" w:w="1440"/>
          </w:tcPr>
          <w:p>
            <w:r>
              <w:t>Líder: Serviço de Controle de Contratos; Coexecutores: Procurador-Geral Adjunto; Unidade Gestora de Atividade Meio (UGAM)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Estruturar instrumentos contratuais e termos de parceria para recepção de recursos externos</w:t>
            </w:r>
          </w:p>
        </w:tc>
        <w:tc>
          <w:tcPr>
            <w:tcW w:type="dxa" w:w="1440"/>
          </w:tcPr>
          <w:p>
            <w:r>
              <w:t>Padronizar minutas, formalizar termos de cooperação técnica, convênios e parcerias e monitorar prazos de vigência de instrumentos vinculados à captação de recursos e emendas.</w:t>
            </w:r>
          </w:p>
        </w:tc>
        <w:tc>
          <w:tcPr>
            <w:tcW w:type="dxa" w:w="1440"/>
          </w:tcPr>
          <w:p>
            <w:r>
              <w:t>Líder: Serviço de Controle de Contratos;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gestão e fiscalização de contratos administrativos (Lei 14.133/2021), reequilíbrio econômico-financeiro, repactuação, aditivos e sanções contratuais),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Serviço de Controle de Contratos (SCC);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e alimentar o Painel Compartilhado de Visibilidade Intersetorial (CSL, Contratos, Patrimônio e TI)</w:t>
            </w:r>
          </w:p>
        </w:tc>
        <w:tc>
          <w:tcPr>
            <w:tcW w:type="dxa" w:w="1440"/>
          </w:tcPr>
          <w:p>
            <w:r>
              <w:t>Alimentar continuamente o dashboard compartilhado com a Comissão Setorial de Licitação (CSL), o Serviço de Material e Patrimônio (SMP) e a área de TIC, disponibilizando o status atualizado de vigências, saldos contratuais e renovações para eliminar diligências físicas entre setores.</w:t>
            </w:r>
          </w:p>
        </w:tc>
        <w:tc>
          <w:tcPr>
            <w:tcW w:type="dxa" w:w="1440"/>
          </w:tcPr>
          <w:p>
            <w:r>
              <w:t>Líder: Serviço de Controle de Contratos (SCC); Coexecutores: Comissão Setorial de Licitação (CSL), Serviço de Material e Patrimônio (SMP), Assessoria em TIC da PGAAE / INOVA</w:t>
            </w:r>
          </w:p>
        </w:tc>
        <w:tc>
          <w:tcPr>
            <w:tcW w:type="dxa" w:w="1440"/>
          </w:tcPr>
          <w:p>
            <w:r>
              <w:t>90 dias / Contínuo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Serviço de Contratos e Convênios (SCC),</w:t>
        <w:br/>
        <w:br/>
        <w:t>No âmbito da consolidação do Planejamento Estratégico 2027–2030 da PGE-MA (Processo SEI: Verificar SEI), e em conformidade com o alinhamento técnico realizado com a unidade (Chefia do SCC), a Assessoria de Planejamento e Gestão Estratégica acosta aos presentes autos a versão consolidada e saneada do Plano de Ação Setorial (Plano_Acao_Pos_Comparacao_SCC.xlsx, contemplando 13 ações estratégicas vinculadas aos resultados-chave E2.O1.KR1, E2.O2.KR1, E2.O2.KR2, E2.O2.KR3, E3.O1.KR1, E9.O2.KR1).</w:t>
        <w:br/>
        <w:br/>
        <w:t>Destaques técnicos consolidados: Gestão preventiva de vigências contratuais (alerta 90 dias), fiscalização contratual padronizada e integração ao Painel Compartilhado de Visibilidade Intersetorial com CSL e SMP.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