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SEO</w:t>
      </w:r>
    </w:p>
    <w:p>
      <w:r>
        <w:rPr>
          <w:b/>
        </w:rPr>
        <w:t xml:space="preserve">Unidade: </w:t>
      </w:r>
      <w:r>
        <w:t>SEO — Supervisão de Execução Orçamentária</w:t>
        <w:br/>
      </w:r>
      <w:r>
        <w:rPr>
          <w:b/>
        </w:rPr>
        <w:t xml:space="preserve">Chefia / Interlocutor(a): </w:t>
      </w:r>
      <w:r>
        <w:t>Valdenice</w:t>
        <w:br/>
      </w:r>
      <w:r>
        <w:rPr>
          <w:b/>
        </w:rPr>
        <w:t xml:space="preserve">Processo SEI: </w:t>
      </w:r>
      <w:r>
        <w:t xml:space="preserve">2026.11103.07203 | </w:t>
      </w:r>
      <w:r>
        <w:rPr>
          <w:b/>
        </w:rPr>
        <w:t xml:space="preserve">Status: </w:t>
      </w:r>
      <w:r>
        <w:t>Respondido no SEI</w:t>
        <w:br/>
      </w:r>
      <w:r>
        <w:rPr>
          <w:b/>
        </w:rPr>
        <w:t xml:space="preserve">KRs Vinculados: </w:t>
      </w:r>
      <w:r>
        <w:t>E3.O1.KR2, E3.O1.KR3, E9.O2.KR1 (6 ações)</w:t>
        <w:br/>
      </w:r>
      <w:r>
        <w:rPr>
          <w:b/>
        </w:rPr>
        <w:t xml:space="preserve">Síntese das Deliberações: </w:t>
      </w:r>
      <w:r>
        <w:t>Monitoramento mensal da LOA/FUNPGE, redução de Restos a Pagar (&lt; 5%) e dupla checagem contábil para pagamento tempestivo de RPVs e advogados dativos.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rito anual de programação orçamentária com priorização no 3º trimestre</w:t>
            </w:r>
          </w:p>
        </w:tc>
        <w:tc>
          <w:tcPr>
            <w:tcW w:type="dxa" w:w="1440"/>
          </w:tcPr>
          <w:p>
            <w:r>
              <w:t>Definir calendário interno de consolidação de demandas das unidades setoriais e especializadas, procedendo à emissão antecipada de reservas orçamentárias e Notas de Empenho (NE) no SIAFEM/SIGEF até o 3º trimestre de cada exercício.</w:t>
            </w:r>
          </w:p>
        </w:tc>
        <w:tc>
          <w:tcPr>
            <w:tcW w:type="dxa" w:w="1440"/>
          </w:tcPr>
          <w:p>
            <w:r>
              <w:t>Líder: Serviço de Execução Orçamentária; Coexecutores: Unidade Setorial de Finanças (USF); Serviço de Controle Contábil-Financeiro; Subprocuradoria-Geral Adjunta; PGAAE</w:t>
            </w:r>
          </w:p>
        </w:tc>
        <w:tc>
          <w:tcPr>
            <w:tcW w:type="dxa" w:w="1440"/>
          </w:tcPr>
          <w:p>
            <w:r>
              <w:t>Anual (60 dias antes do exercício) / Revisão Trimestral</w:t>
            </w:r>
          </w:p>
        </w:tc>
      </w:tr>
      <w:tr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Formalizar procedimento célere de remanejamento e créditos adicionais junto à SEPLAN</w:t>
            </w:r>
          </w:p>
        </w:tc>
        <w:tc>
          <w:tcPr>
            <w:tcW w:type="dxa" w:w="1440"/>
          </w:tcPr>
          <w:p>
            <w:r>
              <w:t>Mapear tempestivamente insuficiências de saldo em dotações de contratos essenciais, instruir processos eletrônicos de créditos suplementares e articular remanejamentos com celeridade junto à SEPLAN para garantir cobertura contratual ininterrupta.</w:t>
            </w:r>
          </w:p>
        </w:tc>
        <w:tc>
          <w:tcPr>
            <w:tcW w:type="dxa" w:w="1440"/>
          </w:tcPr>
          <w:p>
            <w:r>
              <w:t>Líder: Serviço de Execução Orçamentária; Coexecutores: Unidade Setorial de Finanças (USF); Subprocuradoria-Geral Adjunta</w:t>
            </w:r>
          </w:p>
        </w:tc>
        <w:tc>
          <w:tcPr>
            <w:tcW w:type="dxa" w:w="1440"/>
          </w:tcPr>
          <w:p>
            <w:r>
              <w:t>Contínuo / Resposta em até 5 dias</w:t>
            </w:r>
          </w:p>
        </w:tc>
      </w:tr>
      <w:tr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emissão de empenhos ao fluxo de deliberações do Comitê de Programação Orçamentária</w:t>
            </w:r>
          </w:p>
        </w:tc>
        <w:tc>
          <w:tcPr>
            <w:tcW w:type="dxa" w:w="1440"/>
          </w:tcPr>
          <w:p>
            <w:r>
              <w:t>Subsidiar as reuniões periódicas da USF e Direção-Geral com demonstrativos detalhados de saldos orçamentários disponíveis por elemento de despesa, alertando sobre riscos de sobra ou estrangulamento de dotações.</w:t>
            </w:r>
          </w:p>
        </w:tc>
        <w:tc>
          <w:tcPr>
            <w:tcW w:type="dxa" w:w="1440"/>
          </w:tcPr>
          <w:p>
            <w:r>
              <w:t>Líder: Serviço de Execução Orçamentária; Coexecutores: Unidade Setorial de Finanças (USF); Serviço de Controle Contábil-Financeiro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</w:tr>
      <w:tr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Operacionalizar a célula orçamentária de empenho das dotações vinculadas ao programa PROFISCO III</w:t>
            </w:r>
          </w:p>
        </w:tc>
        <w:tc>
          <w:tcPr>
            <w:tcW w:type="dxa" w:w="1440"/>
          </w:tcPr>
          <w:p>
            <w:r>
              <w:t>Executar a emissão tempestiva de reservas e Notas de Empenho específicas para os contratos de aquisição de bens e serviços de modernização da PGE-MA, assegurando estrita aderência às rubricas e cronogramas do BID.</w:t>
            </w:r>
          </w:p>
        </w:tc>
        <w:tc>
          <w:tcPr>
            <w:tcW w:type="dxa" w:w="1440"/>
          </w:tcPr>
          <w:p>
            <w:r>
              <w:t>Líder: Serviço de Execução Orçamentária; Coexecutores: Unidade Setorial de Finanças (USF); Subprocuradoria-Geral Adjunta; Supervisão de Informática</w:t>
            </w:r>
          </w:p>
        </w:tc>
        <w:tc>
          <w:tcPr>
            <w:tcW w:type="dxa" w:w="1440"/>
          </w:tcPr>
          <w:p>
            <w:r>
              <w:t>30 dias / Contínuo</w:t>
            </w:r>
          </w:p>
        </w:tc>
      </w:tr>
      <w:tr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Consolidar cronograma orçamentário dos projetos estratégicos PROFISCO III</w:t>
            </w:r>
          </w:p>
        </w:tc>
        <w:tc>
          <w:tcPr>
            <w:tcW w:type="dxa" w:w="1440"/>
          </w:tcPr>
          <w:p>
            <w:r>
              <w:t>Compatibilizar as dotações autorizadas na LOA para os projetos de modernização tecnológica, infraestrutura e governança da PGE com as metas pactuadas no cronograma global físico-financeiro do programa.</w:t>
            </w:r>
          </w:p>
        </w:tc>
        <w:tc>
          <w:tcPr>
            <w:tcW w:type="dxa" w:w="1440"/>
          </w:tcPr>
          <w:p>
            <w:r>
              <w:t>Líder: Serviço de Execução Orçamentária; Coexecutores: Unidade Setorial de Finanças (USF); Supervisão de Informática; Subprocuradoria-Geral Adjunta</w:t>
            </w:r>
          </w:p>
        </w:tc>
        <w:tc>
          <w:tcPr>
            <w:tcW w:type="dxa" w:w="1440"/>
          </w:tcPr>
          <w:p>
            <w:r>
              <w:t>60 dias / Trimestral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orçamento público (PPA, LDO e LOA), execução orçamentária e financeira no SIAFE, empenho, liquidação, Restos a Pagar e gestão de fundos especiais (FUNPGE)),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Serviço de Execução Orçamentária (SEO);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</w:tbl>
    <w:p>
      <w:pPr>
        <w:pStyle w:val="Heading2"/>
      </w:pPr>
      <w:r>
        <w:t>2. Demandas Externas Recebidas por SEO (11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SCCF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Subsidiar o Comitê de Programação Orçamentária e Financeira com relatórios contábeis e balancetes mensais</w:t>
            </w:r>
          </w:p>
        </w:tc>
        <w:tc>
          <w:tcPr>
            <w:tcW w:type="dxa" w:w="2160"/>
          </w:tcPr>
          <w:p>
            <w:r>
              <w:t>Líder: Serviço de Controle Contábil-Financeiro; Coexecutores: Unidade Setorial de Finanças (USF); Serviço de Execução Orçamentária; Subprocuradoria-Geral Adjunta</w:t>
            </w:r>
          </w:p>
        </w:tc>
      </w:tr>
      <w:tr>
        <w:tc>
          <w:tcPr>
            <w:tcW w:type="dxa" w:w="2160"/>
          </w:tcPr>
          <w:p>
            <w:r>
              <w:t>SCCF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Executar monitoramento contínuo da regularidade contábil e conciliação bancária das contas da PGE</w:t>
            </w:r>
          </w:p>
        </w:tc>
        <w:tc>
          <w:tcPr>
            <w:tcW w:type="dxa" w:w="2160"/>
          </w:tcPr>
          <w:p>
            <w:r>
              <w:t>Líder: Serviço de Controle Contábil-Financeiro; Coexecutores: Unidade Setorial de Finanças (USF); Serviço de Execução Orçamentária</w:t>
            </w:r>
          </w:p>
        </w:tc>
      </w:tr>
      <w:tr>
        <w:tc>
          <w:tcPr>
            <w:tcW w:type="dxa" w:w="2160"/>
          </w:tcPr>
          <w:p>
            <w:r>
              <w:t>SCCF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Gerenciar Restos a Pagar e consolidar a prestação de contas anual perante o TCE-MA e SEPLAN</w:t>
            </w:r>
          </w:p>
        </w:tc>
        <w:tc>
          <w:tcPr>
            <w:tcW w:type="dxa" w:w="2160"/>
          </w:tcPr>
          <w:p>
            <w:r>
              <w:t>Líder: Serviço de Controle Contábil-Financeiro; Coexecutores: Unidade Setorial de Finanças (USF); Serviço de Execução Orçamentária; Subprocuradoria-Geral Adjunta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Integrar orçamento, captação e planejamento estratégico em um único ciclo decisório</w:t>
            </w:r>
          </w:p>
        </w:tc>
        <w:tc>
          <w:tcPr>
            <w:tcW w:type="dxa" w:w="2160"/>
          </w:tcPr>
          <w:p>
            <w:r>
              <w:t>Líder: Unidade Gestora de Atividade Meio; Coexecutores: Procurador-Geral Adjunto; Serviço de Execução Orçamentária; Serviço de Controle Contábil-Financeiro; Procurador-Geral Adjunta para Assuntos Estratégicos (PGAAE)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Auditar anualmente a aderência do eixo às metas de financiamento e execução</w:t>
            </w:r>
          </w:p>
        </w:tc>
        <w:tc>
          <w:tcPr>
            <w:tcW w:type="dxa" w:w="2160"/>
          </w:tcPr>
          <w:p>
            <w:r>
              <w:t>Líder: Unidade Gestora de Atividade Meio; Coexecutores: Procurador-Geral Adjunto; Serviço de Execução Orçamentária; Serviço de Controle Contábil-Financeiro; Procurador-Geral Adjunta para Assuntos Estratégicos (PGAAE)</w:t>
            </w:r>
          </w:p>
        </w:tc>
      </w:tr>
      <w:tr>
        <w:tc>
          <w:tcPr>
            <w:tcW w:type="dxa" w:w="2160"/>
          </w:tcPr>
          <w:p>
            <w:r>
              <w:t>USF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Estruturar fluxo financeiro e contábil para pagamento de honorários de advogados dativos</w:t>
            </w:r>
          </w:p>
        </w:tc>
        <w:tc>
          <w:tcPr>
            <w:tcW w:type="dxa" w:w="2160"/>
          </w:tcPr>
          <w:p>
            <w:r>
              <w:t>Líder: Unidade Setorial de Finanças (USF); Coexecutores: Serviço de Controle Contábil-Financeiro; Serviço de Execução Orçamentária; Subprocuradoria-Geral Adjunta</w:t>
            </w:r>
          </w:p>
        </w:tc>
      </w:tr>
      <w:tr>
        <w:tc>
          <w:tcPr>
            <w:tcW w:type="dxa" w:w="2160"/>
          </w:tcPr>
          <w:p>
            <w:r>
              <w:t>USF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Consolidar a linha de base de execução orçamentária e financeira do exercício de 2026 como parâmetro referencial</w:t>
            </w:r>
          </w:p>
        </w:tc>
        <w:tc>
          <w:tcPr>
            <w:tcW w:type="dxa" w:w="2160"/>
          </w:tcPr>
          <w:p>
            <w:r>
              <w:t>Líder: Unidade Setorial de Finanças (USF); Coexecutores: Serviço de Execução Orçamentária; Serviço de Controle Contábil-Financeiro; Subprocuradoria-Geral Adjunta</w:t>
            </w:r>
          </w:p>
        </w:tc>
      </w:tr>
      <w:tr>
        <w:tc>
          <w:tcPr>
            <w:tcW w:type="dxa" w:w="2160"/>
          </w:tcPr>
          <w:p>
            <w:r>
              <w:t>USF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Subsidiar e articular a criação do Comitê de Programação Orçamentária e Financeira da PGE-MA</w:t>
            </w:r>
          </w:p>
        </w:tc>
        <w:tc>
          <w:tcPr>
            <w:tcW w:type="dxa" w:w="2160"/>
          </w:tcPr>
          <w:p>
            <w:r>
              <w:t>Líder: Unidade Setorial de Finanças (USF); Coexecutores: Subprocuradoria-Geral Adjunta; Serviço de Execução Orçamentária; Serviço de Controle Contábil-Financeiro; UGAM</w:t>
            </w:r>
          </w:p>
        </w:tc>
      </w:tr>
      <w:tr>
        <w:tc>
          <w:tcPr>
            <w:tcW w:type="dxa" w:w="2160"/>
          </w:tcPr>
          <w:p>
            <w:r>
              <w:t>USF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Monitorar continuamente os contratos essenciais e fluxo financeiro diário com interlocução proativa junto à SEAD</w:t>
            </w:r>
          </w:p>
        </w:tc>
        <w:tc>
          <w:tcPr>
            <w:tcW w:type="dxa" w:w="2160"/>
          </w:tcPr>
          <w:p>
            <w:r>
              <w:t>Líder: Unidade Setorial de Finanças (USF); Coexecutores: Subprocuradoria-Geral Adjunta; Serviço de Execução Orçamentária; Serviço de Controle de Contratos</w:t>
            </w:r>
          </w:p>
        </w:tc>
      </w:tr>
      <w:tr>
        <w:tc>
          <w:tcPr>
            <w:tcW w:type="dxa" w:w="2160"/>
          </w:tcPr>
          <w:p>
            <w:r>
              <w:t>USF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Estruturar governança preventiva de Restos a Pagar (RP) e Despesas de Exercícios Anteriores (DEA)</w:t>
            </w:r>
          </w:p>
        </w:tc>
        <w:tc>
          <w:tcPr>
            <w:tcW w:type="dxa" w:w="2160"/>
          </w:tcPr>
          <w:p>
            <w:r>
              <w:t>Líder: Unidade Setorial de Finanças (USF); Coexecutores: Serviço de Controle Contábil-Financeiro; Serviço de Execução Orçamentária; Subprocuradoria-Geral Adjunta</w:t>
            </w:r>
          </w:p>
        </w:tc>
      </w:tr>
      <w:tr>
        <w:tc>
          <w:tcPr>
            <w:tcW w:type="dxa" w:w="2160"/>
          </w:tcPr>
          <w:p>
            <w:r>
              <w:t>USF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Garantir a conformidade contábil-financeira e liquidação tempestiva das dotações do PROFISCO III</w:t>
            </w:r>
          </w:p>
        </w:tc>
        <w:tc>
          <w:tcPr>
            <w:tcW w:type="dxa" w:w="2160"/>
          </w:tcPr>
          <w:p>
            <w:r>
              <w:t>Líder: Unidade Setorial de Finanças (USF); Coexecutores: Serviço de Controle Contábil-Financeiro; Serviço de Execução Orçamentária; Subprocuradoria-Geral Adjunta; Supervisão de Informática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Supervisão de Execução Orçamentária (SEO),</w:t>
        <w:br/>
        <w:br/>
        <w:t>No âmbito da consolidação do Planejamento Estratégico 2027–2030 da PGE-MA (Processo SEI: 2026.11103.07203), e em conformidade com o alinhamento técnico realizado com a unidade (Valdenice), a Assessoria de Planejamento e Gestão Estratégica acosta aos presentes autos a versão consolidada e saneada do Plano de Ação Setorial (Plano_Acao_Pos_Comparacao_SEO.xlsx, contemplando 6 ações estratégicas vinculadas aos resultados-chave E3.O1.KR2, E3.O1.KR3, E9.O2.KR1).</w:t>
        <w:br/>
        <w:br/>
        <w:t>Destaques técnicos consolidados: Monitoramento mensal da LOA/FUNPGE, redução de Restos a Pagar (&lt; 5%) e dupla checagem contábil para pagamento tempestivo de RPVs e advogados dativos.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