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Ficha Individualizada de Pactuação Setorial — SMP</w:t>
      </w:r>
    </w:p>
    <w:p>
      <w:r>
        <w:rPr>
          <w:b/>
        </w:rPr>
        <w:t xml:space="preserve">Unidade: </w:t>
      </w:r>
      <w:r>
        <w:t>SMP — Serviço de Material e Patrimônio</w:t>
        <w:br/>
      </w:r>
      <w:r>
        <w:rPr>
          <w:b/>
        </w:rPr>
        <w:t xml:space="preserve">Chefia / Interlocutor(a): </w:t>
      </w:r>
      <w:r>
        <w:t>Soraya Maranhão (Despacho nº 057/2026)</w:t>
        <w:br/>
      </w:r>
      <w:r>
        <w:rPr>
          <w:b/>
        </w:rPr>
        <w:t xml:space="preserve">Processo SEI: </w:t>
      </w:r>
      <w:r>
        <w:t xml:space="preserve">2026.11103.07208 | </w:t>
      </w:r>
      <w:r>
        <w:rPr>
          <w:b/>
        </w:rPr>
        <w:t xml:space="preserve">Status: </w:t>
      </w:r>
      <w:r>
        <w:t>Respondido no SEI</w:t>
        <w:br/>
      </w:r>
      <w:r>
        <w:rPr>
          <w:b/>
        </w:rPr>
        <w:t xml:space="preserve">KRs Vinculados: </w:t>
      </w:r>
      <w:r>
        <w:t>E2.O1.KR1, E2.O1.KR2, E2.O2.KR1, E7.O2.KR1, E8.O1.KR1, E9.O2.KR1 (19 ações)</w:t>
        <w:br/>
      </w:r>
      <w:r>
        <w:rPr>
          <w:b/>
        </w:rPr>
        <w:t xml:space="preserve">Síntese das Deliberações: </w:t>
      </w:r>
      <w:r>
        <w:t>Controle de almoxarifado e patrimônio (Eixo 2), logística reversa e sustentabilidade (Eixo 8) e alimentação do Painel Compartilhado de Visibilidade Intersetorial (CSL, Contratos, Patrimônio e TI).</w:t>
      </w:r>
    </w:p>
    <w:p>
      <w:pPr>
        <w:pStyle w:val="Heading2"/>
      </w:pPr>
      <w:r>
        <w:t>1. Plano de Ação Setorial (5W2H)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KR</w:t>
            </w:r>
          </w:p>
        </w:tc>
        <w:tc>
          <w:tcPr>
            <w:tcW w:type="dxa" w:w="1440"/>
          </w:tcPr>
          <w:p>
            <w:r>
              <w:t>Pilar 3 Ps</w:t>
            </w:r>
          </w:p>
        </w:tc>
        <w:tc>
          <w:tcPr>
            <w:tcW w:type="dxa" w:w="1440"/>
          </w:tcPr>
          <w:p>
            <w:r>
              <w:t>Ação (O QUÊ)</w:t>
            </w:r>
          </w:p>
        </w:tc>
        <w:tc>
          <w:tcPr>
            <w:tcW w:type="dxa" w:w="1440"/>
          </w:tcPr>
          <w:p>
            <w:r>
              <w:t>Subação (COMO)</w:t>
            </w:r>
          </w:p>
        </w:tc>
        <w:tc>
          <w:tcPr>
            <w:tcW w:type="dxa" w:w="1440"/>
          </w:tcPr>
          <w:p>
            <w:r>
              <w:t>Responsáveis</w:t>
            </w:r>
          </w:p>
        </w:tc>
        <w:tc>
          <w:tcPr>
            <w:tcW w:type="dxa" w:w="1440"/>
          </w:tcPr>
          <w:p>
            <w:r>
              <w:t>Prazo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Triagem técnica e filtro restritivo das requisições de compras dos setores da PGE-MA (Despacho SEI nº 057/2026)</w:t>
            </w:r>
          </w:p>
        </w:tc>
        <w:tc>
          <w:tcPr>
            <w:tcW w:type="dxa" w:w="1440"/>
          </w:tcPr>
          <w:p>
            <w:r>
              <w:t>Implementar protocolo obrigatório de auditoria de consumo histórico para indeferir pedidos de compra excessivos ou redundantes, impedindo formação de estoques ociosos nos gabinetes e desperdício de material de consumo.</w:t>
            </w:r>
          </w:p>
        </w:tc>
        <w:tc>
          <w:tcPr>
            <w:tcW w:type="dxa" w:w="1440"/>
          </w:tcPr>
          <w:p>
            <w:r>
              <w:t>Líder: Serviço de Material e Patrimônio (SMP); Coexecutores: UGAM, Todas as Unidades da PGE-MA</w:t>
            </w:r>
          </w:p>
        </w:tc>
        <w:tc>
          <w:tcPr>
            <w:tcW w:type="dxa" w:w="1440"/>
          </w:tcPr>
          <w:p>
            <w:r>
              <w:t>Imediato / Contínuo até 2026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Modernização e informatização do controle de estoque do almoxarifado central (Despacho SEI nº 057/2026)</w:t>
            </w:r>
          </w:p>
        </w:tc>
        <w:tc>
          <w:tcPr>
            <w:tcW w:type="dxa" w:w="1440"/>
          </w:tcPr>
          <w:p>
            <w:r>
              <w:t>Implantar inventário digital com parametrização de estoque mínimo e ponto de ressuprimento automático; repactuar contratos contínuos de fornecimento para redução de 10% de despesas de custeio.</w:t>
            </w:r>
          </w:p>
        </w:tc>
        <w:tc>
          <w:tcPr>
            <w:tcW w:type="dxa" w:w="1440"/>
          </w:tcPr>
          <w:p>
            <w:r>
              <w:t>Líder: SMP; Coexecutores: UGAM, Assessoria em TIC da PGAAE / INOVA (Suporte de Infraestrutura: SI)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permanente de eficiência de gastos da PGE-MA</w:t>
            </w:r>
          </w:p>
        </w:tc>
        <w:tc>
          <w:tcPr>
            <w:tcW w:type="dxa" w:w="1440"/>
          </w:tcPr>
          <w:p>
            <w:r>
              <w:t>Editar ato interno criando programa de eficiência de gastos, com escopo sobre contratos fixos, material de escritório, consumo administrativo e custos recorrentes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45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linha de base de custos operacionais 2025/2026</w:t>
            </w:r>
          </w:p>
        </w:tc>
        <w:tc>
          <w:tcPr>
            <w:tcW w:type="dxa" w:w="1440"/>
          </w:tcPr>
          <w:p>
            <w:r>
              <w:t>Levantar custos com contratos fixos, papel, material de escritório, consumo de almoxarifado, manutenção e despesas administrativas recorrentes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Implementar política de racionalização de materiais de consumo</w:t>
            </w:r>
          </w:p>
        </w:tc>
        <w:tc>
          <w:tcPr>
            <w:tcW w:type="dxa" w:w="1440"/>
          </w:tcPr>
          <w:p>
            <w:r>
              <w:t>Revisar padrões de requisição, fixar cotas internas por setor e reforçar rotinas de uso racional de papel e materiais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comissão interna e definir a Tabela de Temporariedade Documental da PGE-MA.</w:t>
            </w:r>
          </w:p>
        </w:tc>
        <w:tc>
          <w:tcPr>
            <w:tcW w:type="dxa" w:w="1440"/>
          </w:tcPr>
          <w:p>
            <w:r>
              <w:t>Diagnóstico do acervo atual e confecção da minuta da tabela de temporariedade.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Até dezembro de 2027</w:t>
            </w:r>
          </w:p>
        </w:tc>
      </w:tr>
      <w:tr>
        <w:tc>
          <w:tcPr>
            <w:tcW w:type="dxa" w:w="1440"/>
          </w:tcPr>
          <w:p>
            <w:r>
              <w:t>E2.O1.KR1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Executar descarte e desmobilização de 40% do arquivo físico inativo baseado na tabela.</w:t>
            </w:r>
          </w:p>
        </w:tc>
        <w:tc>
          <w:tcPr>
            <w:tcW w:type="dxa" w:w="1440"/>
          </w:tcPr>
          <w:p>
            <w:r>
              <w:t>Eliminação de documentos obsoletos e liberação de espaço de armazenamento físico.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Até 2030</w:t>
            </w:r>
          </w:p>
        </w:tc>
      </w:tr>
      <w:tr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Realizar inventário patrimonial integral e classificação de uso</w:t>
            </w:r>
          </w:p>
        </w:tc>
        <w:tc>
          <w:tcPr>
            <w:tcW w:type="dxa" w:w="1440"/>
          </w:tcPr>
          <w:p>
            <w:r>
              <w:t>Levantar bens móveis e equipamentos, classificando-os como em uso, subutilizados, recuperáveis, ociosos ou inservíveis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1440"/>
          </w:tcPr>
          <w:p>
            <w:r>
              <w:t>Definir quais bens serão realocados, recuperados, descartados ou encaminhados à SEGEP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240 dias</w:t>
            </w:r>
          </w:p>
        </w:tc>
      </w:tr>
      <w:tr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Priorizar reaproveitamento interno antes de novas aquisições</w:t>
            </w:r>
          </w:p>
        </w:tc>
        <w:tc>
          <w:tcPr>
            <w:tcW w:type="dxa" w:w="1440"/>
          </w:tcPr>
          <w:p>
            <w:r>
              <w:t>Inserir checagem obrigatória de disponibilidade patrimonial em processos de compra de equipamentos e materiais permanentes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E2.O1.KR2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renovação tecnológica com descarte racional de bens obsoletos</w:t>
            </w:r>
          </w:p>
        </w:tc>
        <w:tc>
          <w:tcPr>
            <w:tcW w:type="dxa" w:w="1440"/>
          </w:tcPr>
          <w:p>
            <w:r>
              <w:t>Vincular o cronograma de renovação do parque tecnológico às rotinas de tombamento, remanejamento e baixa dos equipamentos substituídos</w:t>
            </w:r>
          </w:p>
        </w:tc>
        <w:tc>
          <w:tcPr>
            <w:tcW w:type="dxa" w:w="1440"/>
          </w:tcPr>
          <w:p>
            <w:r>
              <w:t>Líder: Procurador-Geral Adjunto</w:t>
            </w:r>
          </w:p>
        </w:tc>
        <w:tc>
          <w:tcPr>
            <w:tcW w:type="dxa" w:w="1440"/>
          </w:tcPr>
          <w:p>
            <w:r>
              <w:t>Conforme cronograma das contratações estruturantes</w:t>
            </w:r>
          </w:p>
        </w:tc>
      </w:tr>
      <w:tr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Consolidar inventário tecnológico com classificação de obsolescência</w:t>
            </w:r>
          </w:p>
        </w:tc>
        <w:tc>
          <w:tcPr>
            <w:tcW w:type="dxa" w:w="1440"/>
          </w:tcPr>
          <w:p>
            <w:r>
              <w:t>Levantar parque atual, identificar equipamentos defasados, criticidade por unidade e prioridade de substituição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E7.O2.KR1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Vincular substituição tecnológica à baixa ou reaproveitamento patrimonial</w:t>
            </w:r>
          </w:p>
        </w:tc>
        <w:tc>
          <w:tcPr>
            <w:tcW w:type="dxa" w:w="1440"/>
          </w:tcPr>
          <w:p>
            <w:r>
              <w:t>Integrar renovação do parque à governança de tombamento, realocação e descarte dos equipamentos substituídos</w:t>
            </w:r>
          </w:p>
        </w:tc>
        <w:tc>
          <w:tcPr>
            <w:tcW w:type="dxa" w:w="1440"/>
          </w:tcPr>
          <w:p>
            <w:r>
              <w:t>Coexecutores: Procurador-Geral Adjunto; Procurador-Geral Adjunta para Assuntos Estratégicos (PGAAE)</w:t>
            </w:r>
          </w:p>
        </w:tc>
        <w:tc>
          <w:tcPr>
            <w:tcW w:type="dxa" w:w="1440"/>
          </w:tcPr>
          <w:p>
            <w:r>
              <w:t>Conforme fases da renovação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Instituir Programa de Sustentabilidade e Inclusão da PGE-MA</w:t>
            </w:r>
          </w:p>
        </w:tc>
        <w:tc>
          <w:tcPr>
            <w:tcW w:type="dxa" w:w="1440"/>
          </w:tcPr>
          <w:p>
            <w:r>
              <w:t>Editar ato interno criando programa com dois módulos integrados: sustentabilidade operacional e equidade/diversidade/inclusão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60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Coletar linha de base do manejo de resíduos nas unidades da PGE</w:t>
            </w:r>
          </w:p>
        </w:tc>
        <w:tc>
          <w:tcPr>
            <w:tcW w:type="dxa" w:w="1440"/>
          </w:tcPr>
          <w:p>
            <w:r>
              <w:t>Levantar volume atual de resíduos gerados, fração reciclável, forma de destinação, contratos de coleta e pontos de descarte existentes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90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Mapear infraestrutura mínima de coleta seletiva por unidade</w:t>
            </w:r>
          </w:p>
        </w:tc>
        <w:tc>
          <w:tcPr>
            <w:tcW w:type="dxa" w:w="1440"/>
          </w:tcPr>
          <w:p>
            <w:r>
              <w:t>Identificar necessidade de lixeiras específicas, sinalização, ponto de armazenamento e rotina de retirada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120 dias</w:t>
            </w:r>
          </w:p>
        </w:tc>
      </w:tr>
      <w:tr>
        <w:tc>
          <w:tcPr>
            <w:tcW w:type="dxa" w:w="1440"/>
          </w:tcPr>
          <w:p>
            <w:r>
              <w:t>E8.O1.KR1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Implantar política de coleta seletiva e destinação correta</w:t>
            </w:r>
          </w:p>
        </w:tc>
        <w:tc>
          <w:tcPr>
            <w:tcW w:type="dxa" w:w="1440"/>
          </w:tcPr>
          <w:p>
            <w:r>
              <w:t>Formalizar fluxo de segregação de resíduos, acondicionamento, retirada, registro e destinação final</w:t>
            </w:r>
          </w:p>
        </w:tc>
        <w:tc>
          <w:tcPr>
            <w:tcW w:type="dxa" w:w="1440"/>
          </w:tcPr>
          <w:p>
            <w:r>
              <w:t>Coexecutores: Conselho Superior; Procurador-Geral Adjunto; Escola Superior da Advocacia Pública (ESAP); Comitê de Equidade</w:t>
            </w:r>
          </w:p>
        </w:tc>
        <w:tc>
          <w:tcPr>
            <w:tcW w:type="dxa" w:w="1440"/>
          </w:tcPr>
          <w:p>
            <w:r>
              <w:t>180 dias</w:t>
            </w:r>
          </w:p>
        </w:tc>
      </w:tr>
      <w:tr>
        <w:tc>
          <w:tcPr>
            <w:tcW w:type="dxa" w:w="1440"/>
          </w:tcPr>
          <w:p>
            <w:r>
              <w:t>E9.O2.KR1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Levantar necessidades anuais de capacitação da unidade e indicar trilhas técnicas ao Plano Anual de Capacitação (PAC)</w:t>
            </w:r>
          </w:p>
        </w:tc>
        <w:tc>
          <w:tcPr>
            <w:tcW w:type="dxa" w:w="1440"/>
          </w:tcPr>
          <w:p>
            <w:r>
              <w:t>Mapear anualmente as demandas prioritárias de qualificação técnica da equipe (com foco em gestão patrimonial e de almoxarifado no setor público, inventário de bens móveis e imóveis, depreciação contábil, desfazimento de inservíveis e compras sustentáveis), encaminhar sugestões de cursos e oficinas práticas à ESAP e ao SGRH para composição do Plano Anual de Capacitação (PAC) e viabilizar a participação ativa de ao menos 40% dos integrantes do setor.</w:t>
            </w:r>
          </w:p>
        </w:tc>
        <w:tc>
          <w:tcPr>
            <w:tcW w:type="dxa" w:w="1440"/>
          </w:tcPr>
          <w:p>
            <w:r>
              <w:t>Líder: Serviço de Material e Patrimônio (SMP); Coexecutores: Escola Superior da Advocacia Pública (ESAP), Serviço de Gestão de Recursos Humanos (SGRH)</w:t>
            </w:r>
          </w:p>
        </w:tc>
        <w:tc>
          <w:tcPr>
            <w:tcW w:type="dxa" w:w="1440"/>
          </w:tcPr>
          <w:p>
            <w:r>
              <w:t>Ciclo Anual até 2029</w:t>
            </w:r>
          </w:p>
        </w:tc>
      </w:tr>
      <w:tr>
        <w:tc>
          <w:tcPr>
            <w:tcW w:type="dxa" w:w="1440"/>
          </w:tcPr>
          <w:p>
            <w:r>
              <w:t>E2.O2.KR1</w:t>
            </w:r>
          </w:p>
        </w:tc>
        <w:tc>
          <w:tcPr>
            <w:tcW w:type="dxa" w:w="1440"/>
          </w:tcPr>
          <w:p>
            <w:r>
              <w:t>Outros Eixos / Governança</w:t>
            </w:r>
          </w:p>
        </w:tc>
        <w:tc>
          <w:tcPr>
            <w:tcW w:type="dxa" w:w="144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1440"/>
          </w:tcPr>
          <w:p>
            <w:r>
              <w:t>Compartilhar em painel integrado com a CSL, o Serviço de Controle de Contratos (SCC) e a TIC os dados atualizados de inventário patrimonial, demandas de materiais e baixa de equipamentos obsoletos, agilizando a instrução da fase preparatória das contratações.</w:t>
            </w:r>
          </w:p>
        </w:tc>
        <w:tc>
          <w:tcPr>
            <w:tcW w:type="dxa" w:w="1440"/>
          </w:tcPr>
          <w:p>
            <w:r>
              <w:t>Líder: Serviço de Material e Patrimônio (SMP); Coexecutores: Comissão Setorial de Licitação (CSL), Serviço de Controle de Contratos (SCC), Assessoria em TIC da PGAAE / INOVA</w:t>
            </w:r>
          </w:p>
        </w:tc>
        <w:tc>
          <w:tcPr>
            <w:tcW w:type="dxa" w:w="1440"/>
          </w:tcPr>
          <w:p>
            <w:r>
              <w:t>90 dias / Contínuo</w:t>
            </w:r>
          </w:p>
        </w:tc>
      </w:tr>
    </w:tbl>
    <w:p>
      <w:pPr>
        <w:pStyle w:val="Heading2"/>
      </w:pPr>
      <w:r>
        <w:t>2. Demandas Externas Recebidas por SMP (10 ações)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Origem</w:t>
            </w:r>
          </w:p>
        </w:tc>
        <w:tc>
          <w:tcPr>
            <w:tcW w:type="dxa" w:w="2160"/>
          </w:tcPr>
          <w:p>
            <w:r>
              <w:t>KR</w:t>
            </w:r>
          </w:p>
        </w:tc>
        <w:tc>
          <w:tcPr>
            <w:tcW w:type="dxa" w:w="2160"/>
          </w:tcPr>
          <w:p>
            <w:r>
              <w:t>Ação</w:t>
            </w:r>
          </w:p>
        </w:tc>
        <w:tc>
          <w:tcPr>
            <w:tcW w:type="dxa" w:w="2160"/>
          </w:tcPr>
          <w:p>
            <w:r>
              <w:t>Responsáveis</w:t>
            </w:r>
          </w:p>
        </w:tc>
      </w:tr>
      <w:tr>
        <w:tc>
          <w:tcPr>
            <w:tcW w:type="dxa" w:w="2160"/>
          </w:tcPr>
          <w:p>
            <w:r>
              <w:t>CSL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Implantação de Painel Compartilhado de Visibilidade e Transparência Intersetorial de Demandas</w:t>
            </w:r>
          </w:p>
        </w:tc>
        <w:tc>
          <w:tcPr>
            <w:tcW w:type="dxa" w:w="2160"/>
          </w:tcPr>
          <w:p>
            <w:r>
              <w:t>Liderança: CSL, Assessoria em TIC da PGAAE / INOVA (Suporte de Infraestrutura: SI); Apoio: Serviço de Controle de Contratos, Serviço de Material e Patrimônio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Instituir programa setorial de revisão e eficiência de contratos fixos</w:t>
            </w:r>
          </w:p>
        </w:tc>
        <w:tc>
          <w:tcPr>
            <w:tcW w:type="dxa" w:w="2160"/>
          </w:tcPr>
          <w:p>
            <w:r>
              <w:t>Líder: Serviço de Controle de Contratos; Coexecutores: Procurador-Geral Adjunto; Unidade Gestora de Atividade Meio (UGAM); Serviço de Material e Patrimônio</w:t>
            </w:r>
          </w:p>
        </w:tc>
      </w:tr>
      <w:tr>
        <w:tc>
          <w:tcPr>
            <w:tcW w:type="dxa" w:w="2160"/>
          </w:tcPr>
          <w:p>
            <w:r>
              <w:t>SCC</w:t>
            </w:r>
          </w:p>
        </w:tc>
        <w:tc>
          <w:tcPr>
            <w:tcW w:type="dxa" w:w="2160"/>
          </w:tcPr>
          <w:p>
            <w:r>
              <w:t>E2.O2.KR1</w:t>
            </w:r>
          </w:p>
        </w:tc>
        <w:tc>
          <w:tcPr>
            <w:tcW w:type="dxa" w:w="2160"/>
          </w:tcPr>
          <w:p>
            <w:r>
              <w:t>Integrar e alimentar o Painel Compartilhado de Visibilidade Intersetorial (CSL, Contratos, Patrimônio e TI)</w:t>
            </w:r>
          </w:p>
        </w:tc>
        <w:tc>
          <w:tcPr>
            <w:tcW w:type="dxa" w:w="2160"/>
          </w:tcPr>
          <w:p>
            <w:r>
              <w:t>Líder: Serviço de Controle de Contratos (SCC); Coexecutores: Comissão Setorial de Licitação (CSL), Serviço de Material e Patrimônio (SMP), Assessoria em TIC da PGAAE / INOVA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Instituir programa permanente de eficiência de gastos da PGE-MA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E2.O1.KR1</w:t>
            </w:r>
          </w:p>
        </w:tc>
        <w:tc>
          <w:tcPr>
            <w:tcW w:type="dxa" w:w="2160"/>
          </w:tcPr>
          <w:p>
            <w:r>
              <w:t>Consolidar linha de base de custos operacionais 2025/2026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E2.O1.KR2</w:t>
            </w:r>
          </w:p>
        </w:tc>
        <w:tc>
          <w:tcPr>
            <w:tcW w:type="dxa" w:w="2160"/>
          </w:tcPr>
          <w:p>
            <w:r>
              <w:t>Realizar inventário patrimonial integral e classificação de uso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E2.O1.KR2</w:t>
            </w:r>
          </w:p>
        </w:tc>
        <w:tc>
          <w:tcPr>
            <w:tcW w:type="dxa" w:w="2160"/>
          </w:tcPr>
          <w:p>
            <w:r>
              <w:t>Criar plano de desmobilização, reaproveitamento e recuperação de ativos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E5.O7.KR1</w:t>
            </w:r>
          </w:p>
        </w:tc>
        <w:tc>
          <w:tcPr>
            <w:tcW w:type="dxa" w:w="2160"/>
          </w:tcPr>
          <w:p>
            <w:r>
              <w:t>Avaliar necessidade de contratação ou recomposição de apoio técnico especializado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Instituir Programa de Sustentabilidade e Inclusão da PGE-MA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  <w:tr>
        <w:tc>
          <w:tcPr>
            <w:tcW w:type="dxa" w:w="2160"/>
          </w:tcPr>
          <w:p>
            <w:r>
              <w:t>UGAM</w:t>
            </w:r>
          </w:p>
        </w:tc>
        <w:tc>
          <w:tcPr>
            <w:tcW w:type="dxa" w:w="2160"/>
          </w:tcPr>
          <w:p>
            <w:r>
              <w:t>E8.O1.KR1</w:t>
            </w:r>
          </w:p>
        </w:tc>
        <w:tc>
          <w:tcPr>
            <w:tcW w:type="dxa" w:w="2160"/>
          </w:tcPr>
          <w:p>
            <w:r>
              <w:t>Coletar linha de base do manejo de resíduos nas unidades da PGE</w:t>
            </w:r>
          </w:p>
        </w:tc>
        <w:tc>
          <w:tcPr>
            <w:tcW w:type="dxa" w:w="2160"/>
          </w:tcPr>
          <w:p>
            <w:r>
              <w:t>Líder Coordenador: Unidade Gestora de Atividade Meio (UGAM); Setores Executores: SMP, SGT, SGRH</w:t>
            </w:r>
          </w:p>
        </w:tc>
      </w:tr>
    </w:tbl>
    <w:p>
      <w:pPr>
        <w:pStyle w:val="Heading2"/>
      </w:pPr>
      <w:r>
        <w:t>3. Minuta de Despacho de Validação SEI</w:t>
      </w:r>
    </w:p>
    <w:p>
      <w:r>
        <w:t>À Chefia da Serviço de Material e Patrimônio (SMP),</w:t>
        <w:br/>
        <w:br/>
        <w:t>No âmbito da consolidação do Planejamento Estratégico 2027–2030 da PGE-MA (Processo SEI: 2026.11103.07208), e em conformidade com o alinhamento técnico realizado com a unidade (Soraya Maranhão (Despacho nº 057/2026)), a Assessoria de Planejamento e Gestão Estratégica acosta aos presentes autos a versão consolidada e saneada do Plano de Ação Setorial (Plano_Acao_Pos_Comparacao_SMP.xlsx, contemplando 19 ações estratégicas vinculadas aos resultados-chave E2.O1.KR1, E2.O1.KR2, E2.O2.KR1, E7.O2.KR1, E8.O1.KR1, E9.O2.KR1).</w:t>
        <w:br/>
        <w:br/>
        <w:t>Destaques técnicos consolidados: Controle de almoxarifado e patrimônio (Eixo 2), logística reversa e sustentabilidade (Eixo 8) e alimentação do Painel Compartilhado de Visibilidade Intersetorial (CSL, Contratos, Patrimônio e TI).</w:t>
        <w:br/>
        <w:br/>
        <w:t>Solicita-se a conferência e o lançamento de despacho simplificado de validação ("Com reunião de alinhamento e planilha saneada anexada aos autos, valido os dados e o Plano de Ação desta unidade para o ciclo 2027–2030"), restituindo-se os autos à Assessoria de Planejamento / PGAAE para homologação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