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Ficha Individualizada de Pactuação Setorial — USF</w:t>
      </w:r>
    </w:p>
    <w:p>
      <w:r>
        <w:rPr>
          <w:b/>
        </w:rPr>
        <w:t xml:space="preserve">Unidade: </w:t>
      </w:r>
      <w:r>
        <w:t>USF — Unidade Setorial de Finanças</w:t>
        <w:br/>
      </w:r>
      <w:r>
        <w:rPr>
          <w:b/>
        </w:rPr>
        <w:t xml:space="preserve">Chefia / Interlocutor(a): </w:t>
      </w:r>
      <w:r>
        <w:t>Maria de Nazaré</w:t>
        <w:br/>
      </w:r>
      <w:r>
        <w:rPr>
          <w:b/>
        </w:rPr>
        <w:t xml:space="preserve">Processo SEI: </w:t>
      </w:r>
      <w:r>
        <w:t xml:space="preserve">2026.11103.07203 | </w:t>
      </w:r>
      <w:r>
        <w:rPr>
          <w:b/>
        </w:rPr>
        <w:t xml:space="preserve">Status: </w:t>
      </w:r>
      <w:r>
        <w:t>Respondido no SEI</w:t>
        <w:br/>
      </w:r>
      <w:r>
        <w:rPr>
          <w:b/>
        </w:rPr>
        <w:t xml:space="preserve">KRs Vinculados: </w:t>
      </w:r>
      <w:r>
        <w:t>E1.O1.KR2, E3.O1.KR2, E3.O1.KR3, E9.O2.KR1 (9 ações)</w:t>
        <w:br/>
      </w:r>
      <w:r>
        <w:rPr>
          <w:b/>
        </w:rPr>
        <w:t xml:space="preserve">Síntese das Deliberações: </w:t>
      </w:r>
      <w:r>
        <w:t>Retificado ano-base (2025 -&gt; 2026); isenta de prospecção externa (E3.O1.KR1) e de gestão negocial do BID (E3.O1.KR3), focando em 100% de execução orçamentária (E3.O1.KR2) e conformidade financeira.</w:t>
      </w:r>
    </w:p>
    <w:p>
      <w:pPr>
        <w:pStyle w:val="Heading2"/>
      </w:pPr>
      <w:r>
        <w:t>1. Plano de Ação Setorial (5W2H)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>
              <w:t>KR</w:t>
            </w:r>
          </w:p>
        </w:tc>
        <w:tc>
          <w:tcPr>
            <w:tcW w:type="dxa" w:w="1440"/>
          </w:tcPr>
          <w:p>
            <w:r>
              <w:t>Pilar 3 Ps</w:t>
            </w:r>
          </w:p>
        </w:tc>
        <w:tc>
          <w:tcPr>
            <w:tcW w:type="dxa" w:w="1440"/>
          </w:tcPr>
          <w:p>
            <w:r>
              <w:t>Ação (O QUÊ)</w:t>
            </w:r>
          </w:p>
        </w:tc>
        <w:tc>
          <w:tcPr>
            <w:tcW w:type="dxa" w:w="1440"/>
          </w:tcPr>
          <w:p>
            <w:r>
              <w:t>Subação (COMO)</w:t>
            </w:r>
          </w:p>
        </w:tc>
        <w:tc>
          <w:tcPr>
            <w:tcW w:type="dxa" w:w="1440"/>
          </w:tcPr>
          <w:p>
            <w:r>
              <w:t>Responsáveis</w:t>
            </w:r>
          </w:p>
        </w:tc>
        <w:tc>
          <w:tcPr>
            <w:tcW w:type="dxa" w:w="1440"/>
          </w:tcPr>
          <w:p>
            <w:r>
              <w:t>Prazo</w:t>
            </w:r>
          </w:p>
        </w:tc>
      </w:tr>
      <w:tr>
        <w:tc>
          <w:tcPr>
            <w:tcW w:type="dxa" w:w="1440"/>
          </w:tcPr>
          <w:p>
            <w:r>
              <w:t>E1.O1.KR2</w:t>
            </w:r>
          </w:p>
        </w:tc>
        <w:tc>
          <w:tcPr>
            <w:tcW w:type="dxa" w:w="1440"/>
          </w:tcPr>
          <w:p>
            <w:r>
              <w:t>Outros Eixos / Governança</w:t>
            </w:r>
          </w:p>
        </w:tc>
        <w:tc>
          <w:tcPr>
            <w:tcW w:type="dxa" w:w="1440"/>
          </w:tcPr>
          <w:p>
            <w:r>
              <w:t>Operacionalizar protocolo de dupla checagem financeira e conferência prévia ao desembolso de RPVs</w:t>
            </w:r>
          </w:p>
        </w:tc>
        <w:tc>
          <w:tcPr>
            <w:tcW w:type="dxa" w:w="1440"/>
          </w:tcPr>
          <w:p>
            <w:r>
              <w:t>Aplicar checklist financeiro obrigatório para validação de dados bancários, titularidade de beneficiários, retenções legais e histórico de pagamentos antes da emissão de ordens bancárias, prevenindo duplicidades e bloqueios.</w:t>
            </w:r>
          </w:p>
        </w:tc>
        <w:tc>
          <w:tcPr>
            <w:tcW w:type="dxa" w:w="1440"/>
          </w:tcPr>
          <w:p>
            <w:r>
              <w:t>Líder: Unidade Setorial de Finanças (USF); Coexecutores: Procuradoria de Execuções e Requisições Judiciais de Pagamento (PERJP); Serviço de Controle Contábil-Financeiro; Núcleo de Cálculos</w:t>
            </w:r>
          </w:p>
        </w:tc>
        <w:tc>
          <w:tcPr>
            <w:tcW w:type="dxa" w:w="1440"/>
          </w:tcPr>
          <w:p>
            <w:r>
              <w:t>60 dias / Contínuo</w:t>
            </w:r>
          </w:p>
        </w:tc>
      </w:tr>
      <w:tr>
        <w:tc>
          <w:tcPr>
            <w:tcW w:type="dxa" w:w="1440"/>
          </w:tcPr>
          <w:p>
            <w:r>
              <w:t>E1.O1.KR2</w:t>
            </w:r>
          </w:p>
        </w:tc>
        <w:tc>
          <w:tcPr>
            <w:tcW w:type="dxa" w:w="1440"/>
          </w:tcPr>
          <w:p>
            <w:r>
              <w:t>Outros Eixos / Governança</w:t>
            </w:r>
          </w:p>
        </w:tc>
        <w:tc>
          <w:tcPr>
            <w:tcW w:type="dxa" w:w="1440"/>
          </w:tcPr>
          <w:p>
            <w:r>
              <w:t>Estruturar fluxo financeiro e contábil para pagamento de honorários de advogados dativos</w:t>
            </w:r>
          </w:p>
        </w:tc>
        <w:tc>
          <w:tcPr>
            <w:tcW w:type="dxa" w:w="1440"/>
          </w:tcPr>
          <w:p>
            <w:r>
              <w:t>Instituir rotina regular de conferência, liquidação e pagamento para as requisições de honorários de defensores dativos em consonância com as normativas do CNJ e Tribunal de Justiça, assegurando dotação orçamentária e cota financeira tempestiva.</w:t>
            </w:r>
          </w:p>
        </w:tc>
        <w:tc>
          <w:tcPr>
            <w:tcW w:type="dxa" w:w="1440"/>
          </w:tcPr>
          <w:p>
            <w:r>
              <w:t>Líder: Unidade Setorial de Finanças (USF); Coexecutores: Serviço de Controle Contábil-Financeiro; Serviço de Execução Orçamentária; Subprocuradoria-Geral Adjunta</w:t>
            </w:r>
          </w:p>
        </w:tc>
        <w:tc>
          <w:tcPr>
            <w:tcW w:type="dxa" w:w="1440"/>
          </w:tcPr>
          <w:p>
            <w:r>
              <w:t>60 dias / Fluxo Mensal</w:t>
            </w:r>
          </w:p>
        </w:tc>
      </w:tr>
      <w:tr>
        <w:tc>
          <w:tcPr>
            <w:tcW w:type="dxa" w:w="1440"/>
          </w:tcPr>
          <w:p>
            <w:r>
              <w:t>E3.O1.KR2</w:t>
            </w:r>
          </w:p>
        </w:tc>
        <w:tc>
          <w:tcPr>
            <w:tcW w:type="dxa" w:w="1440"/>
          </w:tcPr>
          <w:p>
            <w:r>
              <w:t>Outros Eixos / Governança</w:t>
            </w:r>
          </w:p>
        </w:tc>
        <w:tc>
          <w:tcPr>
            <w:tcW w:type="dxa" w:w="1440"/>
          </w:tcPr>
          <w:p>
            <w:r>
              <w:t>Consolidar a linha de base de execução orçamentária e financeira do exercício de 2026 como parâmetro referencial</w:t>
            </w:r>
          </w:p>
        </w:tc>
        <w:tc>
          <w:tcPr>
            <w:tcW w:type="dxa" w:w="1440"/>
          </w:tcPr>
          <w:p>
            <w:r>
              <w:t>Retificar o ano de referência (corrigindo erro material na planilha do SEI de 2025 para 2026) e mapear o histórico de pagamentos, liquidações e saldos contratuais da PGE-MA para identificar sazonalidades, gargalos e antecipar demandas.</w:t>
            </w:r>
          </w:p>
        </w:tc>
        <w:tc>
          <w:tcPr>
            <w:tcW w:type="dxa" w:w="1440"/>
          </w:tcPr>
          <w:p>
            <w:r>
              <w:t>Líder: Unidade Setorial de Finanças (USF); Coexecutores: Serviço de Execução Orçamentária; Serviço de Controle Contábil-Financeiro; Subprocuradoria-Geral Adjunta</w:t>
            </w:r>
          </w:p>
        </w:tc>
        <w:tc>
          <w:tcPr>
            <w:tcW w:type="dxa" w:w="1440"/>
          </w:tcPr>
          <w:p>
            <w:r>
              <w:t>45 dias / 1º Trimestre</w:t>
            </w:r>
          </w:p>
        </w:tc>
      </w:tr>
      <w:tr>
        <w:tc>
          <w:tcPr>
            <w:tcW w:type="dxa" w:w="1440"/>
          </w:tcPr>
          <w:p>
            <w:r>
              <w:t>E3.O1.KR2</w:t>
            </w:r>
          </w:p>
        </w:tc>
        <w:tc>
          <w:tcPr>
            <w:tcW w:type="dxa" w:w="1440"/>
          </w:tcPr>
          <w:p>
            <w:r>
              <w:t>Outros Eixos / Governança</w:t>
            </w:r>
          </w:p>
        </w:tc>
        <w:tc>
          <w:tcPr>
            <w:tcW w:type="dxa" w:w="1440"/>
          </w:tcPr>
          <w:p>
            <w:r>
              <w:t>Subsidiar e articular a criação do Comitê de Programação Orçamentária e Financeira da PGE-MA</w:t>
            </w:r>
          </w:p>
        </w:tc>
        <w:tc>
          <w:tcPr>
            <w:tcW w:type="dxa" w:w="1440"/>
          </w:tcPr>
          <w:p>
            <w:r>
              <w:t>Instituir comissão permanente de acompanhamento mensal entre a Setorial Financeira, Diretoria-Geral e setores demandantes para avaliar o ritmo de despesas, programar cotas e deliberar sobre remanejamentos tempestivos, evitando contingenciamentos involuntários.</w:t>
            </w:r>
          </w:p>
        </w:tc>
        <w:tc>
          <w:tcPr>
            <w:tcW w:type="dxa" w:w="1440"/>
          </w:tcPr>
          <w:p>
            <w:r>
              <w:t>Líder: Unidade Setorial de Finanças (USF); Coexecutores: Subprocuradoria-Geral Adjunta; Serviço de Execução Orçamentária; Serviço de Controle Contábil-Financeiro; UGAM</w:t>
            </w:r>
          </w:p>
        </w:tc>
        <w:tc>
          <w:tcPr>
            <w:tcW w:type="dxa" w:w="1440"/>
          </w:tcPr>
          <w:p>
            <w:r>
              <w:t>30 dias / Mensal</w:t>
            </w:r>
          </w:p>
        </w:tc>
      </w:tr>
      <w:tr>
        <w:tc>
          <w:tcPr>
            <w:tcW w:type="dxa" w:w="1440"/>
          </w:tcPr>
          <w:p>
            <w:r>
              <w:t>E3.O1.KR2</w:t>
            </w:r>
          </w:p>
        </w:tc>
        <w:tc>
          <w:tcPr>
            <w:tcW w:type="dxa" w:w="1440"/>
          </w:tcPr>
          <w:p>
            <w:r>
              <w:t>Outros Eixos / Governança</w:t>
            </w:r>
          </w:p>
        </w:tc>
        <w:tc>
          <w:tcPr>
            <w:tcW w:type="dxa" w:w="1440"/>
          </w:tcPr>
          <w:p>
            <w:r>
              <w:t>Monitorar continuamente os contratos essenciais e fluxo financeiro diário com interlocução proativa junto à SEAD</w:t>
            </w:r>
          </w:p>
        </w:tc>
        <w:tc>
          <w:tcPr>
            <w:tcW w:type="dxa" w:w="1440"/>
          </w:tcPr>
          <w:p>
            <w:r>
              <w:t>Acompanhar o processamento diário de liquidações contratuais (limpeza, vigilância, locação, TI), sinalizando previamente à Secretaria de Estado da Administração (SEAD) a necessidade de liberação de cotas financeiras de caixa para honrar os compromissos sem atrasos.</w:t>
            </w:r>
          </w:p>
        </w:tc>
        <w:tc>
          <w:tcPr>
            <w:tcW w:type="dxa" w:w="1440"/>
          </w:tcPr>
          <w:p>
            <w:r>
              <w:t>Líder: Unidade Setorial de Finanças (USF); Coexecutores: Subprocuradoria-Geral Adjunta; Serviço de Execução Orçamentária; Serviço de Controle de Contratos</w:t>
            </w:r>
          </w:p>
        </w:tc>
        <w:tc>
          <w:tcPr>
            <w:tcW w:type="dxa" w:w="1440"/>
          </w:tcPr>
          <w:p>
            <w:r>
              <w:t>Contínuo / Diário</w:t>
            </w:r>
          </w:p>
        </w:tc>
      </w:tr>
      <w:tr>
        <w:tc>
          <w:tcPr>
            <w:tcW w:type="dxa" w:w="1440"/>
          </w:tcPr>
          <w:p>
            <w:r>
              <w:t>E3.O1.KR2</w:t>
            </w:r>
          </w:p>
        </w:tc>
        <w:tc>
          <w:tcPr>
            <w:tcW w:type="dxa" w:w="1440"/>
          </w:tcPr>
          <w:p>
            <w:r>
              <w:t>Outros Eixos / Governança</w:t>
            </w:r>
          </w:p>
        </w:tc>
        <w:tc>
          <w:tcPr>
            <w:tcW w:type="dxa" w:w="1440"/>
          </w:tcPr>
          <w:p>
            <w:r>
              <w:t>Estruturar governança preventiva de Restos a Pagar (RP) e Despesas de Exercícios Anteriores (DEA)</w:t>
            </w:r>
          </w:p>
        </w:tc>
        <w:tc>
          <w:tcPr>
            <w:tcW w:type="dxa" w:w="1440"/>
          </w:tcPr>
          <w:p>
            <w:r>
              <w:t>Promover o saneamento das obrigações contratuais a cada encerramento de exercício em dezembro, mitigando o acúmulo excessivo de Restos a Pagar e articulando a liberação prioritária de cotas financeiras suplementares junto à SEAD no início do exercício seguinte.</w:t>
            </w:r>
          </w:p>
        </w:tc>
        <w:tc>
          <w:tcPr>
            <w:tcW w:type="dxa" w:w="1440"/>
          </w:tcPr>
          <w:p>
            <w:r>
              <w:t>Líder: Unidade Setorial de Finanças (USF); Coexecutores: Serviço de Controle Contábil-Financeiro; Serviço de Execução Orçamentária; Subprocuradoria-Geral Adjunta</w:t>
            </w:r>
          </w:p>
        </w:tc>
        <w:tc>
          <w:tcPr>
            <w:tcW w:type="dxa" w:w="1440"/>
          </w:tcPr>
          <w:p>
            <w:r>
              <w:t>Trimestral / Encerramento do Exercício</w:t>
            </w:r>
          </w:p>
        </w:tc>
      </w:tr>
      <w:tr>
        <w:tc>
          <w:tcPr>
            <w:tcW w:type="dxa" w:w="1440"/>
          </w:tcPr>
          <w:p>
            <w:r>
              <w:t>E3.O1.KR2</w:t>
            </w:r>
          </w:p>
        </w:tc>
        <w:tc>
          <w:tcPr>
            <w:tcW w:type="dxa" w:w="1440"/>
          </w:tcPr>
          <w:p>
            <w:r>
              <w:t>Outros Eixos / Governança</w:t>
            </w:r>
          </w:p>
        </w:tc>
        <w:tc>
          <w:tcPr>
            <w:tcW w:type="dxa" w:w="1440"/>
          </w:tcPr>
          <w:p>
            <w:r>
              <w:t>Implantar painel mensal integrado de acompanhamento da execução orçamentário-financeira</w:t>
            </w:r>
          </w:p>
        </w:tc>
        <w:tc>
          <w:tcPr>
            <w:tcW w:type="dxa" w:w="1440"/>
          </w:tcPr>
          <w:p>
            <w:r>
              <w:t>Consolidar e disponibilizar aos gestores dados extraídos do SIAFEM e SIGEF demonstrando a evolução das despesas por fonte de recursos, elemento de despesa e projetos estratégicos institucionais.</w:t>
            </w:r>
          </w:p>
        </w:tc>
        <w:tc>
          <w:tcPr>
            <w:tcW w:type="dxa" w:w="1440"/>
          </w:tcPr>
          <w:p>
            <w:r>
              <w:t>Líder: Unidade Setorial de Finanças; Coordenação Pedagógica: ESAP (via Plano Anual de Capacitação - PAC)</w:t>
            </w:r>
          </w:p>
        </w:tc>
        <w:tc>
          <w:tcPr>
            <w:tcW w:type="dxa" w:w="1440"/>
          </w:tcPr>
          <w:p>
            <w:r>
              <w:t>90 dias / Mensal</w:t>
            </w:r>
          </w:p>
        </w:tc>
      </w:tr>
      <w:tr>
        <w:tc>
          <w:tcPr>
            <w:tcW w:type="dxa" w:w="1440"/>
          </w:tcPr>
          <w:p>
            <w:r>
              <w:t>E3.O1.KR3</w:t>
            </w:r>
          </w:p>
        </w:tc>
        <w:tc>
          <w:tcPr>
            <w:tcW w:type="dxa" w:w="1440"/>
          </w:tcPr>
          <w:p>
            <w:r>
              <w:t>Outros Eixos / Governança</w:t>
            </w:r>
          </w:p>
        </w:tc>
        <w:tc>
          <w:tcPr>
            <w:tcW w:type="dxa" w:w="1440"/>
          </w:tcPr>
          <w:p>
            <w:r>
              <w:t>Garantir a conformidade contábil-financeira e liquidação tempestiva das dotações do PROFISCO III</w:t>
            </w:r>
          </w:p>
        </w:tc>
        <w:tc>
          <w:tcPr>
            <w:tcW w:type="dxa" w:w="1440"/>
          </w:tcPr>
          <w:p>
            <w:r>
              <w:t>Prestar suporte operacional e proceder à liquidação e pagamento das despesas contratadas no âmbito do programa PROFISCO III, assegurando segregação de contas e atendimento aos manuais de desembolso do BID.</w:t>
            </w:r>
          </w:p>
        </w:tc>
        <w:tc>
          <w:tcPr>
            <w:tcW w:type="dxa" w:w="1440"/>
          </w:tcPr>
          <w:p>
            <w:r>
              <w:t>Líder: Unidade Setorial de Finanças (USF); Coexecutores: Serviço de Controle Contábil-Financeiro; Serviço de Execução Orçamentária; Subprocuradoria-Geral Adjunta; Supervisão de Informática</w:t>
            </w:r>
          </w:p>
        </w:tc>
        <w:tc>
          <w:tcPr>
            <w:tcW w:type="dxa" w:w="1440"/>
          </w:tcPr>
          <w:p>
            <w:r>
              <w:t>Conforme cronograma do BID / Contínuo</w:t>
            </w:r>
          </w:p>
        </w:tc>
      </w:tr>
      <w:tr>
        <w:tc>
          <w:tcPr>
            <w:tcW w:type="dxa" w:w="1440"/>
          </w:tcPr>
          <w:p>
            <w:r>
              <w:t>E9.O2.KR1</w:t>
            </w:r>
          </w:p>
        </w:tc>
        <w:tc>
          <w:tcPr>
            <w:tcW w:type="dxa" w:w="1440"/>
          </w:tcPr>
          <w:p>
            <w:r>
              <w:t>Outros Eixos / Governança</w:t>
            </w:r>
          </w:p>
        </w:tc>
        <w:tc>
          <w:tcPr>
            <w:tcW w:type="dxa" w:w="1440"/>
          </w:tcPr>
          <w:p>
            <w:r>
              <w:t>Levantar necessidades anuais de capacitação da unidade e indicar trilhas técnicas ao Plano Anual de Capacitação (PAC)</w:t>
            </w:r>
          </w:p>
        </w:tc>
        <w:tc>
          <w:tcPr>
            <w:tcW w:type="dxa" w:w="1440"/>
          </w:tcPr>
          <w:p>
            <w:r>
              <w:t>Mapear anualmente as demandas prioritárias de qualificação técnica da equipe (com foco em gestão financeira e orçamentária pública, conformidade contábil no SIAFE, prestação de contas ao TCE-MA, controle de RPVs e execução do FUNPGE), encaminhar sugestões de cursos e oficinas práticas à ESAP e ao SGRH para composição do Plano Anual de Capacitação (PAC) e viabilizar a participação ativa de ao menos 40% dos integrantes do setor.</w:t>
            </w:r>
          </w:p>
        </w:tc>
        <w:tc>
          <w:tcPr>
            <w:tcW w:type="dxa" w:w="1440"/>
          </w:tcPr>
          <w:p>
            <w:r>
              <w:t>Líder: Unidade Setorial de Finanças (USF); Coexecutores: Escola Superior da Advocacia Pública (ESAP), Serviço de Gestão de Recursos Humanos (SGRH)</w:t>
            </w:r>
          </w:p>
        </w:tc>
        <w:tc>
          <w:tcPr>
            <w:tcW w:type="dxa" w:w="1440"/>
          </w:tcPr>
          <w:p>
            <w:r>
              <w:t>Ciclo Anual até 2029</w:t>
            </w:r>
          </w:p>
        </w:tc>
      </w:tr>
    </w:tbl>
    <w:p>
      <w:pPr>
        <w:pStyle w:val="Heading2"/>
      </w:pPr>
      <w:r>
        <w:t>2. Demandas Externas Recebidas por USF (22 ações)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Origem</w:t>
            </w:r>
          </w:p>
        </w:tc>
        <w:tc>
          <w:tcPr>
            <w:tcW w:type="dxa" w:w="2160"/>
          </w:tcPr>
          <w:p>
            <w:r>
              <w:t>KR</w:t>
            </w:r>
          </w:p>
        </w:tc>
        <w:tc>
          <w:tcPr>
            <w:tcW w:type="dxa" w:w="2160"/>
          </w:tcPr>
          <w:p>
            <w:r>
              <w:t>Ação</w:t>
            </w:r>
          </w:p>
        </w:tc>
        <w:tc>
          <w:tcPr>
            <w:tcW w:type="dxa" w:w="2160"/>
          </w:tcPr>
          <w:p>
            <w:r>
              <w:t>Responsáveis</w:t>
            </w:r>
          </w:p>
        </w:tc>
      </w:tr>
      <w:tr>
        <w:tc>
          <w:tcPr>
            <w:tcW w:type="dxa" w:w="2160"/>
          </w:tcPr>
          <w:p>
            <w:r>
              <w:t>CSL</w:t>
            </w:r>
          </w:p>
        </w:tc>
        <w:tc>
          <w:tcPr>
            <w:tcW w:type="dxa" w:w="2160"/>
          </w:tcPr>
          <w:p>
            <w:r>
              <w:t>E2.O2.KR1</w:t>
            </w:r>
          </w:p>
        </w:tc>
        <w:tc>
          <w:tcPr>
            <w:tcW w:type="dxa" w:w="2160"/>
          </w:tcPr>
          <w:p>
            <w:r>
              <w:t>Instituir grupo de trabalho permanente de contratações</w:t>
            </w:r>
          </w:p>
        </w:tc>
        <w:tc>
          <w:tcPr>
            <w:tcW w:type="dxa" w:w="2160"/>
          </w:tcPr>
          <w:p>
            <w:r>
              <w:t>Líder: Procurador-Geral Adjunto; Coexecutores: CSL, Serviço de Controle de Contratos, UGAM, USF</w:t>
            </w:r>
          </w:p>
        </w:tc>
      </w:tr>
      <w:tr>
        <w:tc>
          <w:tcPr>
            <w:tcW w:type="dxa" w:w="2160"/>
          </w:tcPr>
          <w:p>
            <w:r>
              <w:t>PDA</w:t>
            </w:r>
          </w:p>
        </w:tc>
        <w:tc>
          <w:tcPr>
            <w:tcW w:type="dxa" w:w="2160"/>
          </w:tcPr>
          <w:p>
            <w:r>
              <w:t>E9.O3.KR1</w:t>
            </w:r>
          </w:p>
        </w:tc>
        <w:tc>
          <w:tcPr>
            <w:tcW w:type="dxa" w:w="2160"/>
          </w:tcPr>
          <w:p>
            <w:r>
              <w:t>Incluir os honorários de sucumbência nos acordos de transação tributária e rotinas de execução dos créditos da unidade</w:t>
            </w:r>
          </w:p>
        </w:tc>
        <w:tc>
          <w:tcPr>
            <w:tcW w:type="dxa" w:w="2160"/>
          </w:tcPr>
          <w:p>
            <w:r>
              <w:t>Líder: Procuradoria da Dívida Ativa; Coexecutores: Contencioso Fiscal, PGAAE, PGA, USF</w:t>
            </w:r>
          </w:p>
        </w:tc>
      </w:tr>
      <w:tr>
        <w:tc>
          <w:tcPr>
            <w:tcW w:type="dxa" w:w="2160"/>
          </w:tcPr>
          <w:p>
            <w:r>
              <w:t>PERJP</w:t>
            </w:r>
          </w:p>
        </w:tc>
        <w:tc>
          <w:tcPr>
            <w:tcW w:type="dxa" w:w="2160"/>
          </w:tcPr>
          <w:p>
            <w:r>
              <w:t>E1.O1.KR1</w:t>
            </w:r>
          </w:p>
        </w:tc>
        <w:tc>
          <w:tcPr>
            <w:tcW w:type="dxa" w:w="2160"/>
          </w:tcPr>
          <w:p>
            <w:r>
              <w:t>Fomentar acordos diretos em precatórios com deságio perante a Câmara de Conciliação de Precatórios (CASC/TJMA)</w:t>
            </w:r>
          </w:p>
        </w:tc>
        <w:tc>
          <w:tcPr>
            <w:tcW w:type="dxa" w:w="2160"/>
          </w:tcPr>
          <w:p>
            <w:r>
              <w:t>Líder: Procuradoria de Execuções e Requisições Judiciais de Pagamento; Coexecutores: PGAAE, USF, CASC</w:t>
            </w:r>
          </w:p>
        </w:tc>
      </w:tr>
      <w:tr>
        <w:tc>
          <w:tcPr>
            <w:tcW w:type="dxa" w:w="2160"/>
          </w:tcPr>
          <w:p>
            <w:r>
              <w:t>PERJP</w:t>
            </w:r>
          </w:p>
        </w:tc>
        <w:tc>
          <w:tcPr>
            <w:tcW w:type="dxa" w:w="2160"/>
          </w:tcPr>
          <w:p>
            <w:r>
              <w:t>E1.O1.KR2</w:t>
            </w:r>
          </w:p>
        </w:tc>
        <w:tc>
          <w:tcPr>
            <w:tcW w:type="dxa" w:w="2160"/>
          </w:tcPr>
          <w:p>
            <w:r>
              <w:t>Instituir governança formal do programa de saneamento de RPV e precatórios</w:t>
            </w:r>
          </w:p>
        </w:tc>
        <w:tc>
          <w:tcPr>
            <w:tcW w:type="dxa" w:w="2160"/>
          </w:tcPr>
          <w:p>
            <w:r>
              <w:t>Líder: Procuradoria de Execuções e Requisições Judiciais de Pagamento; Coexecutores: PGAAE, USF, Núcleo de Cálculos</w:t>
            </w:r>
          </w:p>
        </w:tc>
      </w:tr>
      <w:tr>
        <w:tc>
          <w:tcPr>
            <w:tcW w:type="dxa" w:w="2160"/>
          </w:tcPr>
          <w:p>
            <w:r>
              <w:t>PERJP</w:t>
            </w:r>
          </w:p>
        </w:tc>
        <w:tc>
          <w:tcPr>
            <w:tcW w:type="dxa" w:w="2160"/>
          </w:tcPr>
          <w:p>
            <w:r>
              <w:t>E1.O1.KR2</w:t>
            </w:r>
          </w:p>
        </w:tc>
        <w:tc>
          <w:tcPr>
            <w:tcW w:type="dxa" w:w="2160"/>
          </w:tcPr>
          <w:p>
            <w:r>
              <w:t>Coletar e validar a linha de base de bloqueios e duplicidades</w:t>
            </w:r>
          </w:p>
        </w:tc>
        <w:tc>
          <w:tcPr>
            <w:tcW w:type="dxa" w:w="2160"/>
          </w:tcPr>
          <w:p>
            <w:r>
              <w:t>Líder: Procuradoria de Execuções e Requisições Judiciais de Pagamento; Coexecutores: USF, PGAAE</w:t>
            </w:r>
          </w:p>
        </w:tc>
      </w:tr>
      <w:tr>
        <w:tc>
          <w:tcPr>
            <w:tcW w:type="dxa" w:w="2160"/>
          </w:tcPr>
          <w:p>
            <w:r>
              <w:t>PERJP</w:t>
            </w:r>
          </w:p>
        </w:tc>
        <w:tc>
          <w:tcPr>
            <w:tcW w:type="dxa" w:w="2160"/>
          </w:tcPr>
          <w:p>
            <w:r>
              <w:t>E1.O1.KR2</w:t>
            </w:r>
          </w:p>
        </w:tc>
        <w:tc>
          <w:tcPr>
            <w:tcW w:type="dxa" w:w="2160"/>
          </w:tcPr>
          <w:p>
            <w:r>
              <w:t>Redesenhar o fluxo de revisão e validação de RPV</w:t>
            </w:r>
          </w:p>
        </w:tc>
        <w:tc>
          <w:tcPr>
            <w:tcW w:type="dxa" w:w="2160"/>
          </w:tcPr>
          <w:p>
            <w:r>
              <w:t>Líder: Procuradoria de Execuções e Requisições Judiciais de Pagamento; Coexecutores: USF, Núcleo de Cálculos</w:t>
            </w:r>
          </w:p>
        </w:tc>
      </w:tr>
      <w:tr>
        <w:tc>
          <w:tcPr>
            <w:tcW w:type="dxa" w:w="2160"/>
          </w:tcPr>
          <w:p>
            <w:r>
              <w:t>PERJP</w:t>
            </w:r>
          </w:p>
        </w:tc>
        <w:tc>
          <w:tcPr>
            <w:tcW w:type="dxa" w:w="2160"/>
          </w:tcPr>
          <w:p>
            <w:r>
              <w:t>E1.O1.KR2</w:t>
            </w:r>
          </w:p>
        </w:tc>
        <w:tc>
          <w:tcPr>
            <w:tcW w:type="dxa" w:w="2160"/>
          </w:tcPr>
          <w:p>
            <w:r>
              <w:t>Implantar protocolo obrigatório de conferência pré-pagamento</w:t>
            </w:r>
          </w:p>
        </w:tc>
        <w:tc>
          <w:tcPr>
            <w:tcW w:type="dxa" w:w="2160"/>
          </w:tcPr>
          <w:p>
            <w:r>
              <w:t>Líder: Procuradoria de Execuções e Requisições Judiciais de Pagamento; Coexecutores: USF, Núcleo de Cálculos</w:t>
            </w:r>
          </w:p>
        </w:tc>
      </w:tr>
      <w:tr>
        <w:tc>
          <w:tcPr>
            <w:tcW w:type="dxa" w:w="2160"/>
          </w:tcPr>
          <w:p>
            <w:r>
              <w:t>PERJP</w:t>
            </w:r>
          </w:p>
        </w:tc>
        <w:tc>
          <w:tcPr>
            <w:tcW w:type="dxa" w:w="2160"/>
          </w:tcPr>
          <w:p>
            <w:r>
              <w:t>E1.O1.KR2</w:t>
            </w:r>
          </w:p>
        </w:tc>
        <w:tc>
          <w:tcPr>
            <w:tcW w:type="dxa" w:w="2160"/>
          </w:tcPr>
          <w:p>
            <w:r>
              <w:t>Desenvolver e implantar sistema de controle de precatórios, RPVs e depósitos judiciais</w:t>
            </w:r>
          </w:p>
        </w:tc>
        <w:tc>
          <w:tcPr>
            <w:tcW w:type="dxa" w:w="2160"/>
          </w:tcPr>
          <w:p>
            <w:r>
              <w:t>Líder: Procuradoria de Execuções e Requisições Judiciais de Pagamento; Coexecutores: Assessoria em TIC da PGAAE / INOVA (Suporte de Infraestrutura: SI), USF</w:t>
            </w:r>
          </w:p>
        </w:tc>
      </w:tr>
      <w:tr>
        <w:tc>
          <w:tcPr>
            <w:tcW w:type="dxa" w:w="2160"/>
          </w:tcPr>
          <w:p>
            <w:r>
              <w:t>PERJP</w:t>
            </w:r>
          </w:p>
        </w:tc>
        <w:tc>
          <w:tcPr>
            <w:tcW w:type="dxa" w:w="2160"/>
          </w:tcPr>
          <w:p>
            <w:r>
              <w:t>E1.O1.KR2</w:t>
            </w:r>
          </w:p>
        </w:tc>
        <w:tc>
          <w:tcPr>
            <w:tcW w:type="dxa" w:w="2160"/>
          </w:tcPr>
          <w:p>
            <w:r>
              <w:t>Integrar o sistema novo aos fluxos financeiros e processuais existentes</w:t>
            </w:r>
          </w:p>
        </w:tc>
        <w:tc>
          <w:tcPr>
            <w:tcW w:type="dxa" w:w="2160"/>
          </w:tcPr>
          <w:p>
            <w:r>
              <w:t>Líder: Procuradoria de Execuções e Requisições Judiciais de Pagamento; Coexecutores: Assessoria em TIC da PGAAE / INOVA (Suporte de Infraestrutura: SI), USF</w:t>
            </w:r>
          </w:p>
        </w:tc>
      </w:tr>
      <w:tr>
        <w:tc>
          <w:tcPr>
            <w:tcW w:type="dxa" w:w="2160"/>
          </w:tcPr>
          <w:p>
            <w:r>
              <w:t>PERJP</w:t>
            </w:r>
          </w:p>
        </w:tc>
        <w:tc>
          <w:tcPr>
            <w:tcW w:type="dxa" w:w="2160"/>
          </w:tcPr>
          <w:p>
            <w:r>
              <w:t>E1.O1.KR2</w:t>
            </w:r>
          </w:p>
        </w:tc>
        <w:tc>
          <w:tcPr>
            <w:tcW w:type="dxa" w:w="2160"/>
          </w:tcPr>
          <w:p>
            <w:r>
              <w:t>Instituir auditoria mensal de inconsistências</w:t>
            </w:r>
          </w:p>
        </w:tc>
        <w:tc>
          <w:tcPr>
            <w:tcW w:type="dxa" w:w="2160"/>
          </w:tcPr>
          <w:p>
            <w:r>
              <w:t>Líder: Procuradoria de Execuções e Requisições Judiciais de Pagamento; Coexecutores: Corregedoria-Geral, USF</w:t>
            </w:r>
          </w:p>
        </w:tc>
      </w:tr>
      <w:tr>
        <w:tc>
          <w:tcPr>
            <w:tcW w:type="dxa" w:w="2160"/>
          </w:tcPr>
          <w:p>
            <w:r>
              <w:t>SCC</w:t>
            </w:r>
          </w:p>
        </w:tc>
        <w:tc>
          <w:tcPr>
            <w:tcW w:type="dxa" w:w="2160"/>
          </w:tcPr>
          <w:p>
            <w:r>
              <w:t>E2.O1.KR1</w:t>
            </w:r>
          </w:p>
        </w:tc>
        <w:tc>
          <w:tcPr>
            <w:tcW w:type="dxa" w:w="2160"/>
          </w:tcPr>
          <w:p>
            <w:r>
              <w:t>Segregar a gestão de contratos ordinários e contratos de projetos PROFISCO III</w:t>
            </w:r>
          </w:p>
        </w:tc>
        <w:tc>
          <w:tcPr>
            <w:tcW w:type="dxa" w:w="2160"/>
          </w:tcPr>
          <w:p>
            <w:r>
              <w:t>Líder: Serviço de Controle de Contratos; Coexecutores: Unidade Setorial de Finanças (USF); Procurador-Geral Adjunta para Assuntos Estratégicos (PGAAE)</w:t>
            </w:r>
          </w:p>
        </w:tc>
      </w:tr>
      <w:tr>
        <w:tc>
          <w:tcPr>
            <w:tcW w:type="dxa" w:w="2160"/>
          </w:tcPr>
          <w:p>
            <w:r>
              <w:t>SCC</w:t>
            </w:r>
          </w:p>
        </w:tc>
        <w:tc>
          <w:tcPr>
            <w:tcW w:type="dxa" w:w="2160"/>
          </w:tcPr>
          <w:p>
            <w:r>
              <w:t>E2.O2.KR2</w:t>
            </w:r>
          </w:p>
        </w:tc>
        <w:tc>
          <w:tcPr>
            <w:tcW w:type="dxa" w:w="2160"/>
          </w:tcPr>
          <w:p>
            <w:r>
              <w:t>Criar rotina preventiva de conformidade contratual</w:t>
            </w:r>
          </w:p>
        </w:tc>
        <w:tc>
          <w:tcPr>
            <w:tcW w:type="dxa" w:w="2160"/>
          </w:tcPr>
          <w:p>
            <w:r>
              <w:t>Líder: Serviço de Controle de Contratos; Coexecutores: Comissão Setorial de Licitação (CSL); Unidade Setorial de Finanças (USF)</w:t>
            </w:r>
          </w:p>
        </w:tc>
      </w:tr>
      <w:tr>
        <w:tc>
          <w:tcPr>
            <w:tcW w:type="dxa" w:w="2160"/>
          </w:tcPr>
          <w:p>
            <w:r>
              <w:t>SCCF</w:t>
            </w:r>
          </w:p>
        </w:tc>
        <w:tc>
          <w:tcPr>
            <w:tcW w:type="dxa" w:w="2160"/>
          </w:tcPr>
          <w:p>
            <w:r>
              <w:t>E3.O1.KR2</w:t>
            </w:r>
          </w:p>
        </w:tc>
        <w:tc>
          <w:tcPr>
            <w:tcW w:type="dxa" w:w="2160"/>
          </w:tcPr>
          <w:p>
            <w:r>
              <w:t>Subsidiar o Comitê de Programação Orçamentária e Financeira com relatórios contábeis e balancetes mensais</w:t>
            </w:r>
          </w:p>
        </w:tc>
        <w:tc>
          <w:tcPr>
            <w:tcW w:type="dxa" w:w="2160"/>
          </w:tcPr>
          <w:p>
            <w:r>
              <w:t>Líder: Serviço de Controle Contábil-Financeiro; Coexecutores: Unidade Setorial de Finanças (USF); Serviço de Execução Orçamentária; Subprocuradoria-Geral Adjunta</w:t>
            </w:r>
          </w:p>
        </w:tc>
      </w:tr>
      <w:tr>
        <w:tc>
          <w:tcPr>
            <w:tcW w:type="dxa" w:w="2160"/>
          </w:tcPr>
          <w:p>
            <w:r>
              <w:t>SCCF</w:t>
            </w:r>
          </w:p>
        </w:tc>
        <w:tc>
          <w:tcPr>
            <w:tcW w:type="dxa" w:w="2160"/>
          </w:tcPr>
          <w:p>
            <w:r>
              <w:t>E3.O1.KR2</w:t>
            </w:r>
          </w:p>
        </w:tc>
        <w:tc>
          <w:tcPr>
            <w:tcW w:type="dxa" w:w="2160"/>
          </w:tcPr>
          <w:p>
            <w:r>
              <w:t>Executar monitoramento contínuo da regularidade contábil e conciliação bancária das contas da PGE</w:t>
            </w:r>
          </w:p>
        </w:tc>
        <w:tc>
          <w:tcPr>
            <w:tcW w:type="dxa" w:w="2160"/>
          </w:tcPr>
          <w:p>
            <w:r>
              <w:t>Líder: Serviço de Controle Contábil-Financeiro; Coexecutores: Unidade Setorial de Finanças (USF); Serviço de Execução Orçamentária</w:t>
            </w:r>
          </w:p>
        </w:tc>
      </w:tr>
      <w:tr>
        <w:tc>
          <w:tcPr>
            <w:tcW w:type="dxa" w:w="2160"/>
          </w:tcPr>
          <w:p>
            <w:r>
              <w:t>SCCF</w:t>
            </w:r>
          </w:p>
        </w:tc>
        <w:tc>
          <w:tcPr>
            <w:tcW w:type="dxa" w:w="2160"/>
          </w:tcPr>
          <w:p>
            <w:r>
              <w:t>E3.O1.KR2</w:t>
            </w:r>
          </w:p>
        </w:tc>
        <w:tc>
          <w:tcPr>
            <w:tcW w:type="dxa" w:w="2160"/>
          </w:tcPr>
          <w:p>
            <w:r>
              <w:t>Gerenciar Restos a Pagar e consolidar a prestação de contas anual perante o TCE-MA e SEPLAN</w:t>
            </w:r>
          </w:p>
        </w:tc>
        <w:tc>
          <w:tcPr>
            <w:tcW w:type="dxa" w:w="2160"/>
          </w:tcPr>
          <w:p>
            <w:r>
              <w:t>Líder: Serviço de Controle Contábil-Financeiro; Coexecutores: Unidade Setorial de Finanças (USF); Serviço de Execução Orçamentária; Subprocuradoria-Geral Adjunta</w:t>
            </w:r>
          </w:p>
        </w:tc>
      </w:tr>
      <w:tr>
        <w:tc>
          <w:tcPr>
            <w:tcW w:type="dxa" w:w="2160"/>
          </w:tcPr>
          <w:p>
            <w:r>
              <w:t>SCCF</w:t>
            </w:r>
          </w:p>
        </w:tc>
        <w:tc>
          <w:tcPr>
            <w:tcW w:type="dxa" w:w="2160"/>
          </w:tcPr>
          <w:p>
            <w:r>
              <w:t>E3.O1.KR2</w:t>
            </w:r>
          </w:p>
        </w:tc>
        <w:tc>
          <w:tcPr>
            <w:tcW w:type="dxa" w:w="2160"/>
          </w:tcPr>
          <w:p>
            <w:r>
              <w:t>Operacionalizar conciliação e controle contábil dos pagamentos de RPVs e honorários de advogados dativos</w:t>
            </w:r>
          </w:p>
        </w:tc>
        <w:tc>
          <w:tcPr>
            <w:tcW w:type="dxa" w:w="2160"/>
          </w:tcPr>
          <w:p>
            <w:r>
              <w:t>Líder: Serviço de Controle Contábil-Financeiro; Coexecutores: Unidade Setorial de Finanças (USF); PERJP</w:t>
            </w:r>
          </w:p>
        </w:tc>
      </w:tr>
      <w:tr>
        <w:tc>
          <w:tcPr>
            <w:tcW w:type="dxa" w:w="2160"/>
          </w:tcPr>
          <w:p>
            <w:r>
              <w:t>SEO</w:t>
            </w:r>
          </w:p>
        </w:tc>
        <w:tc>
          <w:tcPr>
            <w:tcW w:type="dxa" w:w="2160"/>
          </w:tcPr>
          <w:p>
            <w:r>
              <w:t>E3.O1.KR2</w:t>
            </w:r>
          </w:p>
        </w:tc>
        <w:tc>
          <w:tcPr>
            <w:tcW w:type="dxa" w:w="2160"/>
          </w:tcPr>
          <w:p>
            <w:r>
              <w:t>Instituir rito anual de programação orçamentária com priorização no 3º trimestre</w:t>
            </w:r>
          </w:p>
        </w:tc>
        <w:tc>
          <w:tcPr>
            <w:tcW w:type="dxa" w:w="2160"/>
          </w:tcPr>
          <w:p>
            <w:r>
              <w:t>Líder: Serviço de Execução Orçamentária; Coexecutores: Unidade Setorial de Finanças (USF); Serviço de Controle Contábil-Financeiro; Subprocuradoria-Geral Adjunta; PGAAE</w:t>
            </w:r>
          </w:p>
        </w:tc>
      </w:tr>
      <w:tr>
        <w:tc>
          <w:tcPr>
            <w:tcW w:type="dxa" w:w="2160"/>
          </w:tcPr>
          <w:p>
            <w:r>
              <w:t>SEO</w:t>
            </w:r>
          </w:p>
        </w:tc>
        <w:tc>
          <w:tcPr>
            <w:tcW w:type="dxa" w:w="2160"/>
          </w:tcPr>
          <w:p>
            <w:r>
              <w:t>E3.O1.KR2</w:t>
            </w:r>
          </w:p>
        </w:tc>
        <w:tc>
          <w:tcPr>
            <w:tcW w:type="dxa" w:w="2160"/>
          </w:tcPr>
          <w:p>
            <w:r>
              <w:t>Formalizar procedimento célere de remanejamento e créditos adicionais junto à SEPLAN</w:t>
            </w:r>
          </w:p>
        </w:tc>
        <w:tc>
          <w:tcPr>
            <w:tcW w:type="dxa" w:w="2160"/>
          </w:tcPr>
          <w:p>
            <w:r>
              <w:t>Líder: Serviço de Execução Orçamentária; Coexecutores: Unidade Setorial de Finanças (USF); Subprocuradoria-Geral Adjunta</w:t>
            </w:r>
          </w:p>
        </w:tc>
      </w:tr>
      <w:tr>
        <w:tc>
          <w:tcPr>
            <w:tcW w:type="dxa" w:w="2160"/>
          </w:tcPr>
          <w:p>
            <w:r>
              <w:t>SEO</w:t>
            </w:r>
          </w:p>
        </w:tc>
        <w:tc>
          <w:tcPr>
            <w:tcW w:type="dxa" w:w="2160"/>
          </w:tcPr>
          <w:p>
            <w:r>
              <w:t>E3.O1.KR2</w:t>
            </w:r>
          </w:p>
        </w:tc>
        <w:tc>
          <w:tcPr>
            <w:tcW w:type="dxa" w:w="2160"/>
          </w:tcPr>
          <w:p>
            <w:r>
              <w:t>Integrar emissão de empenhos ao fluxo de deliberações do Comitê de Programação Orçamentária</w:t>
            </w:r>
          </w:p>
        </w:tc>
        <w:tc>
          <w:tcPr>
            <w:tcW w:type="dxa" w:w="2160"/>
          </w:tcPr>
          <w:p>
            <w:r>
              <w:t>Líder: Serviço de Execução Orçamentária; Coexecutores: Unidade Setorial de Finanças (USF); Serviço de Controle Contábil-Financeiro</w:t>
            </w:r>
          </w:p>
        </w:tc>
      </w:tr>
      <w:tr>
        <w:tc>
          <w:tcPr>
            <w:tcW w:type="dxa" w:w="2160"/>
          </w:tcPr>
          <w:p>
            <w:r>
              <w:t>SEO</w:t>
            </w:r>
          </w:p>
        </w:tc>
        <w:tc>
          <w:tcPr>
            <w:tcW w:type="dxa" w:w="2160"/>
          </w:tcPr>
          <w:p>
            <w:r>
              <w:t>E3.O1.KR3</w:t>
            </w:r>
          </w:p>
        </w:tc>
        <w:tc>
          <w:tcPr>
            <w:tcW w:type="dxa" w:w="2160"/>
          </w:tcPr>
          <w:p>
            <w:r>
              <w:t>Operacionalizar a célula orçamentária de empenho das dotações vinculadas ao programa PROFISCO III</w:t>
            </w:r>
          </w:p>
        </w:tc>
        <w:tc>
          <w:tcPr>
            <w:tcW w:type="dxa" w:w="2160"/>
          </w:tcPr>
          <w:p>
            <w:r>
              <w:t>Líder: Serviço de Execução Orçamentária; Coexecutores: Unidade Setorial de Finanças (USF); Subprocuradoria-Geral Adjunta; Supervisão de Informática</w:t>
            </w:r>
          </w:p>
        </w:tc>
      </w:tr>
      <w:tr>
        <w:tc>
          <w:tcPr>
            <w:tcW w:type="dxa" w:w="2160"/>
          </w:tcPr>
          <w:p>
            <w:r>
              <w:t>SEO</w:t>
            </w:r>
          </w:p>
        </w:tc>
        <w:tc>
          <w:tcPr>
            <w:tcW w:type="dxa" w:w="2160"/>
          </w:tcPr>
          <w:p>
            <w:r>
              <w:t>E3.O1.KR3</w:t>
            </w:r>
          </w:p>
        </w:tc>
        <w:tc>
          <w:tcPr>
            <w:tcW w:type="dxa" w:w="2160"/>
          </w:tcPr>
          <w:p>
            <w:r>
              <w:t>Consolidar cronograma orçamentário dos projetos estratégicos PROFISCO III</w:t>
            </w:r>
          </w:p>
        </w:tc>
        <w:tc>
          <w:tcPr>
            <w:tcW w:type="dxa" w:w="2160"/>
          </w:tcPr>
          <w:p>
            <w:r>
              <w:t>Líder: Serviço de Execução Orçamentária; Coexecutores: Unidade Setorial de Finanças (USF); Supervisão de Informática; Subprocuradoria-Geral Adjunta</w:t>
            </w:r>
          </w:p>
        </w:tc>
      </w:tr>
      <w:tr>
        <w:tc>
          <w:tcPr>
            <w:tcW w:type="dxa" w:w="2160"/>
          </w:tcPr>
          <w:p>
            <w:r>
              <w:t>SI</w:t>
            </w:r>
          </w:p>
        </w:tc>
        <w:tc>
          <w:tcPr>
            <w:tcW w:type="dxa" w:w="2160"/>
          </w:tcPr>
          <w:p>
            <w:r>
              <w:t>E3.O1.KR3</w:t>
            </w:r>
          </w:p>
        </w:tc>
        <w:tc>
          <w:tcPr>
            <w:tcW w:type="dxa" w:w="2160"/>
          </w:tcPr>
          <w:p>
            <w:r>
              <w:t>Garantir governança técnica e cumprimento dos marcos do BID na carteira de TIC do PROFISCO III</w:t>
            </w:r>
          </w:p>
        </w:tc>
        <w:tc>
          <w:tcPr>
            <w:tcW w:type="dxa" w:w="2160"/>
          </w:tcPr>
          <w:p>
            <w:r>
              <w:t>Líder: Supervisão de Informática; Coexecutores: Subprocuradoria-Geral Adjunta (USF e Contabilidade), PGAAE</w:t>
            </w:r>
          </w:p>
        </w:tc>
      </w:tr>
    </w:tbl>
    <w:p>
      <w:pPr>
        <w:pStyle w:val="Heading2"/>
      </w:pPr>
      <w:r>
        <w:t>3. Minuta de Despacho de Validação SEI</w:t>
      </w:r>
    </w:p>
    <w:p>
      <w:r>
        <w:t>À Chefia da Unidade Setorial de Finanças (USF),</w:t>
        <w:br/>
        <w:br/>
        <w:t>No âmbito da consolidação do Planejamento Estratégico 2027–2030 da PGE-MA (Processo SEI: 2026.11103.07203), e em conformidade com o alinhamento técnico realizado com a unidade (Maria de Nazaré), a Assessoria de Planejamento e Gestão Estratégica acosta aos presentes autos a versão consolidada e saneada do Plano de Ação Setorial (Plano_Acao_Pos_Comparacao_USF.xlsx, contemplando 9 ações estratégicas vinculadas aos resultados-chave E1.O1.KR2, E3.O1.KR2, E3.O1.KR3, E9.O2.KR1).</w:t>
        <w:br/>
        <w:br/>
        <w:t>Destaques técnicos consolidados: Retificado ano-base (2025 -&gt; 2026); isenta de prospecção externa (E3.O1.KR1) e de gestão negocial do BID (E3.O1.KR3), focando em 100% de execução orçamentária (E3.O1.KR2) e conformidade financeira.</w:t>
        <w:br/>
        <w:br/>
        <w:t>Solicita-se a conferência e o lançamento de despacho simplificado de validação ("Com reunião de alinhamento e planilha saneada anexada aos autos, valido os dados e o Plano de Ação desta unidade para o ciclo 2027–2030"), restituindo-se os autos à Assessoria de Planejamento / PGAAE para homologação final.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