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Mapa Estratégico — Eixos e Objetivos (PGE-MA 2027–2030)</w:t>
      </w:r>
    </w:p>
    <w:p>
      <w:pPr>
        <w:pStyle w:val="Heading2"/>
      </w:pPr>
      <w:r>
        <w:t>E1 — Eixo Estratégico 1 – Incrementar a arrecadação e otimizar a cobrança da dívida 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Objetivo Estratégico</w:t>
            </w:r>
          </w:p>
        </w:tc>
        <w:tc>
          <w:tcPr>
            <w:tcW w:type="dxa" w:w="2160"/>
          </w:tcPr>
          <w:p>
            <w:r>
              <w:t>Metas / Ações</w:t>
            </w:r>
          </w:p>
        </w:tc>
        <w:tc>
          <w:tcPr>
            <w:tcW w:type="dxa" w:w="2160"/>
          </w:tcPr>
          <w:p>
            <w:r>
              <w:t>Unidades</w:t>
            </w:r>
          </w:p>
        </w:tc>
      </w:tr>
      <w:tr>
        <w:tc>
          <w:tcPr>
            <w:tcW w:type="dxa" w:w="2160"/>
          </w:tcPr>
          <w:p>
            <w:r>
              <w:t>E1.O1</w:t>
            </w:r>
          </w:p>
        </w:tc>
        <w:tc>
          <w:tcPr>
            <w:tcW w:type="dxa" w:w="2160"/>
          </w:tcPr>
          <w:p>
            <w:r>
              <w:t>O1: Reduzir o montante de precatórios e requisições de pequeno valor</w:t>
            </w:r>
          </w:p>
        </w:tc>
        <w:tc>
          <w:tcPr>
            <w:tcW w:type="dxa" w:w="2160"/>
          </w:tcPr>
          <w:p>
            <w:r>
              <w:t>2 KRs / 32 ações</w:t>
            </w:r>
          </w:p>
        </w:tc>
        <w:tc>
          <w:tcPr>
            <w:tcW w:type="dxa" w:w="2160"/>
          </w:tcPr>
          <w:p>
            <w:r>
              <w:t>NC, NIRF, PCF, PDA, PERJP, PGAAE, USF</w:t>
            </w:r>
          </w:p>
        </w:tc>
      </w:tr>
      <w:tr>
        <w:tc>
          <w:tcPr>
            <w:tcW w:type="dxa" w:w="2160"/>
          </w:tcPr>
          <w:p>
            <w:r>
              <w:t>E1.O2</w:t>
            </w:r>
          </w:p>
        </w:tc>
        <w:tc>
          <w:tcPr>
            <w:tcW w:type="dxa" w:w="2160"/>
          </w:tcPr>
          <w:p>
            <w:r>
              <w:t>O2: Aumentar a arrecadação da dívida ativa</w:t>
            </w:r>
          </w:p>
        </w:tc>
        <w:tc>
          <w:tcPr>
            <w:tcW w:type="dxa" w:w="2160"/>
          </w:tcPr>
          <w:p>
            <w:r>
              <w:t>3 KRs / 28 ações</w:t>
            </w:r>
          </w:p>
        </w:tc>
        <w:tc>
          <w:tcPr>
            <w:tcW w:type="dxa" w:w="2160"/>
          </w:tcPr>
          <w:p>
            <w:r>
              <w:t>NIRF, PCF, PDA, PGAAE</w:t>
            </w:r>
          </w:p>
        </w:tc>
      </w:tr>
      <w:tr>
        <w:tc>
          <w:tcPr>
            <w:tcW w:type="dxa" w:w="2160"/>
          </w:tcPr>
          <w:p>
            <w:r>
              <w:t>E1.O3</w:t>
            </w:r>
          </w:p>
        </w:tc>
        <w:tc>
          <w:tcPr>
            <w:tcW w:type="dxa" w:w="2160"/>
          </w:tcPr>
          <w:p>
            <w:r>
              <w:t>O3: Aproximar a PGE do contribuinte e incentivar a conformidade fiscal</w:t>
            </w:r>
          </w:p>
        </w:tc>
        <w:tc>
          <w:tcPr>
            <w:tcW w:type="dxa" w:w="2160"/>
          </w:tcPr>
          <w:p>
            <w:r>
              <w:t>2 KRs / 13 ações</w:t>
            </w:r>
          </w:p>
        </w:tc>
        <w:tc>
          <w:tcPr>
            <w:tcW w:type="dxa" w:w="2160"/>
          </w:tcPr>
          <w:p>
            <w:r>
              <w:t>PCF, PDA, PGAAE</w:t>
            </w:r>
          </w:p>
        </w:tc>
      </w:tr>
      <w:tr>
        <w:tc>
          <w:tcPr>
            <w:tcW w:type="dxa" w:w="2160"/>
          </w:tcPr>
          <w:p>
            <w:r>
              <w:t>E1.O4</w:t>
            </w:r>
          </w:p>
        </w:tc>
        <w:tc>
          <w:tcPr>
            <w:tcW w:type="dxa" w:w="2160"/>
          </w:tcPr>
          <w:p>
            <w:r>
              <w:t>O4: Fortalecer a Identificação e Recuperação de Ativos Fiscais</w:t>
            </w:r>
          </w:p>
        </w:tc>
        <w:tc>
          <w:tcPr>
            <w:tcW w:type="dxa" w:w="2160"/>
          </w:tcPr>
          <w:p>
            <w:r>
              <w:t>3 KRs / 25 ações</w:t>
            </w:r>
          </w:p>
        </w:tc>
        <w:tc>
          <w:tcPr>
            <w:tcW w:type="dxa" w:w="2160"/>
          </w:tcPr>
          <w:p>
            <w:r>
              <w:t>NIRF, PCF, PDA, PGAAE</w:t>
            </w:r>
          </w:p>
        </w:tc>
      </w:tr>
      <w:tr>
        <w:tc>
          <w:tcPr>
            <w:tcW w:type="dxa" w:w="2160"/>
          </w:tcPr>
          <w:p>
            <w:r>
              <w:t>E1.O5</w:t>
            </w:r>
          </w:p>
        </w:tc>
        <w:tc>
          <w:tcPr>
            <w:tcW w:type="dxa" w:w="2160"/>
          </w:tcPr>
          <w:p>
            <w:r>
              <w:t>O5: Fortalecer a cobrança administrativa e a execução fiscal estratégica</w:t>
            </w:r>
          </w:p>
        </w:tc>
        <w:tc>
          <w:tcPr>
            <w:tcW w:type="dxa" w:w="2160"/>
          </w:tcPr>
          <w:p>
            <w:r>
              <w:t>3 KRs / 28 ações</w:t>
            </w:r>
          </w:p>
        </w:tc>
        <w:tc>
          <w:tcPr>
            <w:tcW w:type="dxa" w:w="2160"/>
          </w:tcPr>
          <w:p>
            <w:r>
              <w:t>NIRF, PDA, PGAAE</w:t>
            </w:r>
          </w:p>
        </w:tc>
      </w:tr>
    </w:tbl>
    <w:p>
      <w:pPr>
        <w:pStyle w:val="Heading2"/>
      </w:pPr>
      <w:r>
        <w:t>E2 — Eixo Estratégico 2 – Eficiência Administrativa e Redução de Custos Operacionais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Objetivo Estratégico</w:t>
            </w:r>
          </w:p>
        </w:tc>
        <w:tc>
          <w:tcPr>
            <w:tcW w:type="dxa" w:w="2160"/>
          </w:tcPr>
          <w:p>
            <w:r>
              <w:t>Metas / Ações</w:t>
            </w:r>
          </w:p>
        </w:tc>
        <w:tc>
          <w:tcPr>
            <w:tcW w:type="dxa" w:w="2160"/>
          </w:tcPr>
          <w:p>
            <w:r>
              <w:t>Unidades</w:t>
            </w:r>
          </w:p>
        </w:tc>
      </w:tr>
      <w:tr>
        <w:tc>
          <w:tcPr>
            <w:tcW w:type="dxa" w:w="2160"/>
          </w:tcPr>
          <w:p>
            <w:r>
              <w:t>E2.O1</w:t>
            </w:r>
          </w:p>
        </w:tc>
        <w:tc>
          <w:tcPr>
            <w:tcW w:type="dxa" w:w="2160"/>
          </w:tcPr>
          <w:p>
            <w:r>
              <w:t>O1: Reduzir custos operacionais</w:t>
            </w:r>
          </w:p>
        </w:tc>
        <w:tc>
          <w:tcPr>
            <w:tcW w:type="dxa" w:w="2160"/>
          </w:tcPr>
          <w:p>
            <w:r>
              <w:t>2 KRs / 33 ações</w:t>
            </w:r>
          </w:p>
        </w:tc>
        <w:tc>
          <w:tcPr>
            <w:tcW w:type="dxa" w:w="2160"/>
          </w:tcPr>
          <w:p>
            <w:r>
              <w:t>PGA, SCC, SGT, SMP, UGAM</w:t>
            </w:r>
          </w:p>
        </w:tc>
      </w:tr>
      <w:tr>
        <w:tc>
          <w:tcPr>
            <w:tcW w:type="dxa" w:w="2160"/>
          </w:tcPr>
          <w:p>
            <w:r>
              <w:t>E2.O2</w:t>
            </w:r>
          </w:p>
        </w:tc>
        <w:tc>
          <w:tcPr>
            <w:tcW w:type="dxa" w:w="2160"/>
          </w:tcPr>
          <w:p>
            <w:r>
              <w:t>O2: Otimizar a gestão de compras, contratos e pessoas</w:t>
            </w:r>
          </w:p>
        </w:tc>
        <w:tc>
          <w:tcPr>
            <w:tcW w:type="dxa" w:w="2160"/>
          </w:tcPr>
          <w:p>
            <w:r>
              <w:t>3 KRs / 35 ações</w:t>
            </w:r>
          </w:p>
        </w:tc>
        <w:tc>
          <w:tcPr>
            <w:tcW w:type="dxa" w:w="2160"/>
          </w:tcPr>
          <w:p>
            <w:r>
              <w:t>CSL, PGA, SCC, SGRH, SMP, UGAM</w:t>
            </w:r>
          </w:p>
        </w:tc>
      </w:tr>
    </w:tbl>
    <w:p>
      <w:pPr>
        <w:pStyle w:val="Heading2"/>
      </w:pPr>
      <w:r>
        <w:t>E3 — Eixo Estratégico 3 – Incrementar e executar integralmente o orçamento institucional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Objetivo Estratégico</w:t>
            </w:r>
          </w:p>
        </w:tc>
        <w:tc>
          <w:tcPr>
            <w:tcW w:type="dxa" w:w="2160"/>
          </w:tcPr>
          <w:p>
            <w:r>
              <w:t>Metas / Ações</w:t>
            </w:r>
          </w:p>
        </w:tc>
        <w:tc>
          <w:tcPr>
            <w:tcW w:type="dxa" w:w="2160"/>
          </w:tcPr>
          <w:p>
            <w:r>
              <w:t>Unidades</w:t>
            </w:r>
          </w:p>
        </w:tc>
      </w:tr>
      <w:tr>
        <w:tc>
          <w:tcPr>
            <w:tcW w:type="dxa" w:w="2160"/>
          </w:tcPr>
          <w:p>
            <w:r>
              <w:t>E3.O1</w:t>
            </w:r>
          </w:p>
        </w:tc>
        <w:tc>
          <w:tcPr>
            <w:tcW w:type="dxa" w:w="2160"/>
          </w:tcPr>
          <w:p>
            <w:r>
              <w:t>O1: Ampliar fontes de receita e otimizar a execução orçamentária</w:t>
            </w:r>
          </w:p>
        </w:tc>
        <w:tc>
          <w:tcPr>
            <w:tcW w:type="dxa" w:w="2160"/>
          </w:tcPr>
          <w:p>
            <w:r>
              <w:t>3 KRs / 76 ações</w:t>
            </w:r>
          </w:p>
        </w:tc>
        <w:tc>
          <w:tcPr>
            <w:tcW w:type="dxa" w:w="2160"/>
          </w:tcPr>
          <w:p>
            <w:r>
              <w:t>ESAP, PGA, PGAAE, PGARI, SCC, SCCF, SEO, SI, UGAM, USF</w:t>
            </w:r>
          </w:p>
        </w:tc>
      </w:tr>
    </w:tbl>
    <w:p>
      <w:pPr>
        <w:pStyle w:val="Heading2"/>
      </w:pPr>
      <w:r>
        <w:t>E4 — Eixo Estratégico 4 – Melhorar a experiência do usuário dos serviços da PGE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Objetivo Estratégico</w:t>
            </w:r>
          </w:p>
        </w:tc>
        <w:tc>
          <w:tcPr>
            <w:tcW w:type="dxa" w:w="2160"/>
          </w:tcPr>
          <w:p>
            <w:r>
              <w:t>Metas / Ações</w:t>
            </w:r>
          </w:p>
        </w:tc>
        <w:tc>
          <w:tcPr>
            <w:tcW w:type="dxa" w:w="2160"/>
          </w:tcPr>
          <w:p>
            <w:r>
              <w:t>Unidades</w:t>
            </w:r>
          </w:p>
        </w:tc>
      </w:tr>
      <w:tr>
        <w:tc>
          <w:tcPr>
            <w:tcW w:type="dxa" w:w="2160"/>
          </w:tcPr>
          <w:p>
            <w:r>
              <w:t>E4.O1</w:t>
            </w:r>
          </w:p>
        </w:tc>
        <w:tc>
          <w:tcPr>
            <w:tcW w:type="dxa" w:w="2160"/>
          </w:tcPr>
          <w:p>
            <w:r>
              <w:t>O1: Melhorar a experiência do usuário dos serviços da PGE</w:t>
            </w:r>
          </w:p>
        </w:tc>
        <w:tc>
          <w:tcPr>
            <w:tcW w:type="dxa" w:w="2160"/>
          </w:tcPr>
          <w:p>
            <w:r>
              <w:t>2 KRs / 54 ações</w:t>
            </w:r>
          </w:p>
        </w:tc>
        <w:tc>
          <w:tcPr>
            <w:tcW w:type="dxa" w:w="2160"/>
          </w:tcPr>
          <w:p>
            <w:r>
              <w:t>ASJUR, CEQUIDADE, OUV, PA, PCF, PDA, PEDU, PGA, PGAAE, PGAAJ, PJ, PPIMA, PRI, PRT, PSAU, PSP, PT</w:t>
            </w:r>
          </w:p>
        </w:tc>
      </w:tr>
    </w:tbl>
    <w:p>
      <w:pPr>
        <w:pStyle w:val="Heading2"/>
      </w:pPr>
      <w:r>
        <w:t>E5 — Eixo Estratégico 5 – Alcançar maior eficiência e resolutividade nos processos internos e externos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Objetivo Estratégico</w:t>
            </w:r>
          </w:p>
        </w:tc>
        <w:tc>
          <w:tcPr>
            <w:tcW w:type="dxa" w:w="2160"/>
          </w:tcPr>
          <w:p>
            <w:r>
              <w:t>Metas / Ações</w:t>
            </w:r>
          </w:p>
        </w:tc>
        <w:tc>
          <w:tcPr>
            <w:tcW w:type="dxa" w:w="2160"/>
          </w:tcPr>
          <w:p>
            <w:r>
              <w:t>Unidades</w:t>
            </w:r>
          </w:p>
        </w:tc>
      </w:tr>
      <w:tr>
        <w:tc>
          <w:tcPr>
            <w:tcW w:type="dxa" w:w="2160"/>
          </w:tcPr>
          <w:p>
            <w:r>
              <w:t>E5.O1</w:t>
            </w:r>
          </w:p>
        </w:tc>
        <w:tc>
          <w:tcPr>
            <w:tcW w:type="dxa" w:w="2160"/>
          </w:tcPr>
          <w:p>
            <w:r>
              <w:t>O1: Identificar e monitorar processos estratégicos e prioritários</w:t>
            </w:r>
          </w:p>
        </w:tc>
        <w:tc>
          <w:tcPr>
            <w:tcW w:type="dxa" w:w="2160"/>
          </w:tcPr>
          <w:p>
            <w:r>
              <w:t>3 KRs / 88 ações</w:t>
            </w:r>
          </w:p>
        </w:tc>
        <w:tc>
          <w:tcPr>
            <w:tcW w:type="dxa" w:w="2160"/>
          </w:tcPr>
          <w:p>
            <w:r>
              <w:t>PA, PB, PCF, PDA, PEDU, PERJP, PGAAJ, PJ, PJEFP, PPIMA, PRI, PRT, PSAU, PSP, PT, SGA, SI</w:t>
            </w:r>
          </w:p>
        </w:tc>
      </w:tr>
      <w:tr>
        <w:tc>
          <w:tcPr>
            <w:tcW w:type="dxa" w:w="2160"/>
          </w:tcPr>
          <w:p>
            <w:r>
              <w:t>E5.O2</w:t>
            </w:r>
          </w:p>
        </w:tc>
        <w:tc>
          <w:tcPr>
            <w:tcW w:type="dxa" w:w="2160"/>
          </w:tcPr>
          <w:p>
            <w:r>
              <w:t>O2: Assegurar a defesa jurídica do Estado e a conformidade legal</w:t>
            </w:r>
          </w:p>
        </w:tc>
        <w:tc>
          <w:tcPr>
            <w:tcW w:type="dxa" w:w="2160"/>
          </w:tcPr>
          <w:p>
            <w:r>
              <w:t>2 KRs / 62 ações</w:t>
            </w:r>
          </w:p>
        </w:tc>
        <w:tc>
          <w:tcPr>
            <w:tcW w:type="dxa" w:w="2160"/>
          </w:tcPr>
          <w:p>
            <w:r>
              <w:t>PA, PB, PCF, PDA, PEDU, PERJP, PGA, PGAAE, PGAAJ, PJ, PPIMA, PRI, PRT, PSAU, PSP, PT</w:t>
            </w:r>
          </w:p>
        </w:tc>
      </w:tr>
      <w:tr>
        <w:tc>
          <w:tcPr>
            <w:tcW w:type="dxa" w:w="2160"/>
          </w:tcPr>
          <w:p>
            <w:r>
              <w:t>E5.O3</w:t>
            </w:r>
          </w:p>
        </w:tc>
        <w:tc>
          <w:tcPr>
            <w:tcW w:type="dxa" w:w="2160"/>
          </w:tcPr>
          <w:p>
            <w:r>
              <w:t>O3: Fortalecer a atuação preventiva e a resolução consensual de conflitos</w:t>
            </w:r>
          </w:p>
        </w:tc>
        <w:tc>
          <w:tcPr>
            <w:tcW w:type="dxa" w:w="2160"/>
          </w:tcPr>
          <w:p>
            <w:r>
              <w:t>2 KRs / 62 ações</w:t>
            </w:r>
          </w:p>
        </w:tc>
        <w:tc>
          <w:tcPr>
            <w:tcW w:type="dxa" w:w="2160"/>
          </w:tcPr>
          <w:p>
            <w:r>
              <w:t>ASJUR, PA, PCF, PEDU, PGA, PGAAE, PJEFP, PPIMA, PRI, PRT, PSAU, PSP, PT</w:t>
            </w:r>
          </w:p>
        </w:tc>
      </w:tr>
      <w:tr>
        <w:tc>
          <w:tcPr>
            <w:tcW w:type="dxa" w:w="2160"/>
          </w:tcPr>
          <w:p>
            <w:r>
              <w:t>E5.O4</w:t>
            </w:r>
          </w:p>
        </w:tc>
        <w:tc>
          <w:tcPr>
            <w:tcW w:type="dxa" w:w="2160"/>
          </w:tcPr>
          <w:p>
            <w:r>
              <w:t>O4: Reduzir riscos governamentais com ações proativas</w:t>
            </w:r>
          </w:p>
        </w:tc>
        <w:tc>
          <w:tcPr>
            <w:tcW w:type="dxa" w:w="2160"/>
          </w:tcPr>
          <w:p>
            <w:r>
              <w:t>2 KRs / 7 ações</w:t>
            </w:r>
          </w:p>
        </w:tc>
        <w:tc>
          <w:tcPr>
            <w:tcW w:type="dxa" w:w="2160"/>
          </w:tcPr>
          <w:p>
            <w:r>
              <w:t>ASJUR, PGARI</w:t>
            </w:r>
          </w:p>
        </w:tc>
      </w:tr>
      <w:tr>
        <w:tc>
          <w:tcPr>
            <w:tcW w:type="dxa" w:w="2160"/>
          </w:tcPr>
          <w:p>
            <w:r>
              <w:t>E5.O5</w:t>
            </w:r>
          </w:p>
        </w:tc>
        <w:tc>
          <w:tcPr>
            <w:tcW w:type="dxa" w:w="2160"/>
          </w:tcPr>
          <w:p>
            <w:r>
              <w:t>O5: Otimizar os fluxos de trabalho e aumentar a produtividade</w:t>
            </w:r>
          </w:p>
        </w:tc>
        <w:tc>
          <w:tcPr>
            <w:tcW w:type="dxa" w:w="2160"/>
          </w:tcPr>
          <w:p>
            <w:r>
              <w:t>3 KRs / 107 ações</w:t>
            </w:r>
          </w:p>
        </w:tc>
        <w:tc>
          <w:tcPr>
            <w:tcW w:type="dxa" w:w="2160"/>
          </w:tcPr>
          <w:p>
            <w:r>
              <w:t>ASJUR, CS, GAB, NC, PA, PB, PCF, PDA, PEDU, PERJP, PGA, PGAAE, PJ, PJEFP, PPIMA, PRI, PRT, PSAU, PSP, PT, SDD, SGA, SGRH, SI, UGAM</w:t>
            </w:r>
          </w:p>
        </w:tc>
      </w:tr>
      <w:tr>
        <w:tc>
          <w:tcPr>
            <w:tcW w:type="dxa" w:w="2160"/>
          </w:tcPr>
          <w:p>
            <w:r>
              <w:t>E5.O6</w:t>
            </w:r>
          </w:p>
        </w:tc>
        <w:tc>
          <w:tcPr>
            <w:tcW w:type="dxa" w:w="2160"/>
          </w:tcPr>
          <w:p>
            <w:r>
              <w:t>O6: Garantir o tratamento tempestivo das demandas</w:t>
            </w:r>
          </w:p>
        </w:tc>
        <w:tc>
          <w:tcPr>
            <w:tcW w:type="dxa" w:w="2160"/>
          </w:tcPr>
          <w:p>
            <w:r>
              <w:t>1 KRs / 70 ações</w:t>
            </w:r>
          </w:p>
        </w:tc>
        <w:tc>
          <w:tcPr>
            <w:tcW w:type="dxa" w:w="2160"/>
          </w:tcPr>
          <w:p>
            <w:r>
              <w:t>CG, NCIA, PA, PB, PCF, PDA, PEDU, PERJP, PGAAE, PGAAJ, PJ, PJEFP, PPIMA, PRI, PRT, PSAU, PSP, PT, SDD, SGA</w:t>
            </w:r>
          </w:p>
        </w:tc>
      </w:tr>
      <w:tr>
        <w:tc>
          <w:tcPr>
            <w:tcW w:type="dxa" w:w="2160"/>
          </w:tcPr>
          <w:p>
            <w:r>
              <w:t>E5.O7</w:t>
            </w:r>
          </w:p>
        </w:tc>
        <w:tc>
          <w:tcPr>
            <w:tcW w:type="dxa" w:w="2160"/>
          </w:tcPr>
          <w:p>
            <w:r>
              <w:t>O7: Reestruturar o quadro de pessoal</w:t>
            </w:r>
          </w:p>
        </w:tc>
        <w:tc>
          <w:tcPr>
            <w:tcW w:type="dxa" w:w="2160"/>
          </w:tcPr>
          <w:p>
            <w:r>
              <w:t>2 KRs / 37 ações</w:t>
            </w:r>
          </w:p>
        </w:tc>
        <w:tc>
          <w:tcPr>
            <w:tcW w:type="dxa" w:w="2160"/>
          </w:tcPr>
          <w:p>
            <w:r>
              <w:t>GAB, PGA, PGAAE, SGRH, UGAM</w:t>
            </w:r>
          </w:p>
        </w:tc>
      </w:tr>
    </w:tbl>
    <w:p>
      <w:pPr>
        <w:pStyle w:val="Heading2"/>
      </w:pPr>
      <w:r>
        <w:t>E6 — Eixo Estratégico 6 – Fortalecer a imagem institucional e a comunicação com a sociedade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Objetivo Estratégico</w:t>
            </w:r>
          </w:p>
        </w:tc>
        <w:tc>
          <w:tcPr>
            <w:tcW w:type="dxa" w:w="2160"/>
          </w:tcPr>
          <w:p>
            <w:r>
              <w:t>Metas / Ações</w:t>
            </w:r>
          </w:p>
        </w:tc>
        <w:tc>
          <w:tcPr>
            <w:tcW w:type="dxa" w:w="2160"/>
          </w:tcPr>
          <w:p>
            <w:r>
              <w:t>Unidades</w:t>
            </w:r>
          </w:p>
        </w:tc>
      </w:tr>
      <w:tr>
        <w:tc>
          <w:tcPr>
            <w:tcW w:type="dxa" w:w="2160"/>
          </w:tcPr>
          <w:p>
            <w:r>
              <w:t>E6.O1</w:t>
            </w:r>
          </w:p>
        </w:tc>
        <w:tc>
          <w:tcPr>
            <w:tcW w:type="dxa" w:w="2160"/>
          </w:tcPr>
          <w:p>
            <w:r>
              <w:t>O1: Fortalecer a imagem e reputação institucional</w:t>
            </w:r>
          </w:p>
        </w:tc>
        <w:tc>
          <w:tcPr>
            <w:tcW w:type="dxa" w:w="2160"/>
          </w:tcPr>
          <w:p>
            <w:r>
              <w:t>2 KRs / 40 ações</w:t>
            </w:r>
          </w:p>
        </w:tc>
        <w:tc>
          <w:tcPr>
            <w:tcW w:type="dxa" w:w="2160"/>
          </w:tcPr>
          <w:p>
            <w:r>
              <w:t>ASCOM, ASJUR, ESAP, GAB, NIRF, PA, PB, PCF, PDA, PEDU, PERJP, PJ, PJEFP, PPIMA, PRI, PRT, PSAU, PSP, PT</w:t>
            </w:r>
          </w:p>
        </w:tc>
      </w:tr>
      <w:tr>
        <w:tc>
          <w:tcPr>
            <w:tcW w:type="dxa" w:w="2160"/>
          </w:tcPr>
          <w:p>
            <w:r>
              <w:t>E6.O2</w:t>
            </w:r>
          </w:p>
        </w:tc>
        <w:tc>
          <w:tcPr>
            <w:tcW w:type="dxa" w:w="2160"/>
          </w:tcPr>
          <w:p>
            <w:r>
              <w:t>O2: Ampliar o impacto institucional e a cooperação interinstitucional</w:t>
            </w:r>
          </w:p>
        </w:tc>
        <w:tc>
          <w:tcPr>
            <w:tcW w:type="dxa" w:w="2160"/>
          </w:tcPr>
          <w:p>
            <w:r>
              <w:t>1 KRs / 24 ações</w:t>
            </w:r>
          </w:p>
        </w:tc>
        <w:tc>
          <w:tcPr>
            <w:tcW w:type="dxa" w:w="2160"/>
          </w:tcPr>
          <w:p>
            <w:r>
              <w:t>ESAP, GAB, PB, PGAAE</w:t>
            </w:r>
          </w:p>
        </w:tc>
      </w:tr>
    </w:tbl>
    <w:p>
      <w:pPr>
        <w:pStyle w:val="Heading2"/>
      </w:pPr>
      <w:r>
        <w:t>E7 — Eixo Estratégico 7 – Promover a transformação digital e a inovação tecnológica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Objetivo Estratégico</w:t>
            </w:r>
          </w:p>
        </w:tc>
        <w:tc>
          <w:tcPr>
            <w:tcW w:type="dxa" w:w="2160"/>
          </w:tcPr>
          <w:p>
            <w:r>
              <w:t>Metas / Ações</w:t>
            </w:r>
          </w:p>
        </w:tc>
        <w:tc>
          <w:tcPr>
            <w:tcW w:type="dxa" w:w="2160"/>
          </w:tcPr>
          <w:p>
            <w:r>
              <w:t>Unidades</w:t>
            </w:r>
          </w:p>
        </w:tc>
      </w:tr>
      <w:tr>
        <w:tc>
          <w:tcPr>
            <w:tcW w:type="dxa" w:w="2160"/>
          </w:tcPr>
          <w:p>
            <w:r>
              <w:t>E7.O1</w:t>
            </w:r>
          </w:p>
        </w:tc>
        <w:tc>
          <w:tcPr>
            <w:tcW w:type="dxa" w:w="2160"/>
          </w:tcPr>
          <w:p>
            <w:r>
              <w:t>O1: Adotar ferramentas de Inteligência Artificial e automação</w:t>
            </w:r>
          </w:p>
        </w:tc>
        <w:tc>
          <w:tcPr>
            <w:tcW w:type="dxa" w:w="2160"/>
          </w:tcPr>
          <w:p>
            <w:r>
              <w:t>1 KRs / 30 ações</w:t>
            </w:r>
          </w:p>
        </w:tc>
        <w:tc>
          <w:tcPr>
            <w:tcW w:type="dxa" w:w="2160"/>
          </w:tcPr>
          <w:p>
            <w:r>
              <w:t>ESAP, PGA, PGAAE, SI</w:t>
            </w:r>
          </w:p>
        </w:tc>
      </w:tr>
      <w:tr>
        <w:tc>
          <w:tcPr>
            <w:tcW w:type="dxa" w:w="2160"/>
          </w:tcPr>
          <w:p>
            <w:r>
              <w:t>E7.O2</w:t>
            </w:r>
          </w:p>
        </w:tc>
        <w:tc>
          <w:tcPr>
            <w:tcW w:type="dxa" w:w="2160"/>
          </w:tcPr>
          <w:p>
            <w:r>
              <w:t>O2: Modernizar a infraestrutura tecnológica e segurança de dados</w:t>
            </w:r>
          </w:p>
        </w:tc>
        <w:tc>
          <w:tcPr>
            <w:tcW w:type="dxa" w:w="2160"/>
          </w:tcPr>
          <w:p>
            <w:r>
              <w:t>2 KRs / 25 ações</w:t>
            </w:r>
          </w:p>
        </w:tc>
        <w:tc>
          <w:tcPr>
            <w:tcW w:type="dxa" w:w="2160"/>
          </w:tcPr>
          <w:p>
            <w:r>
              <w:t>PGA, PGAAE, SI, SMP</w:t>
            </w:r>
          </w:p>
        </w:tc>
      </w:tr>
      <w:tr>
        <w:tc>
          <w:tcPr>
            <w:tcW w:type="dxa" w:w="2160"/>
          </w:tcPr>
          <w:p>
            <w:r>
              <w:t>E7.O3</w:t>
            </w:r>
          </w:p>
        </w:tc>
        <w:tc>
          <w:tcPr>
            <w:tcW w:type="dxa" w:w="2160"/>
          </w:tcPr>
          <w:p>
            <w:r>
              <w:t>O3: Fomentar uma cultura de inovação institucional</w:t>
            </w:r>
          </w:p>
        </w:tc>
        <w:tc>
          <w:tcPr>
            <w:tcW w:type="dxa" w:w="2160"/>
          </w:tcPr>
          <w:p>
            <w:r>
              <w:t>3 KRs / 81 ações</w:t>
            </w:r>
          </w:p>
        </w:tc>
        <w:tc>
          <w:tcPr>
            <w:tcW w:type="dxa" w:w="2160"/>
          </w:tcPr>
          <w:p>
            <w:r>
              <w:t>ASJUR, ESAP, GAB, NCIA, NIRF, PA, PB, PCF, PDA, PEDU, PERJP, PGAAE, PGAAJ, PJ, PJEFP, PPIMA, PRI, PRT, PSAU, PSP, PT, SGA, SGRH, SI</w:t>
            </w:r>
          </w:p>
        </w:tc>
      </w:tr>
      <w:tr>
        <w:tc>
          <w:tcPr>
            <w:tcW w:type="dxa" w:w="2160"/>
          </w:tcPr>
          <w:p>
            <w:r>
              <w:t>E7.O4</w:t>
            </w:r>
          </w:p>
        </w:tc>
        <w:tc>
          <w:tcPr>
            <w:tcW w:type="dxa" w:w="2160"/>
          </w:tcPr>
          <w:p>
            <w:r>
              <w:t>O4: Institucionalizar a Governança de TIC</w:t>
            </w:r>
          </w:p>
        </w:tc>
        <w:tc>
          <w:tcPr>
            <w:tcW w:type="dxa" w:w="2160"/>
          </w:tcPr>
          <w:p>
            <w:r>
              <w:t>1 KRs / 3 ações</w:t>
            </w:r>
          </w:p>
        </w:tc>
        <w:tc>
          <w:tcPr>
            <w:tcW w:type="dxa" w:w="2160"/>
          </w:tcPr>
          <w:p>
            <w:r>
              <w:t>PGA, PGAAE, SI</w:t>
            </w:r>
          </w:p>
        </w:tc>
      </w:tr>
    </w:tbl>
    <w:p>
      <w:pPr>
        <w:pStyle w:val="Heading2"/>
      </w:pPr>
      <w:r>
        <w:t>E8 — Eixo Estratégico 8 – Fomentar a sustentabilidade, a integridade e a responsabilidade social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Objetivo Estratégico</w:t>
            </w:r>
          </w:p>
        </w:tc>
        <w:tc>
          <w:tcPr>
            <w:tcW w:type="dxa" w:w="2160"/>
          </w:tcPr>
          <w:p>
            <w:r>
              <w:t>Metas / Ações</w:t>
            </w:r>
          </w:p>
        </w:tc>
        <w:tc>
          <w:tcPr>
            <w:tcW w:type="dxa" w:w="2160"/>
          </w:tcPr>
          <w:p>
            <w:r>
              <w:t>Unidades</w:t>
            </w:r>
          </w:p>
        </w:tc>
      </w:tr>
      <w:tr>
        <w:tc>
          <w:tcPr>
            <w:tcW w:type="dxa" w:w="2160"/>
          </w:tcPr>
          <w:p>
            <w:r>
              <w:t>E8.O1</w:t>
            </w:r>
          </w:p>
        </w:tc>
        <w:tc>
          <w:tcPr>
            <w:tcW w:type="dxa" w:w="2160"/>
          </w:tcPr>
          <w:p>
            <w:r>
              <w:t>O1: Promover a sustentabilidade ambiental, a equidade e a inclusão</w:t>
            </w:r>
          </w:p>
        </w:tc>
        <w:tc>
          <w:tcPr>
            <w:tcW w:type="dxa" w:w="2160"/>
          </w:tcPr>
          <w:p>
            <w:r>
              <w:t>3 KRs / 66 ações</w:t>
            </w:r>
          </w:p>
        </w:tc>
        <w:tc>
          <w:tcPr>
            <w:tcW w:type="dxa" w:w="2160"/>
          </w:tcPr>
          <w:p>
            <w:r>
              <w:t>CEQUIDADE, CG, CS, ESAP, GAB, PGA, SGRH, SGT, SMP, UGAM</w:t>
            </w:r>
          </w:p>
        </w:tc>
      </w:tr>
      <w:tr>
        <w:tc>
          <w:tcPr>
            <w:tcW w:type="dxa" w:w="2160"/>
          </w:tcPr>
          <w:p>
            <w:r>
              <w:t>E8.O2</w:t>
            </w:r>
          </w:p>
        </w:tc>
        <w:tc>
          <w:tcPr>
            <w:tcW w:type="dxa" w:w="2160"/>
          </w:tcPr>
          <w:p>
            <w:r>
              <w:t>O2: Fortalecer a Governança e a Integridade Institucional</w:t>
            </w:r>
          </w:p>
        </w:tc>
        <w:tc>
          <w:tcPr>
            <w:tcW w:type="dxa" w:w="2160"/>
          </w:tcPr>
          <w:p>
            <w:r>
              <w:t>3 KRs / 24 ações</w:t>
            </w:r>
          </w:p>
        </w:tc>
        <w:tc>
          <w:tcPr>
            <w:tcW w:type="dxa" w:w="2160"/>
          </w:tcPr>
          <w:p>
            <w:r>
              <w:t>CEQUIDADE, CG, ESAP, OUV, PGAAJ, SGA, SGRH</w:t>
            </w:r>
          </w:p>
        </w:tc>
      </w:tr>
    </w:tbl>
    <w:p>
      <w:pPr>
        <w:pStyle w:val="Heading2"/>
      </w:pPr>
      <w:r>
        <w:t>E9 — Eixo Estratégico 9 – Valorizar, integrar e qualificar servidores e procuradores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Objetivo Estratégico</w:t>
            </w:r>
          </w:p>
        </w:tc>
        <w:tc>
          <w:tcPr>
            <w:tcW w:type="dxa" w:w="2160"/>
          </w:tcPr>
          <w:p>
            <w:r>
              <w:t>Metas / Ações</w:t>
            </w:r>
          </w:p>
        </w:tc>
        <w:tc>
          <w:tcPr>
            <w:tcW w:type="dxa" w:w="2160"/>
          </w:tcPr>
          <w:p>
            <w:r>
              <w:t>Unidades</w:t>
            </w:r>
          </w:p>
        </w:tc>
      </w:tr>
      <w:tr>
        <w:tc>
          <w:tcPr>
            <w:tcW w:type="dxa" w:w="2160"/>
          </w:tcPr>
          <w:p>
            <w:r>
              <w:t>E9.O1</w:t>
            </w:r>
          </w:p>
        </w:tc>
        <w:tc>
          <w:tcPr>
            <w:tcW w:type="dxa" w:w="2160"/>
          </w:tcPr>
          <w:p>
            <w:r>
              <w:t>O1: Promover a valorização, o bem-estar e a retenção de talentos</w:t>
            </w:r>
          </w:p>
        </w:tc>
        <w:tc>
          <w:tcPr>
            <w:tcW w:type="dxa" w:w="2160"/>
          </w:tcPr>
          <w:p>
            <w:r>
              <w:t>3 KRs / 47 ações</w:t>
            </w:r>
          </w:p>
        </w:tc>
        <w:tc>
          <w:tcPr>
            <w:tcW w:type="dxa" w:w="2160"/>
          </w:tcPr>
          <w:p>
            <w:r>
              <w:t>ESAP, PGA, SGRH, SGT</w:t>
            </w:r>
          </w:p>
        </w:tc>
      </w:tr>
      <w:tr>
        <w:tc>
          <w:tcPr>
            <w:tcW w:type="dxa" w:w="2160"/>
          </w:tcPr>
          <w:p>
            <w:r>
              <w:t>E9.O2</w:t>
            </w:r>
          </w:p>
        </w:tc>
        <w:tc>
          <w:tcPr>
            <w:tcW w:type="dxa" w:w="2160"/>
          </w:tcPr>
          <w:p>
            <w:r>
              <w:t>O2: Capacitar continuamente os servidores e procuradores</w:t>
            </w:r>
          </w:p>
        </w:tc>
        <w:tc>
          <w:tcPr>
            <w:tcW w:type="dxa" w:w="2160"/>
          </w:tcPr>
          <w:p>
            <w:r>
              <w:t>1 KRs / 62 ações</w:t>
            </w:r>
          </w:p>
        </w:tc>
        <w:tc>
          <w:tcPr>
            <w:tcW w:type="dxa" w:w="2160"/>
          </w:tcPr>
          <w:p>
            <w:r>
              <w:t>ASCOM, ASJUR, CEQUIDADE, CG, CS, CSL, ESAP, GAB, NC, NCIA, NIRF, OUV, PA, PB, PCF, PDA, PEDU, PERJP, PGA, PGAAE, PGAAJ, PGARI, PJ, PJEFP, PPIMA, PRI, PRT, PSAU, PSP, PT, SCC, SCCF, SDD, SEO, SGA, SGRH, SGT, SI, SMP, UGAM, USF</w:t>
            </w:r>
          </w:p>
        </w:tc>
      </w:tr>
      <w:tr>
        <w:tc>
          <w:tcPr>
            <w:tcW w:type="dxa" w:w="2160"/>
          </w:tcPr>
          <w:p>
            <w:r>
              <w:t>E9.O3</w:t>
            </w:r>
          </w:p>
        </w:tc>
        <w:tc>
          <w:tcPr>
            <w:tcW w:type="dxa" w:w="2160"/>
          </w:tcPr>
          <w:p>
            <w:r>
              <w:t>O3: Ampliar a arrecadação de honorários sucumbenciais</w:t>
            </w:r>
          </w:p>
        </w:tc>
        <w:tc>
          <w:tcPr>
            <w:tcW w:type="dxa" w:w="2160"/>
          </w:tcPr>
          <w:p>
            <w:r>
              <w:t>1 KRs / 15 ações</w:t>
            </w:r>
          </w:p>
        </w:tc>
        <w:tc>
          <w:tcPr>
            <w:tcW w:type="dxa" w:w="2160"/>
          </w:tcPr>
          <w:p>
            <w:r>
              <w:t>NIRF, PA, PCF, PDA, PEDU, PERJP, PGA, PGAAE, PJ, PPIMA, PRI, PRT, PSP, PT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