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CS</w:t>
      </w:r>
    </w:p>
    <w:p>
      <w:r>
        <w:rPr>
          <w:b/>
        </w:rPr>
        <w:t xml:space="preserve">Unidade: </w:t>
      </w:r>
      <w:r>
        <w:t>CS — Conselho Superior</w:t>
        <w:br/>
      </w:r>
      <w:r>
        <w:rPr>
          <w:b/>
        </w:rPr>
        <w:t xml:space="preserve">Chefia / Interlocutor(a): </w:t>
      </w:r>
      <w:r>
        <w:t>Chefia de CS</w:t>
        <w:br/>
      </w:r>
      <w:r>
        <w:rPr>
          <w:b/>
        </w:rPr>
        <w:t xml:space="preserve">Processo SEI: </w:t>
      </w:r>
      <w:r>
        <w:t xml:space="preserve">Verificar SEI | </w:t>
      </w:r>
      <w:r>
        <w:rPr>
          <w:b/>
        </w:rPr>
        <w:t xml:space="preserve">Status: </w:t>
      </w:r>
      <w:r>
        <w:t>Reunião Realizada</w:t>
        <w:br/>
      </w:r>
      <w:r>
        <w:rPr>
          <w:b/>
        </w:rPr>
        <w:t xml:space="preserve">KRs Vinculados: </w:t>
      </w:r>
      <w:r>
        <w:t>E5.O5.KR3, E8.O1.KR1, E8.O1.KR2, E8.O1.KR3, E9.O2.KR1 (5 ações)</w:t>
        <w:br/>
      </w:r>
      <w:r>
        <w:rPr>
          <w:b/>
        </w:rPr>
        <w:t xml:space="preserve">Síntese das Deliberações: </w:t>
      </w:r>
      <w:r/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sistemática de mensuração de produtividade setorial</w:t>
            </w:r>
          </w:p>
        </w:tc>
        <w:tc>
          <w:tcPr>
            <w:tcW w:type="dxa" w:w="1440"/>
          </w:tcPr>
          <w:p>
            <w:r>
              <w:t>Definir indicadores de desempenho, volume e tempo de resposta, com acompanhamento mensal via painel gerencial.</w:t>
            </w:r>
          </w:p>
        </w:tc>
        <w:tc>
          <w:tcPr>
            <w:tcW w:type="dxa" w:w="1440"/>
          </w:tcPr>
          <w:p>
            <w:r>
              <w:t>Líder: Conselho Superior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a pauta eletrônica integral e a eliminação de processos físicos nas deliberações do Conselho</w:t>
            </w:r>
          </w:p>
        </w:tc>
        <w:tc>
          <w:tcPr>
            <w:tcW w:type="dxa" w:w="1440"/>
          </w:tcPr>
          <w:p>
            <w:r>
              <w:t>Realizar sessões e votações com processos 100% digitais via E-PGE, eliminando a impressão de relatórios e promovendo a destinação de resíduos de papel para reciclagem.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Até 2030</w:t>
            </w:r>
          </w:p>
        </w:tc>
      </w:tr>
      <w:tr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Garantir critérios de equidade, diversidade e representatividade nas comissões, bancas e deliberações do Conselho</w:t>
            </w:r>
          </w:p>
        </w:tc>
        <w:tc>
          <w:tcPr>
            <w:tcW w:type="dxa" w:w="1440"/>
          </w:tcPr>
          <w:p>
            <w:r>
              <w:t>Instituir diretrizes no regimento interno para assegurar a participação efetiva de grupos sub-representados na composição de comissões examinadoras de concurso e grupos de trabalho.</w:t>
            </w:r>
          </w:p>
        </w:tc>
        <w:tc>
          <w:tcPr>
            <w:tcW w:type="dxa" w:w="1440"/>
          </w:tcPr>
          <w:p>
            <w:r>
              <w:t>Líder: Conselho Superior;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Até 2028</w:t>
            </w:r>
          </w:p>
        </w:tc>
      </w:tr>
      <w:tr>
        <w:tc>
          <w:tcPr>
            <w:tcW w:type="dxa" w:w="1440"/>
          </w:tcPr>
          <w:p>
            <w:r>
              <w:t>E8.O1.KR3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Apreciar e aprovar normas e medidas de valorização da carreira com foco no bem-estar funcional e igualdade de oportunidades</w:t>
            </w:r>
          </w:p>
        </w:tc>
        <w:tc>
          <w:tcPr>
            <w:tcW w:type="dxa" w:w="1440"/>
          </w:tcPr>
          <w:p>
            <w:r>
              <w:t>Incluir em pauta anual permanente a avaliação dos relatórios do Comitê de Equidade, deliberando sobre atos normativos de combate ao assédio e aprimoramento das condições de trabalho.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Até 2030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governança colegiada, processo administrativo disciplinar e regulação da carreira da Advocacia Pública),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Conselho Superior da PGE;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Conselho Superior (CS),</w:t>
        <w:br/>
        <w:br/>
        <w:t>No âmbito da consolidação do Planejamento Estratégico 2027–2030 da PGE-MA (Processo SEI: Verificar SEI), e em conformidade com o alinhamento técnico realizado com a unidade (Chefia de CS), a Assessoria de Planejamento e Gestão Estratégica acosta aos presentes autos a versão consolidada e saneada do Plano de Ação Setorial (Plano_Acao_Pos_Comparacao_CS.xlsx, contemplando 5 ações estratégicas vinculadas aos resultados-chave E5.O5.KR3, E8.O1.KR1, E8.O1.KR2, E8.O1.KR3, E9.O2.KR1).</w:t>
        <w:br/>
        <w:br/>
        <w:t xml:space="preserve">Destaques técnicos consolidados: 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