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PGARI</w:t>
      </w:r>
    </w:p>
    <w:p>
      <w:r>
        <w:rPr>
          <w:b/>
        </w:rPr>
        <w:t xml:space="preserve">Unidade: </w:t>
      </w:r>
      <w:r>
        <w:t>PGARI — Procuradoria-Geral Adjunta de Relacionamento Institucional</w:t>
        <w:br/>
      </w:r>
      <w:r>
        <w:rPr>
          <w:b/>
        </w:rPr>
        <w:t xml:space="preserve">Chefia / Interlocutor(a): </w:t>
      </w:r>
      <w:r>
        <w:t>Dr. Daniel Blume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E3.O1.KR1, E5.O4.KR1, E5.O4.KR2, E9.O2.KR1 (12 ações)</w:t>
        <w:br/>
      </w:r>
      <w:r>
        <w:rPr>
          <w:b/>
        </w:rPr>
        <w:t xml:space="preserve">Síntese das Deliberações: </w:t>
      </w:r>
      <w:r>
        <w:t>Papel estritamente articulador (não executivo): articulação institucional para captação/parcerias externas (E3.O1.KR1) e diálogo interinstitucional preventivo em riscos normativos e socioambientais (E5.O4.KR1 e E5.O4.KR2).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Articular a instituição de Programa Permanente de Captação de Recursos Externos</w:t>
            </w:r>
          </w:p>
        </w:tc>
        <w:tc>
          <w:tcPr>
            <w:tcW w:type="dxa" w:w="1440"/>
          </w:tcPr>
          <w:p>
            <w:r>
              <w:t>Atuar de forma consultiva e articuladora na proposição de fluxo institucional de cooperação com o Escritório de Representação em Brasília, PGAAE e Gabinete para prospecção de recursos externos, sem ônus de execução orçamentária direta.</w:t>
            </w:r>
          </w:p>
        </w:tc>
        <w:tc>
          <w:tcPr>
            <w:tcW w:type="dxa" w:w="1440"/>
          </w:tcPr>
          <w:p>
            <w:r>
              <w:t>Articulador: PGARI; Coexecutores: PGAAE, Procuradoria de Brasília, Gabinete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Articular o mapeamento e a revisão de convênios e parcerias institucionais ativas</w:t>
            </w:r>
          </w:p>
        </w:tc>
        <w:tc>
          <w:tcPr>
            <w:tcW w:type="dxa" w:w="1440"/>
          </w:tcPr>
          <w:p>
            <w:r>
              <w:t>Promover a interlocução interinstitucional para acompanhamento estratégico de convênios e termos de cooperação vigentes junto às secretarias parceiras e à PGAAE.</w:t>
            </w:r>
          </w:p>
        </w:tc>
        <w:tc>
          <w:tcPr>
            <w:tcW w:type="dxa" w:w="1440"/>
          </w:tcPr>
          <w:p>
            <w:r>
              <w:t>Articulador: PGARI; Coexecutores: PGAAE, PGA, Serviço de Controle de Contratos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Prospectar parcerias estratégicas junto a organismos multilaterais e instituições de fomento</w:t>
            </w:r>
          </w:p>
        </w:tc>
        <w:tc>
          <w:tcPr>
            <w:tcW w:type="dxa" w:w="1440"/>
          </w:tcPr>
          <w:p>
            <w:r>
              <w:t>Realizar interlocução institucional proativa com organismos nacionais e internacionais (como o BID e agências de fomento) para identificar oportunidades de financiamento a projetos estratégicos da PGE-MA.</w:t>
            </w:r>
          </w:p>
        </w:tc>
        <w:tc>
          <w:tcPr>
            <w:tcW w:type="dxa" w:w="1440"/>
          </w:tcPr>
          <w:p>
            <w:r>
              <w:t>Articulador: PGARI; Coexecutores: PGAAE, ESAP, Gabinete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</w:tr>
      <w:tr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Articular diretrizes institucionais para captação de emendas parlamentares</w:t>
            </w:r>
          </w:p>
        </w:tc>
        <w:tc>
          <w:tcPr>
            <w:tcW w:type="dxa" w:w="1440"/>
          </w:tcPr>
          <w:p>
            <w:r>
              <w:t>Atuar na ponte de relacionamento institucional com o Parlamento e o Gabinete para apresentação da carteira de projetos estratégicos da PGE-MA aptos à recepção de emendas.</w:t>
            </w:r>
          </w:p>
        </w:tc>
        <w:tc>
          <w:tcPr>
            <w:tcW w:type="dxa" w:w="1440"/>
          </w:tcPr>
          <w:p>
            <w:r>
              <w:t>Articulador: PGARI; Coexecutores: Gabinete, PGAAE, PGA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Apoiar a estruturação de Painel/Dashboard BI de acompanhamento de parcerias e captações</w:t>
            </w:r>
          </w:p>
        </w:tc>
        <w:tc>
          <w:tcPr>
            <w:tcW w:type="dxa" w:w="1440"/>
          </w:tcPr>
          <w:p>
            <w:r>
              <w:t>Fornecer subsídios de relacionamento institucional à Assessoria em TIC da PGAAE / INOVA para visualização das frentes de cooperação e recursos prospectados.</w:t>
            </w:r>
          </w:p>
        </w:tc>
        <w:tc>
          <w:tcPr>
            <w:tcW w:type="dxa" w:w="1440"/>
          </w:tcPr>
          <w:p>
            <w:r>
              <w:t>Articulador: PGARI; Coexecutores: Assessoria em TIC da PGAAE / INOVA (Suporte de Infraestrutura: SI)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Articular o alinhamento entre fontes externas prospectadas e o planejamento estratégico</w:t>
            </w:r>
          </w:p>
        </w:tc>
        <w:tc>
          <w:tcPr>
            <w:tcW w:type="dxa" w:w="1440"/>
          </w:tcPr>
          <w:p>
            <w:r>
              <w:t>Participar de forma consultiva e articuladora do alinhamento entre as oportunidades de captação externa e as prioridades estratégicas definidas pela PGAAE e PGA.</w:t>
            </w:r>
          </w:p>
        </w:tc>
        <w:tc>
          <w:tcPr>
            <w:tcW w:type="dxa" w:w="1440"/>
          </w:tcPr>
          <w:p>
            <w:r>
              <w:t>Articulador: PGARI; Coexecutores: PGAAE, PGA</w:t>
            </w:r>
          </w:p>
        </w:tc>
        <w:tc>
          <w:tcPr>
            <w:tcW w:type="dxa" w:w="1440"/>
          </w:tcPr>
          <w:p>
            <w:r>
              <w:t>Anual</w:t>
            </w:r>
          </w:p>
        </w:tc>
      </w:tr>
      <w:tr>
        <w:tc>
          <w:tcPr>
            <w:tcW w:type="dxa" w:w="1440"/>
          </w:tcPr>
          <w:p>
            <w:r>
              <w:t>E5.O4.KR1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Vincular o monitoramento normativo prévio ao Comitê de Riscos Institucionais e CPARI</w:t>
            </w:r>
          </w:p>
        </w:tc>
        <w:tc>
          <w:tcPr>
            <w:tcW w:type="dxa" w:w="1440"/>
          </w:tcPr>
          <w:p>
            <w:r>
              <w:t>Atuar em caráter estritamente articulador na interlocução prévia com a Casa Civil, CPARI e Gabinete para sinalização antecipada de proposições estratégicas, cabendo a análise técnico-jurídica formal de constitucionalidade e legalidade exclusivamente à Assessoria Jurídica (ASJUR).</w:t>
            </w:r>
          </w:p>
        </w:tc>
        <w:tc>
          <w:tcPr>
            <w:tcW w:type="dxa" w:w="1440"/>
          </w:tcPr>
          <w:p>
            <w:r>
              <w:t>Articulador: PGARI; Execução Técnico-Jurídica: Assessoria Jurídica (ASJUR); Coexecutores: CPARI, Gabinete</w:t>
            </w:r>
          </w:p>
        </w:tc>
        <w:tc>
          <w:tcPr>
            <w:tcW w:type="dxa" w:w="1440"/>
          </w:tcPr>
          <w:p>
            <w:r>
              <w:t>120 dias e Contínuo</w:t>
            </w:r>
          </w:p>
        </w:tc>
      </w:tr>
      <w:tr>
        <w:tc>
          <w:tcPr>
            <w:tcW w:type="dxa" w:w="1440"/>
          </w:tcPr>
          <w:p>
            <w:r>
              <w:t>E5.O4.KR1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protocolo de alerta institucional para projetos normativos de alto impacto financeiro ou regulatório</w:t>
            </w:r>
          </w:p>
        </w:tc>
        <w:tc>
          <w:tcPr>
            <w:tcW w:type="dxa" w:w="1440"/>
          </w:tcPr>
          <w:p>
            <w:r>
              <w:t>Promover o relacionamento institucional preventivo e o diálogo intersetorial sobre temas normativos de alto impacto governamental junto ao CPARI e Gabinete, resguardada a competência consultiva exclusiva da ASJUR.</w:t>
            </w:r>
          </w:p>
        </w:tc>
        <w:tc>
          <w:tcPr>
            <w:tcW w:type="dxa" w:w="1440"/>
          </w:tcPr>
          <w:p>
            <w:r>
              <w:t>Articulador: PGARI; Execução Técnico-Jurídica: Assessoria Jurídica (ASJUR); Coexecutores: CPARI, Gabinete</w:t>
            </w:r>
          </w:p>
        </w:tc>
        <w:tc>
          <w:tcPr>
            <w:tcW w:type="dxa" w:w="1440"/>
          </w:tcPr>
          <w:p>
            <w:r>
              <w:t>Mensal até 2030</w:t>
            </w:r>
          </w:p>
        </w:tc>
      </w:tr>
      <w:tr>
        <w:tc>
          <w:tcPr>
            <w:tcW w:type="dxa" w:w="1440"/>
          </w:tcPr>
          <w:p>
            <w:r>
              <w:t>E5.O4.KR2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Constituir Grupo de Trabalho Interinstitucional com órgãos ambientais e secretarias executoras</w:t>
            </w:r>
          </w:p>
        </w:tc>
        <w:tc>
          <w:tcPr>
            <w:tcW w:type="dxa" w:w="1440"/>
          </w:tcPr>
          <w:p>
            <w:r>
              <w:t>Articular protocolo de cooperação com SEMA, AGERP, ITERMA, SECID e universidades para levantamento conjunto de conflitos fundiários, desapropriações e passivos ambientais em grandes empreendimentos estaduais.</w:t>
            </w:r>
          </w:p>
        </w:tc>
        <w:tc>
          <w:tcPr>
            <w:tcW w:type="dxa" w:w="1440"/>
          </w:tcPr>
          <w:p>
            <w:r>
              <w:t>Líder: Procuradoria-Geral Adjunta de Relacionamento Institucional (PGARI); Coexecutores: Procuradoria do Patrimônio Imobiliário e Meio Ambiente (PPIMA), CPARI, SEMA, SECID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E5.O4.KR2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Construir Matriz Institucional de Riscos Socioambientais e Urbanísticos do Estado</w:t>
            </w:r>
          </w:p>
        </w:tc>
        <w:tc>
          <w:tcPr>
            <w:tcW w:type="dxa" w:w="1440"/>
          </w:tcPr>
          <w:p>
            <w:r>
              <w:t>Catalogar os 4 macrotemas críticos de vulnerabilidade jurídica (ex.: regularização fundiária quilombola/indígena, licenciamento de infraestrutura rodoviária e portuária, saneamento básico e gestão de bacias hídricas), classificando-os por probabilidade e impacto orçamentário.</w:t>
            </w:r>
          </w:p>
        </w:tc>
        <w:tc>
          <w:tcPr>
            <w:tcW w:type="dxa" w:w="1440"/>
          </w:tcPr>
          <w:p>
            <w:r>
              <w:t>Líder: Procuradoria-Geral Adjunta de Relacionamento Institucional (PGARI); Coexecutores: PPIMA, CPARI, Assessoria Jurídica</w:t>
            </w:r>
          </w:p>
        </w:tc>
        <w:tc>
          <w:tcPr>
            <w:tcW w:type="dxa" w:w="1440"/>
          </w:tcPr>
          <w:p>
            <w:r>
              <w:t>240 dias (elaboração) e Anual</w:t>
            </w:r>
          </w:p>
        </w:tc>
      </w:tr>
      <w:tr>
        <w:tc>
          <w:tcPr>
            <w:tcW w:type="dxa" w:w="1440"/>
          </w:tcPr>
          <w:p>
            <w:r>
              <w:t>E5.O4.KR2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Formular planos de mitigação e acordos de composição extrajudicial para os macrotemas prioritários</w:t>
            </w:r>
          </w:p>
        </w:tc>
        <w:tc>
          <w:tcPr>
            <w:tcW w:type="dxa" w:w="1440"/>
          </w:tcPr>
          <w:p>
            <w:r>
              <w:t>Desenvolver diretrizes jurídicas resolutivas, termos de ajustamento de conduta preventivos e minutas de composição com Ministério Público e Defensoria Pública para solucionar conflitos socioambientais sem judicialização prolongada.</w:t>
            </w:r>
          </w:p>
        </w:tc>
        <w:tc>
          <w:tcPr>
            <w:tcW w:type="dxa" w:w="1440"/>
          </w:tcPr>
          <w:p>
            <w:r>
              <w:t>Líder: Procuradoria-Geral Adjunta de Relacionamento Institucional (PGARI); Coexecutores: CPARI, PPIMA, PGAAJ</w:t>
            </w:r>
          </w:p>
        </w:tc>
        <w:tc>
          <w:tcPr>
            <w:tcW w:type="dxa" w:w="1440"/>
          </w:tcPr>
          <w:p>
            <w:r>
              <w:t>Até 2030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articulação interinstitucional, relações governamentais e federativas (CONPEG/FONACRI), autocomposição e mediação de conflitos socioambientais e fundiários),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Procuradoria-Geral Adjunta de Relacionamento Institucional (PGARI);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</w:tbl>
    <w:p>
      <w:pPr>
        <w:pStyle w:val="Heading2"/>
      </w:pPr>
      <w:r>
        <w:t>2. Demandas Externas Recebidas por PGARI (44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ASJUR</w:t>
            </w:r>
          </w:p>
        </w:tc>
        <w:tc>
          <w:tcPr>
            <w:tcW w:type="dxa" w:w="2160"/>
          </w:tcPr>
          <w:p>
            <w:r>
              <w:t>E5.O4.KR1</w:t>
            </w:r>
          </w:p>
        </w:tc>
        <w:tc>
          <w:tcPr>
            <w:tcW w:type="dxa" w:w="2160"/>
          </w:tcPr>
          <w:p>
            <w:r>
              <w:t>Prestar assessoramento técnico na análise prévia de constitucionalidade e legalidade de atos normativos</w:t>
            </w:r>
          </w:p>
        </w:tc>
        <w:tc>
          <w:tcPr>
            <w:tcW w:type="dxa" w:w="2160"/>
          </w:tcPr>
          <w:p>
            <w:r>
              <w:t>Líder: Assessoria Jurídica; Coexecutores: Procuradoria-Geral Adjunta de Relacionamento Institucional (PGARI); CPARI; PGAAJ</w:t>
            </w:r>
          </w:p>
        </w:tc>
      </w:tr>
      <w:tr>
        <w:tc>
          <w:tcPr>
            <w:tcW w:type="dxa" w:w="2160"/>
          </w:tcPr>
          <w:p>
            <w:r>
              <w:t>ASJUR</w:t>
            </w:r>
          </w:p>
        </w:tc>
        <w:tc>
          <w:tcPr>
            <w:tcW w:type="dxa" w:w="2160"/>
          </w:tcPr>
          <w:p>
            <w:r>
              <w:t>E5.O4.KR2</w:t>
            </w:r>
          </w:p>
        </w:tc>
        <w:tc>
          <w:tcPr>
            <w:tcW w:type="dxa" w:w="2160"/>
          </w:tcPr>
          <w:p>
            <w:r>
              <w:t>Elaborar diagnósticos jurídicos e notas técnicas em macrotemas estratégicos de risco governamental</w:t>
            </w:r>
          </w:p>
        </w:tc>
        <w:tc>
          <w:tcPr>
            <w:tcW w:type="dxa" w:w="2160"/>
          </w:tcPr>
          <w:p>
            <w:r>
              <w:t>Líder: Assessoria Jurídica; Coexecutores: PGARI; CPARI; PPIMA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Consolidar carteira institucional de projetos aptos à captação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Manter e revisar convênios e parcerias já existentes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Prospectar novas parcerias com instituições públicas, privadas e acadêmicas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Avaliar juridicamente a caracterização da ESAP ou do INOVA como ICT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Consolidar carteira institucional de projetos aptos à captação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Definir critérios institucionais para emendas parlamentares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Manter e revisar convênios e parcerias já existentes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Prospectar novas parcerias com instituições públicas, privadas e acadêmicas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Avaliar juridicamente a caracterização da ESAP ou do INOVA como ICT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Criar painel de captação com metas anuais intermediárias até 2028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Integrar orçamento, captação e planejamento estratégico em um único ciclo decisório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Instituir rito anual de programação orçamentária com priorização no 3º trimestre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Consolidar linha de base da execução orçamentária de 2025 como parâmetro inicial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Criar comitê executivo de programação e execução orçamentária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Antecipar identificação de necessidades mensais por unidade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Melhorar a interlocução institucional com a SEPLAN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Implantar painel mensal de execução orçamentária e física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Formalizar procedimento de remanejamento e crédito adicional quando necessário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Auditar anualmente a aderência do eixo às metas de financiamento e execução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Criar governança própria da carteira PROFISCO III no âmbito da PGE-MA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Consolidar cronograma físico-financeiro de todos os projetos PROFISCO III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Monitorar maturidade dos artefatos exigidos pelo BID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Prestar contas internamente da evolução do PROFISCO III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Consolidar carteira institucional de projetos aptos à captação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Definir critérios institucionais para emendas parlamentares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Manter e revisar convênios e parcerias já existentes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Prospectar novas parcerias com instituições públicas, privadas e acadêmicas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Avaliar juridicamente a caracterização da ESAP ou do INOVA como ICT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Criar painel de captação com metas anuais intermediárias até 2028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Integrar orçamento, captação e planejamento estratégico em um único ciclo decisório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Instituir rito anual de programação orçamentária com priorização no 3º trimestre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Consolidar linha de base da execução orçamentária de 2025 como parâmetro inicial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Criar comitê executivo de programação e execução orçamentária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Antecipar identificação de necessidades mensais por unidade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Melhorar a interlocução institucional com a SEPLAN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Implantar painel mensal de execução orçamentária e física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Formalizar procedimento de remanejamento e crédito adicional quando necessário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Criar governança própria da carteira PROFISCO III no âmbito da PGE-MA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Consolidar cronograma físico-financeiro de todos os projetos PROFISCO III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Monitorar maturidade dos artefatos exigidos pelo BID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Prestar contas internamente da evolução do PROFISCO III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Aproveitar dados e resultados de iniciativas institucionais e comitês de desjudicialização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Coexecutores: Subprocuradoria-Geral Adjunta; PGARI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Procuradoria-Geral Adjunta de Relacionamento Institucional (PGARI),</w:t>
        <w:br/>
        <w:br/>
        <w:t>No âmbito da consolidação do Planejamento Estratégico 2027–2030 da PGE-MA (Processo SEI: Verificar SEI), e em conformidade com o alinhamento técnico realizado com a unidade (Dr. Daniel Blume), a Assessoria de Planejamento e Gestão Estratégica acosta aos presentes autos a versão consolidada e saneada do Plano de Ação Setorial (Plano_Acao_Pos_Comparacao_PGARI.xlsx, contemplando 12 ações estratégicas vinculadas aos resultados-chave E3.O1.KR1, E5.O4.KR1, E5.O4.KR2, E9.O2.KR1).</w:t>
        <w:br/>
        <w:br/>
        <w:t>Destaques técnicos consolidados: Papel estritamente articulador (não executivo): articulação institucional para captação/parcerias externas (E3.O1.KR1) e diálogo interinstitucional preventivo em riscos normativos e socioambientais (E5.O4.KR1 e E5.O4.KR2).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