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Ficha Individualizada de Pactuação Setorial — PSAU</w:t>
      </w:r>
    </w:p>
    <w:p>
      <w:r>
        <w:rPr>
          <w:b/>
        </w:rPr>
        <w:t xml:space="preserve">Unidade: </w:t>
      </w:r>
      <w:r>
        <w:t>PSAU — Procuradoria da Saúde</w:t>
        <w:br/>
      </w:r>
      <w:r>
        <w:rPr>
          <w:b/>
        </w:rPr>
        <w:t xml:space="preserve">Chefia / Interlocutor(a): </w:t>
      </w:r>
      <w:r>
        <w:t>Corpo de Assessores / Deliberação Dr. Marcus Bacellar</w:t>
        <w:br/>
      </w:r>
      <w:r>
        <w:rPr>
          <w:b/>
        </w:rPr>
        <w:t xml:space="preserve">Processo SEI: </w:t>
      </w:r>
      <w:r>
        <w:t xml:space="preserve">Verificar SEI | </w:t>
      </w:r>
      <w:r>
        <w:rPr>
          <w:b/>
        </w:rPr>
        <w:t xml:space="preserve">Status: </w:t>
      </w:r>
      <w:r>
        <w:t>Reunião Realizada</w:t>
        <w:br/>
      </w:r>
      <w:r>
        <w:rPr>
          <w:b/>
        </w:rPr>
        <w:t xml:space="preserve">KRs Vinculados: </w:t>
      </w:r>
      <w:r>
        <w:t>E4.O1.KR1, E5.O1.KR1, E5.O1.KR2, E5.O1.KR3, E5.O2.KR2, E5.O3.KR2, E5.O5.KR1, E5.O5.KR2, E5.O5.KR3, E5.O6.KR1, E6.O1.KR2, E7.O3.KR1, E7.O3.KR2, E9.O2.KR1 (16 ações)</w:t>
        <w:br/>
      </w:r>
      <w:r>
        <w:rPr>
          <w:b/>
        </w:rPr>
        <w:t xml:space="preserve">Síntese das Deliberações: </w:t>
      </w:r>
      <w:r>
        <w:t>Mantida E4.O1.KR1 (90% SLA consultas SES/CEMARC) por decisão do Dr. Marcus Bacellar; incluída aferição de Êxito Qualificado em Saúde Pública (E5.O1.KR3); expurgada apenas E9.O3.KR1 (honorários).</w:t>
      </w:r>
    </w:p>
    <w:p>
      <w:pPr>
        <w:pStyle w:val="Heading2"/>
      </w:pPr>
      <w:r>
        <w:t>1. Plano de Ação Setorial (5W2H)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KR</w:t>
            </w:r>
          </w:p>
        </w:tc>
        <w:tc>
          <w:tcPr>
            <w:tcW w:type="dxa" w:w="1440"/>
          </w:tcPr>
          <w:p>
            <w:r>
              <w:t>Pilar 3 Ps</w:t>
            </w:r>
          </w:p>
        </w:tc>
        <w:tc>
          <w:tcPr>
            <w:tcW w:type="dxa" w:w="1440"/>
          </w:tcPr>
          <w:p>
            <w:r>
              <w:t>Ação (O QUÊ)</w:t>
            </w:r>
          </w:p>
        </w:tc>
        <w:tc>
          <w:tcPr>
            <w:tcW w:type="dxa" w:w="1440"/>
          </w:tcPr>
          <w:p>
            <w:r>
              <w:t>Subação (COMO)</w:t>
            </w:r>
          </w:p>
        </w:tc>
        <w:tc>
          <w:tcPr>
            <w:tcW w:type="dxa" w:w="1440"/>
          </w:tcPr>
          <w:p>
            <w:r>
              <w:t>Responsáveis</w:t>
            </w:r>
          </w:p>
        </w:tc>
        <w:tc>
          <w:tcPr>
            <w:tcW w:type="dxa" w:w="1440"/>
          </w:tcPr>
          <w:p>
            <w:r>
              <w:t>Prazo</w:t>
            </w:r>
          </w:p>
        </w:tc>
      </w:tr>
      <w:tr>
        <w:tc>
          <w:tcPr>
            <w:tcW w:type="dxa" w:w="1440"/>
          </w:tcPr>
          <w:p>
            <w:r>
              <w:t>E5.O1.KR1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Mapear e cadastrar no Monitor PGE todas as ações de saúde pública de alto impacto financeiro, social e estrutural</w:t>
            </w:r>
          </w:p>
        </w:tc>
        <w:tc>
          <w:tcPr>
            <w:tcW w:type="dxa" w:w="1440"/>
          </w:tcPr>
          <w:p>
            <w:r>
              <w:t>Realizar triagem sistemática semanal dos processos judiciais de valor expressivo e repercussão coletiva (medicamentos não incorporados de altíssimo custo, litígios coletivos de UTI/leitos e ACPs contra a gestão hospitalar), cadastrando dados e teses no Monitor PGE com alimentação periódica de andamentos.</w:t>
            </w:r>
          </w:p>
        </w:tc>
        <w:tc>
          <w:tcPr>
            <w:tcW w:type="dxa" w:w="1440"/>
          </w:tcPr>
          <w:p>
            <w:r>
              <w:t>Líder: Procuradoria da Saúde; Coexecutores: Subprocuradoria-Geral Adjunta, Núcleo de Cálculos</w:t>
            </w:r>
          </w:p>
        </w:tc>
        <w:tc>
          <w:tcPr>
            <w:tcW w:type="dxa" w:w="1440"/>
          </w:tcPr>
          <w:p>
            <w:r>
              <w:t>180 dias / Contínuo</w:t>
            </w:r>
          </w:p>
        </w:tc>
      </w:tr>
      <w:tr>
        <w:tc>
          <w:tcPr>
            <w:tcW w:type="dxa" w:w="1440"/>
          </w:tcPr>
          <w:p>
            <w:r>
              <w:t>E5.O1.KR2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Instituir protocolo de atuação qualificada com memoriais técnicos e sustentações orais nas Câmaras Cíveis do TJMA e TRF1</w:t>
            </w:r>
          </w:p>
        </w:tc>
        <w:tc>
          <w:tcPr>
            <w:tcW w:type="dxa" w:w="1440"/>
          </w:tcPr>
          <w:p>
            <w:r>
              <w:t>Elaborar memoriais individualizados com demonstração do impacto orçamentário no Fundo Estadual de Saúde e evidências técnico-sanitárias, realizando despachos presenciais com magistrados e sustentações orais telepresenciais/presenciais em agravos e apelações estratégicas.</w:t>
            </w:r>
          </w:p>
        </w:tc>
        <w:tc>
          <w:tcPr>
            <w:tcW w:type="dxa" w:w="1440"/>
          </w:tcPr>
          <w:p>
            <w:r>
              <w:t>Líder: Procuradoria da Saúde; Coexecutores: Subprocuradoria-Geral Adjunta, Gabinete do Procurador-Geral</w:t>
            </w:r>
          </w:p>
        </w:tc>
        <w:tc>
          <w:tcPr>
            <w:tcW w:type="dxa" w:w="1440"/>
          </w:tcPr>
          <w:p>
            <w:r>
              <w:t>Contínuo</w:t>
            </w:r>
          </w:p>
        </w:tc>
      </w:tr>
      <w:tr>
        <w:tc>
          <w:tcPr>
            <w:tcW w:type="dxa" w:w="1440"/>
          </w:tcPr>
          <w:p>
            <w:r>
              <w:t>E5.O1.KR2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Padronizar teses de defesa com base em medicina baseada em evidências, pareceres do NATJUS e precedentes vinculantes</w:t>
            </w:r>
          </w:p>
        </w:tc>
        <w:tc>
          <w:tcPr>
            <w:tcW w:type="dxa" w:w="1440"/>
          </w:tcPr>
          <w:p>
            <w:r>
              <w:t>Criar e atualizar banco digital de teses defensivas alinhadas à jurisprudência vinculante do STF (Temas 793 e 1234), comprovando a ausência de eficácia científica ou a competência exclusiva da União para fornecimento de fármacos sem registro na ANVISA/CONITEC.</w:t>
            </w:r>
          </w:p>
        </w:tc>
        <w:tc>
          <w:tcPr>
            <w:tcW w:type="dxa" w:w="1440"/>
          </w:tcPr>
          <w:p>
            <w:r>
              <w:t>Líder: Procuradoria da Saúde; Coexecutores: NATJUS/TJMA, Assessoria Jurídica da SES</w:t>
            </w:r>
          </w:p>
        </w:tc>
        <w:tc>
          <w:tcPr>
            <w:tcW w:type="dxa" w:w="1440"/>
          </w:tcPr>
          <w:p>
            <w:r>
              <w:t>90 dias / Contínuo</w:t>
            </w:r>
          </w:p>
        </w:tc>
      </w:tr>
      <w:tr>
        <w:tc>
          <w:tcPr>
            <w:tcW w:type="dxa" w:w="1440"/>
          </w:tcPr>
          <w:p>
            <w:r>
              <w:t>E5.O2.KR2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Qualificar a interposição de Recursos Especiais e Extraordinários no STJ e STF com demonstração de repercussão geral</w:t>
            </w:r>
          </w:p>
        </w:tc>
        <w:tc>
          <w:tcPr>
            <w:tcW w:type="dxa" w:w="1440"/>
          </w:tcPr>
          <w:p>
            <w:r>
              <w:t>Estabelecer canal de alinhamento técnico e envio tempestivo de subsídios à Procuradoria de Brasília para manejo refinado de REsp e RE em matérias de saúde pública, com foco na correta aplicação dos Temas 793 e 1234/STF.</w:t>
            </w:r>
          </w:p>
        </w:tc>
        <w:tc>
          <w:tcPr>
            <w:tcW w:type="dxa" w:w="1440"/>
          </w:tcPr>
          <w:p>
            <w:r>
              <w:t>Líder: Procuradoria da Saúde;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Contínuo</w:t>
            </w:r>
          </w:p>
        </w:tc>
      </w:tr>
      <w:tr>
        <w:tc>
          <w:tcPr>
            <w:tcW w:type="dxa" w:w="1440"/>
          </w:tcPr>
          <w:p>
            <w:r>
              <w:t>E5.O5.KR1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Implantar triagem inteligente e distribuição automatizada por matéria no fluxo de entrada de processos</w:t>
            </w:r>
          </w:p>
        </w:tc>
        <w:tc>
          <w:tcPr>
            <w:tcW w:type="dxa" w:w="1440"/>
          </w:tcPr>
          <w:p>
            <w:r>
              <w:t>Parametrizar regras automatizadas no SPA e PJe para classificar a petição inicial no ato da distribuição conforme o pedido (leito de UTI, medicamento SUS, não-SUS, cirurgia, órtese/prótese), direcionando de imediato ao assessor responsável.</w:t>
            </w:r>
          </w:p>
        </w:tc>
        <w:tc>
          <w:tcPr>
            <w:tcW w:type="dxa" w:w="1440"/>
          </w:tcPr>
          <w:p>
            <w:r>
              <w:t>Líder: Procuradoria da Saúde; Coexecutores: Assessoria em TIC da PGAAE / INOVA (Suporte de Infraestrutura: SI), Serviço de Digitalização e Distribuição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</w:tr>
      <w:tr>
        <w:tc>
          <w:tcPr>
            <w:tcW w:type="dxa" w:w="1440"/>
          </w:tcPr>
          <w:p>
            <w:r>
              <w:t>E5.O5.KR2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Desenvolver banco de minutas inteligentes e robôs de redação para peças e despachos de rotina com suporte de IA corporativa</w:t>
            </w:r>
          </w:p>
        </w:tc>
        <w:tc>
          <w:tcPr>
            <w:tcW w:type="dxa" w:w="1440"/>
          </w:tcPr>
          <w:p>
            <w:r>
              <w:t>Adotar modelos estruturados e prompts validados na ferramenta corporativa de IA contratada pela PGE para elaboração acelerada de petições simples de juntada de documentos, contestações padronizadas e recursos sobre temas pacificados.</w:t>
            </w:r>
          </w:p>
        </w:tc>
        <w:tc>
          <w:tcPr>
            <w:tcW w:type="dxa" w:w="1440"/>
          </w:tcPr>
          <w:p>
            <w:r>
              <w:t>Líder: Procuradoria da Saúde; Coexecutores: Assessoria em TIC da PGAAE / INOVA, ESAP</w:t>
            </w:r>
          </w:p>
        </w:tc>
        <w:tc>
          <w:tcPr>
            <w:tcW w:type="dxa" w:w="1440"/>
          </w:tcPr>
          <w:p>
            <w:r>
              <w:t>120 dias / Contínuo</w:t>
            </w:r>
          </w:p>
        </w:tc>
      </w:tr>
      <w:tr>
        <w:tc>
          <w:tcPr>
            <w:tcW w:type="dxa" w:w="1440"/>
          </w:tcPr>
          <w:p>
            <w:r>
              <w:t>E5.O5.KR3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Implantar painel de jurimetria e acompanhamento em tempo real da vazão processual da Procuradoria da Saúde</w:t>
            </w:r>
          </w:p>
        </w:tc>
        <w:tc>
          <w:tcPr>
            <w:tcW w:type="dxa" w:w="1440"/>
          </w:tcPr>
          <w:p>
            <w:r>
              <w:t>Estruturar dashboard dinâmico com métricas de processos distribuídos, peças protocoladas, liminares atendidas e audiências realizadas por procurador e assessor, subsidiando o rebalanceamento de carga de trabalho na especializada.</w:t>
            </w:r>
          </w:p>
        </w:tc>
        <w:tc>
          <w:tcPr>
            <w:tcW w:type="dxa" w:w="1440"/>
          </w:tcPr>
          <w:p>
            <w:r>
              <w:t>Líder: Procuradoria da Saúde; Coexecutores: Assessoria em TIC da PGAAE / INOVA (Suporte de Infraestrutura: SI), Subprocuradoria-Geral Adjunta</w:t>
            </w:r>
          </w:p>
        </w:tc>
        <w:tc>
          <w:tcPr>
            <w:tcW w:type="dxa" w:w="1440"/>
          </w:tcPr>
          <w:p>
            <w:r>
              <w:t>150 dias</w:t>
            </w:r>
          </w:p>
        </w:tc>
      </w:tr>
      <w:tr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Operar rotina de conciliação diária de prazos e controle paralelo em planilhas para mitigar falhas do sistema SPA</w:t>
            </w:r>
          </w:p>
        </w:tc>
        <w:tc>
          <w:tcPr>
            <w:tcW w:type="dxa" w:w="1440"/>
          </w:tcPr>
          <w:p>
            <w:r>
              <w:t>Realizar batimento diário obrigatório entre as intimações do PJe e os lançamentos do SPA, mantendo planilhas individuais e de chefia atualizadas para assegurar que nenhum prazo judicial seja perdido por falhas ou intempestividades do sistema oficial.</w:t>
            </w:r>
          </w:p>
        </w:tc>
        <w:tc>
          <w:tcPr>
            <w:tcW w:type="dxa" w:w="1440"/>
          </w:tcPr>
          <w:p>
            <w:r>
              <w:t>Líder Executivo: Procuradoria da Saúde (Cumprimento indelegável); Triagem e Etiquetas SPA: Serviço de Distribuição</w:t>
            </w:r>
          </w:p>
        </w:tc>
        <w:tc>
          <w:tcPr>
            <w:tcW w:type="dxa" w:w="1440"/>
          </w:tcPr>
          <w:p>
            <w:r>
              <w:t>Imediato / Contínuo</w:t>
            </w:r>
          </w:p>
        </w:tc>
      </w:tr>
      <w:tr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Instituir regime de alerta e escala de plantão contínuo para cumprimento e resposta a tutelas de urgência de leitos de UTI</w:t>
            </w:r>
          </w:p>
        </w:tc>
        <w:tc>
          <w:tcPr>
            <w:tcW w:type="dxa" w:w="1440"/>
          </w:tcPr>
          <w:p>
            <w:r>
              <w:t>Organizar escala de prontidão entre procuradores e assessores com acionamento telefônico direto da Central Estadual de Regulação de Leitos da SES para cumprimento imediato de ordens judiciais de transferência e internação intensiva (24h/48h).</w:t>
            </w:r>
          </w:p>
        </w:tc>
        <w:tc>
          <w:tcPr>
            <w:tcW w:type="dxa" w:w="1440"/>
          </w:tcPr>
          <w:p>
            <w:r>
              <w:t>Líder Executivo: Procuradoria da Saúde (Cumprimento indelegável); Triagem e Etiquetas SPA: Serviço de Distribuição</w:t>
            </w:r>
          </w:p>
        </w:tc>
        <w:tc>
          <w:tcPr>
            <w:tcW w:type="dxa" w:w="1440"/>
          </w:tcPr>
          <w:p>
            <w:r>
              <w:t>30 dias / Permanente</w:t>
            </w:r>
          </w:p>
        </w:tc>
      </w:tr>
      <w:tr>
        <w:tc>
          <w:tcPr>
            <w:tcW w:type="dxa" w:w="1440"/>
          </w:tcPr>
          <w:p>
            <w:r>
              <w:t>E7.O3.KR1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Submeter e executar projetos de inovação setorial no programa Inova PGE e nos concursos institucionais da Intranet</w:t>
            </w:r>
          </w:p>
        </w:tc>
        <w:tc>
          <w:tcPr>
            <w:tcW w:type="dxa" w:w="1440"/>
          </w:tcPr>
          <w:p>
            <w:r>
              <w:t>Elaborar e submeter propostas operacionais inovadoras (como assistente de triagem da saúde e sistema de resposta rápida a liminares de leitos) nos ciclos do Inova PGE, participando ativamente dos editais institucionais.</w:t>
            </w:r>
          </w:p>
        </w:tc>
        <w:tc>
          <w:tcPr>
            <w:tcW w:type="dxa" w:w="1440"/>
          </w:tcPr>
          <w:p>
            <w:r>
              <w:t>Líder: Procuradoria da Saúde; Coexecutores: PGAAE, Assessoria em TIC da PGAAE / INOVA, ESAP</w:t>
            </w:r>
          </w:p>
        </w:tc>
        <w:tc>
          <w:tcPr>
            <w:tcW w:type="dxa" w:w="1440"/>
          </w:tcPr>
          <w:p>
            <w:r>
              <w:t>Ciclos anuais / 1ª submissão em 60 dias</w:t>
            </w:r>
          </w:p>
        </w:tc>
      </w:tr>
      <w:tr>
        <w:tc>
          <w:tcPr>
            <w:tcW w:type="dxa" w:w="1440"/>
          </w:tcPr>
          <w:p>
            <w:r>
              <w:t>E7.O3.KR2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Implementar programa de capacitação em mão dupla com a ESAP focado em ferramentas de IA e Direito Sanitário aplicado</w:t>
            </w:r>
          </w:p>
        </w:tc>
        <w:tc>
          <w:tcPr>
            <w:tcW w:type="dxa" w:w="1440"/>
          </w:tcPr>
          <w:p>
            <w:r>
              <w:t>Inscrever servidores e procuradores nas trilhas corporativas de IA e Direito Digital da ESAP/EGMA, propondo concomitantemente a realização de workshops técnicos da especialidade em teses jurídicas de saúde pública e jurisprudência vinculante.</w:t>
            </w:r>
          </w:p>
        </w:tc>
        <w:tc>
          <w:tcPr>
            <w:tcW w:type="dxa" w:w="1440"/>
          </w:tcPr>
          <w:p>
            <w:r>
              <w:t>Líder: Procuradoria da Saúde; Coexecutores: ESAP, Escola de Governo (EGMA) (Liderança Tecnológica: PGAAE / INOVA; Suporte Infra: SI)</w:t>
            </w:r>
          </w:p>
        </w:tc>
        <w:tc>
          <w:tcPr>
            <w:tcW w:type="dxa" w:w="1440"/>
          </w:tcPr>
          <w:p>
            <w:r>
              <w:t>Anual / 1ª edição em 180 dias</w:t>
            </w:r>
          </w:p>
        </w:tc>
      </w:tr>
      <w:tr>
        <w:tc>
          <w:tcPr>
            <w:tcW w:type="dxa" w:w="1440"/>
          </w:tcPr>
          <w:p>
            <w:r>
              <w:t>E5.O1.KR3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Estabelecer metodologia institucional de aferição de 'Êxito Qualificado em Saúde Pública'</w:t>
            </w:r>
          </w:p>
        </w:tc>
        <w:tc>
          <w:tcPr>
            <w:tcW w:type="dxa" w:w="1440"/>
          </w:tcPr>
          <w:p>
            <w:r>
              <w:t>Parametrizar, em conjunto com a PGAAE e a SGA, matriz técnica de aferição de êxito nas demandas sanitárias (contabilizando substituição por fármacos padronizados no SUS/RENAME, aplicação do Tema 793 e 1234/STF, reversão de bloqueios SISBAJUD e deságio em cumprimentos), revertendo a supressão da meta de performance qualitativa.</w:t>
            </w:r>
          </w:p>
        </w:tc>
        <w:tc>
          <w:tcPr>
            <w:tcW w:type="dxa" w:w="1440"/>
          </w:tcPr>
          <w:p>
            <w:r>
              <w:t>Líder: Procuradoria da Saúde; Coexecutores: PGAAE, Subprocuradoria-Geral Adjunta (SGA)</w:t>
            </w:r>
          </w:p>
        </w:tc>
        <w:tc>
          <w:tcPr>
            <w:tcW w:type="dxa" w:w="1440"/>
          </w:tcPr>
          <w:p>
            <w:r>
              <w:t>Até 2027 (monitoramento contínuo)</w:t>
            </w:r>
          </w:p>
        </w:tc>
      </w:tr>
      <w:tr>
        <w:tc>
          <w:tcPr>
            <w:tcW w:type="dxa" w:w="1440"/>
          </w:tcPr>
          <w:p>
            <w:r>
              <w:t>E5.O3.KR2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Instituir notas orientativas, checklists e padronização administrativa preventiva junto à SES e CEMARC</w:t>
            </w:r>
          </w:p>
        </w:tc>
        <w:tc>
          <w:tcPr>
            <w:tcW w:type="dxa" w:w="1440"/>
          </w:tcPr>
          <w:p>
            <w:r>
              <w:t>Elaborar cartilhas práticas, listas de verificação e fluxos de resposta administrativa célere junto à Secretaria de Estado da Saúde (SES) e à CEMARC para fornecimento administrativo regular e instrução técnica prévia, prevenindo o ajuizamento massivo de demandas e bloqueios judiciais.</w:t>
            </w:r>
          </w:p>
        </w:tc>
        <w:tc>
          <w:tcPr>
            <w:tcW w:type="dxa" w:w="1440"/>
          </w:tcPr>
          <w:p>
            <w:r>
              <w:t>Líder: Procuradoria da Saúde; Coexecutores: Secretaria de Estado da Saúde (SES), PGAAJ</w:t>
            </w:r>
          </w:p>
        </w:tc>
        <w:tc>
          <w:tcPr>
            <w:tcW w:type="dxa" w:w="1440"/>
          </w:tcPr>
          <w:p>
            <w:r>
              <w:t>Contínuo (2027–2030)</w:t>
            </w:r>
          </w:p>
        </w:tc>
      </w:tr>
      <w:tr>
        <w:tc>
          <w:tcPr>
            <w:tcW w:type="dxa" w:w="1440"/>
          </w:tcPr>
          <w:p>
            <w:r>
              <w:t>E6.O1.KR2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Alimentação sistemática e tempestiva da Assessoria de Comunicação (ASCOM) com decisões judiciais favoráveis</w:t>
            </w:r>
          </w:p>
        </w:tc>
        <w:tc>
          <w:tcPr>
            <w:tcW w:type="dxa" w:w="1440"/>
          </w:tcPr>
          <w:p>
            <w:r>
              <w:t>Instituir rotina setorial quinzenal de envio de relatórios e cópias de decisões, suspensões de liminares e acórdãos de alta relevância sanitária à ASCOM, viabilizando a divulgação institucional da defesa do SUS pela PGE-MA.</w:t>
            </w:r>
          </w:p>
        </w:tc>
        <w:tc>
          <w:tcPr>
            <w:tcW w:type="dxa" w:w="1440"/>
          </w:tcPr>
          <w:p>
            <w:r>
              <w:t>Líder: Procuradoria da Saúde; Coexecutores: Assessores Setoriais, Assessoria de Comunicação (ASCOM)</w:t>
            </w:r>
          </w:p>
        </w:tc>
        <w:tc>
          <w:tcPr>
            <w:tcW w:type="dxa" w:w="1440"/>
          </w:tcPr>
          <w:p>
            <w:r>
              <w:t>Fluxo Quinzenal / Contínuo</w:t>
            </w:r>
          </w:p>
        </w:tc>
      </w:tr>
      <w:tr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440"/>
          </w:tcPr>
          <w:p>
            <w:r>
              <w:t>Mapear anualmente as demandas prioritárias de qualificação técnica da equipe (com foco em Direito Sanitário, judicialização da saúde pública (Temas 793 e 1234 do STF), regulação do SUS/RENAME, NATJus e compras públicas de medicamentos), encaminhar sugestões de cursos e oficinas práticas à ESAP e ao SGRH para composição do Plano Anual de Capacitação (PAC) e viabilizar a participação ativa de ao menos 40% dos integrantes do setor.</w:t>
            </w:r>
          </w:p>
        </w:tc>
        <w:tc>
          <w:tcPr>
            <w:tcW w:type="dxa" w:w="1440"/>
          </w:tcPr>
          <w:p>
            <w:r>
              <w:t>Líder: Procuradoria da Saúde (PSAU); Coexecutores: Escola Superior da Advocacia Pública (ESAP), Serviço de Gestão de Recursos Humanos (SGRH)</w:t>
            </w:r>
          </w:p>
        </w:tc>
        <w:tc>
          <w:tcPr>
            <w:tcW w:type="dxa" w:w="1440"/>
          </w:tcPr>
          <w:p>
            <w:r>
              <w:t>Ciclo Anual até 2029</w:t>
            </w:r>
          </w:p>
        </w:tc>
      </w:tr>
      <w:tr>
        <w:tc>
          <w:tcPr>
            <w:tcW w:type="dxa" w:w="1440"/>
          </w:tcPr>
          <w:p>
            <w:r>
              <w:t>E4.O1.KR1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Garantir resposta tempestiva a ao menos 90% das consultas e orientações jurídicas da SES e CEMARC dentro do prazo regulamentar</w:t>
            </w:r>
          </w:p>
        </w:tc>
        <w:tc>
          <w:tcPr>
            <w:tcW w:type="dxa" w:w="1440"/>
          </w:tcPr>
          <w:p>
            <w:r>
              <w:t>Monitorar no SEI/SPA o cumprimento dos prazos regulamentares nas consultas sobre aquisições de medicamentos, regulação sanitária e cumprimento de decisões, articulado às cartilhas preventivas da saúde.</w:t>
            </w:r>
          </w:p>
        </w:tc>
        <w:tc>
          <w:tcPr>
            <w:tcW w:type="dxa" w:w="1440"/>
          </w:tcPr>
          <w:p>
            <w:r>
              <w:t>Líder: Procuradoria da Saúde (PSAU); Coexecutores: PGAAJ, Secretaria de Estado da Saúde (SES)</w:t>
            </w:r>
          </w:p>
        </w:tc>
        <w:tc>
          <w:tcPr>
            <w:tcW w:type="dxa" w:w="1440"/>
          </w:tcPr>
          <w:p>
            <w:r>
              <w:t>Contínuo até 2030</w:t>
            </w:r>
          </w:p>
        </w:tc>
      </w:tr>
    </w:tbl>
    <w:p>
      <w:pPr>
        <w:pStyle w:val="Heading2"/>
      </w:pPr>
      <w:r>
        <w:t>2. Demandas Externas Recebidas por PSAU (90 ações)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Origem</w:t>
            </w:r>
          </w:p>
        </w:tc>
        <w:tc>
          <w:tcPr>
            <w:tcW w:type="dxa" w:w="2160"/>
          </w:tcPr>
          <w:p>
            <w:r>
              <w:t>KR</w:t>
            </w:r>
          </w:p>
        </w:tc>
        <w:tc>
          <w:tcPr>
            <w:tcW w:type="dxa" w:w="2160"/>
          </w:tcPr>
          <w:p>
            <w:r>
              <w:t>Ação</w:t>
            </w:r>
          </w:p>
        </w:tc>
        <w:tc>
          <w:tcPr>
            <w:tcW w:type="dxa" w:w="2160"/>
          </w:tcPr>
          <w:p>
            <w:r>
              <w:t>Responsáveis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Instituir carteira oficial de projetos de inovação da PGE-MA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Aproveitar e converter em projeto as iniciativas já propostas pelo INOVA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Implantar 4 projetos de inovação com governança semestral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Integrar o Laboratório de Inovação às demandas reais das unidades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Criar painel institucional de inovação, capacitação e certificação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Produzir relatório semestral de maturidade tecnológica e inovação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E7.O3.KR3</w:t>
            </w:r>
          </w:p>
        </w:tc>
        <w:tc>
          <w:tcPr>
            <w:tcW w:type="dxa" w:w="2160"/>
          </w:tcPr>
          <w:p>
            <w:r>
              <w:t>Definir trilha oficial de certificações prioritárias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NC</w:t>
            </w:r>
          </w:p>
        </w:tc>
        <w:tc>
          <w:tcPr>
            <w:tcW w:type="dxa" w:w="2160"/>
          </w:tcPr>
          <w:p>
            <w:r>
              <w:t>E5.O5.KR3</w:t>
            </w:r>
          </w:p>
        </w:tc>
        <w:tc>
          <w:tcPr>
            <w:tcW w:type="dxa" w:w="2160"/>
          </w:tcPr>
          <w:p>
            <w:r>
              <w:t>Implantar sistemática de mensuração de produtividade setorial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Supervisionar a implementação do ato normativo de prazos regulamentares para consultas e monitorar resolutividade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Monitorar estrategicamente o cumprimento do ato normativo de prazos regulamentares de consultas em painel executivo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Instituir carteira oficial de projetos de inovação da PGE-MA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Aproveitar e converter em projeto as iniciativas já propostas pelo INOVA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Implantar 4 projetos de inovação com governança semestral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Integrar o Laboratório de Inovação às demandas reais das unidades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Criar painel institucional de inovação, capacitação e certificação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Produzir relatório semestral de maturidade tecnológica e inovação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E7.O3.KR3</w:t>
            </w:r>
          </w:p>
        </w:tc>
        <w:tc>
          <w:tcPr>
            <w:tcW w:type="dxa" w:w="2160"/>
          </w:tcPr>
          <w:p>
            <w:r>
              <w:t>Definir trilha oficial de certificações prioritárias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Sanear o delay de sincronização PJe/Portais–SPA, mitigar instabilidades noturnas e normatizar aviso prévio de atualizações de layout do SPA</w:t>
            </w:r>
          </w:p>
        </w:tc>
        <w:tc>
          <w:tcPr>
            <w:tcW w:type="dxa" w:w="2160"/>
          </w:tcPr>
          <w:p>
            <w:r>
              <w:t>Líder Tecnológico: Assessoria em TIC da PGAAE / INOVA (Coordenação do SPA); Suporte de Infraestrutura Física: Supervisão de Informática (SI); Coexecutores: SGA, SDD, PJEFP, Procuradoria da Saúde e Procuradoria de Brasília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Implementar o ato normativo de prazos regulamentares para resposta a consultas das secretarias e adequar fluxos setoriais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Mapear o fluxo interno de consultas das secretarias e gargalos de tramitação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Criar protocolo de resposta padronizada para consultas recorrentes da unidade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Firmar entendimentos institucionais sobre matérias repetitivas com a Consultoria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Parametrizar controle de prazos regulamentares e alertas de SLA no sistema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Monitorar taxa de cumprimento do prazo regulamentar e tempo de resposta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Instituir política formal de gestão de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Mapear a carteira atual de processos estratégicos por especializada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E5.O1.KR3</w:t>
            </w:r>
          </w:p>
        </w:tc>
        <w:tc>
          <w:tcPr>
            <w:tcW w:type="dxa" w:w="2160"/>
          </w:tcPr>
          <w:p>
            <w:r>
              <w:t>Padronizar o conceito de “êxito” por área temática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Reestruturar o uso do Monitor PGE como carteira viva de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Integrar automações já existentes ao Monitor PGE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Aumentar a presença institucional em julgamentos e tribunais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Criar rito mensal de revisão executiva dos processos prioritários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Criar dashboards de acompanhamento para processos de grande impacto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Vincular consultoria PROFISCO e IA ao tratamento dos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 (Liderança Tecnológica: PGAAE / INOVA; Suporte Infra: SI)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Instituir programa de redução de litigiosidade por composição e atuação preventiva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Identificar os principais vetores de judicialização por secretaria e tema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Criar trilha administrativa de composição para casos passíveis de acordo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Implantar modelo-piloto de mediação e conciliação virtual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Elaborar cartilhas orientativas e pareceres referenciais para prevenção de judicialização nas secretarias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Incorporar o grupo de trabalho com o TJMA no plano de prevenção de litigiosidade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Instituir programa de advocacia pública preventiva por temas críticos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Selecionar e priorizar 5 secretarias estratégicas para intervenção consultiva intensiva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Instituir rotina de pareceres preventivos temáticos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Criar normas e orientações internas de conformidade e compliance para temas recorrentes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Criar painel de litígios evitáveis por secretaria e tema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Usar dados de prevenção de 2025 como linha de base gerencial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Produzir relatório semestral de prevenção de litígios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Instituir Programa de Automação Institucional da PGE-MA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Mapear os 20 fluxos mais repetitivos da instituição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Implantar metodologia de gestão visual de trabalho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Criar trilha prioritária para automação de documentos e minutas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Implantar ambiente de automação assistida para elaboração documental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Vincular a consultoria de transformação digital ao redesenho dos fluxos documentais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Criar painel institucional de produtividade e automação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E5.O5.KR3</w:t>
            </w:r>
          </w:p>
        </w:tc>
        <w:tc>
          <w:tcPr>
            <w:tcW w:type="dxa" w:w="2160"/>
          </w:tcPr>
          <w:p>
            <w:r>
              <w:t>Criar painel institucional de produtividade e automação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Implementar o ato normativo de prazos regulamentares para resposta a consultas das secretarias e adequar fluxos setoriais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Mapear o fluxo interno de consultas das secretarias e gargalos de tramitação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Criar protocolo de resposta padronizada para consultas recorrentes da unidade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Firmar entendimentos institucionais sobre matérias repetitivas com a Consultoria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Parametrizar controle de prazos regulamentares e alertas de SLA no sistema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Monitorar taxa de cumprimento do prazo regulamentar e tempo de resposta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Instituir política formal de gestão de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Mapear a carteira atual de processos estratégicos por especializada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E5.O1.KR3</w:t>
            </w:r>
          </w:p>
        </w:tc>
        <w:tc>
          <w:tcPr>
            <w:tcW w:type="dxa" w:w="2160"/>
          </w:tcPr>
          <w:p>
            <w:r>
              <w:t>Padronizar o conceito de “êxito” por área temática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Reestruturar o uso do Monitor PGE como carteira viva de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Integrar automações já existentes ao Monitor PGE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Aumentar a presença institucional em julgamentos e tribunais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Criar rito mensal de revisão executiva dos processos prioritários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Criar dashboards de acompanhamento para processos de grande impacto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Vincular consultoria PROFISCO e IA ao tratamento dos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 (Liderança Tecnológica: PGAAE / INOVA; Suporte Infra: SI)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Instituir programa de redução de litigiosidade por composição e atuação preventiva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Identificar os principais vetores de judicialização por secretaria e tema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Criar trilha administrativa de composição para casos passíveis de acordo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Implantar modelo-piloto de mediação e conciliação virtual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Elaborar cartilhas orientativas e pareceres referenciais para prevenção de judicialização nas secretarias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Incorporar o grupo de trabalho com o TJMA no plano de prevenção de litigiosidade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Instituir programa de advocacia pública preventiva por temas críticos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Selecionar e priorizar 5 secretarias estratégicas para intervenção consultiva intensiva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Instituir rotina de pareceres preventivos temáticos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Criar normas e orientações internas de conformidade e compliance para temas recorrentes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Criar painel de litígios evitáveis por secretaria e tema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Usar dados de prevenção de 2025 como linha de base gerencial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Produzir relatório semestral de prevenção de litígios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Instituir Programa de Automação Institucional da PGE-MA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Mapear os 20 fluxos mais repetitivos da instituição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Implantar metodologia de gestão visual de trabalho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Criar trilha prioritária para automação de documentos e minutas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Implantar ambiente de automação assistida para elaboração documental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Vincular a consultoria de transformação digital ao redesenho dos fluxos documentais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Criar painel institucional de produtividade e automação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E5.O5.KR3</w:t>
            </w:r>
          </w:p>
        </w:tc>
        <w:tc>
          <w:tcPr>
            <w:tcW w:type="dxa" w:w="2160"/>
          </w:tcPr>
          <w:p>
            <w:r>
              <w:t>Criar painel institucional de produtividade e automação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</w:tbl>
    <w:p>
      <w:pPr>
        <w:pStyle w:val="Heading2"/>
      </w:pPr>
      <w:r>
        <w:t>3. Minuta de Despacho de Validação SEI</w:t>
      </w:r>
    </w:p>
    <w:p>
      <w:r>
        <w:t>À Chefia da Procuradoria da Saúde (PSAU),</w:t>
        <w:br/>
        <w:br/>
        <w:t>No âmbito da consolidação do Planejamento Estratégico 2027–2030 da PGE-MA (Processo SEI: Verificar SEI), e em conformidade com o alinhamento técnico realizado com a unidade (Corpo de Assessores / Deliberação Dr. Marcus Bacellar), a Assessoria de Planejamento e Gestão Estratégica acosta aos presentes autos a versão consolidada e saneada do Plano de Ação Setorial (Plano_Acao_Pos_Comparacao_PSAU.xlsx, contemplando 16 ações estratégicas vinculadas aos resultados-chave E4.O1.KR1, E5.O1.KR1, E5.O1.KR2, E5.O1.KR3, E5.O2.KR2, E5.O3.KR2, E5.O5.KR1, E5.O5.KR2, E5.O5.KR3, E5.O6.KR1, E6.O1.KR2, E7.O3.KR1, E7.O3.KR2, E9.O2.KR1).</w:t>
        <w:br/>
        <w:br/>
        <w:t>Destaques técnicos consolidados: Mantida E4.O1.KR1 (90% SLA consultas SES/CEMARC) por decisão do Dr. Marcus Bacellar; incluída aferição de Êxito Qualificado em Saúde Pública (E5.O1.KR3); expurgada apenas E9.O3.KR1 (honorários).</w:t>
        <w:br/>
        <w:br/>
        <w:t>Solicita-se a conferência e o lançamento de despacho simplificado de validação ("Com reunião de alinhamento e planilha saneada anexada aos autos, valido os dados e o Plano de Ação desta unidade para o ciclo 2027–2030"), restituindo-se os autos à Assessoria de Planejamento / PGAAE para homologação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