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SGT</w:t>
      </w:r>
    </w:p>
    <w:p>
      <w:r>
        <w:rPr>
          <w:b/>
        </w:rPr>
        <w:t xml:space="preserve">Unidade: </w:t>
      </w:r>
      <w:r>
        <w:t>SGT — Serviços Gerais e Transportes</w:t>
        <w:br/>
      </w:r>
      <w:r>
        <w:rPr>
          <w:b/>
        </w:rPr>
        <w:t xml:space="preserve">Chefia / Interlocutor(a): </w:t>
      </w:r>
      <w:r>
        <w:t>Silvia Madeira Dias (Despacho nº 56/2026)</w:t>
        <w:br/>
      </w:r>
      <w:r>
        <w:rPr>
          <w:b/>
        </w:rPr>
        <w:t xml:space="preserve">Processo SEI: </w:t>
      </w:r>
      <w:r>
        <w:t xml:space="preserve">2026.11103.07209 | </w:t>
      </w:r>
      <w:r>
        <w:rPr>
          <w:b/>
        </w:rPr>
        <w:t xml:space="preserve">Status: </w:t>
      </w:r>
      <w:r>
        <w:t>Respondido no SEI</w:t>
        <w:br/>
      </w:r>
      <w:r>
        <w:rPr>
          <w:b/>
        </w:rPr>
        <w:t xml:space="preserve">KRs Vinculados: </w:t>
      </w:r>
      <w:r>
        <w:t>E2.O1.KR1, E8.O1.KR1, E9.O1.KR3, E9.O2.KR1 (15 ações)</w:t>
        <w:br/>
      </w:r>
      <w:r>
        <w:rPr>
          <w:b/>
        </w:rPr>
        <w:t xml:space="preserve">Síntese das Deliberações: </w:t>
      </w:r>
      <w:r>
        <w:t>Eficiência na gestão de frota, manutenção predial, redução de consumo de água/energia (E2.O1.KR1) e práticas sustentáveis (Eixo 8).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Gestão e fiscalização integrada de contratos de mão de obra terceirizada e apoio predial (Despacho SEI nº 56/2026)</w:t>
            </w:r>
          </w:p>
        </w:tc>
        <w:tc>
          <w:tcPr>
            <w:tcW w:type="dxa" w:w="1440"/>
          </w:tcPr>
          <w:p>
            <w:r>
              <w:t>Auditar postos terceirizados de apoio administrativo, recepção, vigilância e motoristas, aplicando glosas a postos vagos ou desnecessários para assegurar a meta de 10% de economia de custeio.</w:t>
            </w:r>
          </w:p>
        </w:tc>
        <w:tc>
          <w:tcPr>
            <w:tcW w:type="dxa" w:w="1440"/>
          </w:tcPr>
          <w:p>
            <w:r>
              <w:t>Líder: Serviços Gerais e Transportes (SGT); Coexecutores: UGAM</w:t>
            </w:r>
          </w:p>
        </w:tc>
        <w:tc>
          <w:tcPr>
            <w:tcW w:type="dxa" w:w="1440"/>
          </w:tcPr>
          <w:p>
            <w:r>
              <w:t>Contínuo até 2026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Racionalização da distribuição de insumos e conservação predial (Despacho SEI nº 56/2026)</w:t>
            </w:r>
          </w:p>
        </w:tc>
        <w:tc>
          <w:tcPr>
            <w:tcW w:type="dxa" w:w="1440"/>
          </w:tcPr>
          <w:p>
            <w:r>
              <w:t>Implantar cronograma programado (quinzenal/mensal) de remessa parametrizada de materiais de limpeza às unidades da capital e regionais, controlando consumo per capita.</w:t>
            </w:r>
          </w:p>
        </w:tc>
        <w:tc>
          <w:tcPr>
            <w:tcW w:type="dxa" w:w="1440"/>
          </w:tcPr>
          <w:p>
            <w:r>
              <w:t>Líder: SGT; Coexecutores: UGAM, Regionais</w:t>
            </w:r>
          </w:p>
        </w:tc>
        <w:tc>
          <w:tcPr>
            <w:tcW w:type="dxa" w:w="1440"/>
          </w:tcPr>
          <w:p>
            <w:r>
              <w:t>60 dias / Rotina Permanente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Colaboração institucional para eliminação de impressões e papel físico</w:t>
            </w:r>
          </w:p>
        </w:tc>
        <w:tc>
          <w:tcPr>
            <w:tcW w:type="dxa" w:w="1440"/>
          </w:tcPr>
          <w:p>
            <w:r>
              <w:t>Atuar junto à Supervisão de Informática e UGAM na transição para rotinas 100% digitais no SEI/SPA, reduzindo despesas com locação de impressoras e papel.</w:t>
            </w:r>
          </w:p>
        </w:tc>
        <w:tc>
          <w:tcPr>
            <w:tcW w:type="dxa" w:w="1440"/>
          </w:tcPr>
          <w:p>
            <w:r>
              <w:t>Líder: SGT; Coexecutores: Supervisão de Informática, UGAM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Implementar política de racionalização de materiais de consumo</w:t>
            </w:r>
          </w:p>
        </w:tc>
        <w:tc>
          <w:tcPr>
            <w:tcW w:type="dxa" w:w="1440"/>
          </w:tcPr>
          <w:p>
            <w:r>
              <w:t>Revisar padrões de requisição, fixar cotas internas por setor e reforçar rotinas de uso racional de papel e materiais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Editar ato interno criando programa com dois módulos integrados: sustentabilidade operacional e equidade/diversidade/inclusão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do manejo de resíduos nas unidades da PGE</w:t>
            </w:r>
          </w:p>
        </w:tc>
        <w:tc>
          <w:tcPr>
            <w:tcW w:type="dxa" w:w="1440"/>
          </w:tcPr>
          <w:p>
            <w:r>
              <w:t>Levantar volume atual de resíduos gerados, fração reciclável, forma de destinação, contratos de coleta e pontos de descarte existentes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Mapear infraestrutura mínima de coleta seletiva por unidade</w:t>
            </w:r>
          </w:p>
        </w:tc>
        <w:tc>
          <w:tcPr>
            <w:tcW w:type="dxa" w:w="1440"/>
          </w:tcPr>
          <w:p>
            <w:r>
              <w:t>Identificar necessidade de lixeiras específicas, sinalização, ponto de armazenamento e rotina de retirada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política de coleta seletiva e destinação correta</w:t>
            </w:r>
          </w:p>
        </w:tc>
        <w:tc>
          <w:tcPr>
            <w:tcW w:type="dxa" w:w="1440"/>
          </w:tcPr>
          <w:p>
            <w:r>
              <w:t>Formalizar fluxo de segregação de resíduos, acondicionamento, retirada, registro e destinação final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Celebrar parcerias operacionais para reciclagem e destinação ambientalmente adequada</w:t>
            </w:r>
          </w:p>
        </w:tc>
        <w:tc>
          <w:tcPr>
            <w:tcW w:type="dxa" w:w="1440"/>
          </w:tcPr>
          <w:p>
            <w:r>
              <w:t>Buscar cooperação com cooperativas, órgãos ambientais, parceiros públicos e privados para viabilizar a destinação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Monitorar semestralmente o aumento do volume reciclado corretamente</w:t>
            </w:r>
          </w:p>
        </w:tc>
        <w:tc>
          <w:tcPr>
            <w:tcW w:type="dxa" w:w="1440"/>
          </w:tcPr>
          <w:p>
            <w:r>
              <w:t>Comparar volume-base com volume destinado corretamente após implantação do programa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Identificar focos ocupacionais de risco e fatores de adoecimento</w:t>
            </w:r>
          </w:p>
        </w:tc>
        <w:tc>
          <w:tcPr>
            <w:tcW w:type="dxa" w:w="1440"/>
          </w:tcPr>
          <w:p>
            <w:r>
              <w:t>Cruzar afastamentos, carga de trabalho, setores críticos, mobiliário e condições ambientais para identificar causas-raiz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plano corretivo de ergonomia e condições ambientais</w:t>
            </w:r>
          </w:p>
        </w:tc>
        <w:tc>
          <w:tcPr>
            <w:tcW w:type="dxa" w:w="1440"/>
          </w:tcPr>
          <w:p>
            <w:r>
              <w:t>Adequar mobiliário, estações de trabalho, iluminação, ventilação e rotinas organizacionais de maior impacto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Adequar e modernizar os espaços de refeição da sede e das regionais</w:t>
            </w:r>
          </w:p>
        </w:tc>
        <w:tc>
          <w:tcPr>
            <w:tcW w:type="dxa" w:w="1440"/>
          </w:tcPr>
          <w:p>
            <w:r>
              <w:t>Executar adequações sanitárias, ergonômicas e funcionais nas copas e áreas de refeição da sede e das procuradorias regionais até 2030.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Adequar e modernizar os espaços de refeição da sede e das regionais</w:t>
            </w:r>
          </w:p>
        </w:tc>
        <w:tc>
          <w:tcPr>
            <w:tcW w:type="dxa" w:w="1440"/>
          </w:tcPr>
          <w:p>
            <w:r>
              <w:t>Executar adequações sanitárias, ergonômicas e funcionais nas copas e áreas de refeição da sede e das procuradorias regionais até 2030.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logística administrativa, gestão de frotas e manutenção predial sustentável, segurança do trabalho, direção defensiva e fiscalização de serviços terceirizados),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Serviços Gerais e Transportes (SGT);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SGT (7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Instituir programa permanente de eficiência de gastos da PGE-MA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Consolidar linha de base de custos operacionais 2025/2026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E2.O1.KR2</w:t>
            </w:r>
          </w:p>
        </w:tc>
        <w:tc>
          <w:tcPr>
            <w:tcW w:type="dxa" w:w="2160"/>
          </w:tcPr>
          <w:p>
            <w:r>
              <w:t>Realizar inventário patrimonial integral e classificação de uso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E2.O1.KR2</w:t>
            </w:r>
          </w:p>
        </w:tc>
        <w:tc>
          <w:tcPr>
            <w:tcW w:type="dxa" w:w="2160"/>
          </w:tcPr>
          <w:p>
            <w:r>
              <w:t>Criar plano de desmobilização, reaproveitamento e recuperação de ativos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Instituir Programa de Sustentabilidade e Inclusão da PGE-MA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Coletar linha de base do manejo de resíduos nas unidades da PGE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Serviços Gerais e Transportes (SGT),</w:t>
        <w:br/>
        <w:br/>
        <w:t>No âmbito da consolidação do Planejamento Estratégico 2027–2030 da PGE-MA (Processo SEI: 2026.11103.07209), e em conformidade com o alinhamento técnico realizado com a unidade (Silvia Madeira Dias (Despacho nº 56/2026)), a Assessoria de Planejamento e Gestão Estratégica acosta aos presentes autos a versão consolidada e saneada do Plano de Ação Setorial (Plano_Acao_Pos_Comparacao_SGT.xlsx, contemplando 15 ações estratégicas vinculadas aos resultados-chave E2.O1.KR1, E8.O1.KR1, E9.O1.KR3, E9.O2.KR1).</w:t>
        <w:br/>
        <w:br/>
        <w:t>Destaques técnicos consolidados: Eficiência na gestão de frota, manutenção predial, redução de consumo de água/energia (E2.O1.KR1) e práticas sustentáveis (Eixo 8).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