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  <w:r>
        <w:rPr>
          <w:rFonts w:ascii="Arial" w:cs="Arial" w:eastAsia="Arial" w:hAnsi="Arial"/>
          <w:color w:val="5B5768"/>
          <w:sz w:val="30"/>
          <w:szCs w:val="30"/>
        </w:rPr>
        <w:t xml:space="preserve">Análise de Sistemas</w:t>
      </w:r>
    </w:p>
    <w:p>
      <w:pPr>
        <w:spacing w:after="0" w:before="40"/>
      </w:pPr>
      <w:r>
        <w:rPr>
          <w:rFonts w:ascii="Arial" w:cs="Arial" w:eastAsia="Arial" w:hAnsi="Arial"/>
          <w:b/>
          <w:bCs/>
          <w:color w:val="3B5A47"/>
          <w:sz w:val="80"/>
          <w:szCs w:val="80"/>
        </w:rPr>
        <w:t xml:space="preserve">Lumyra</w:t>
      </w:r>
    </w:p>
    <w:p>
      <w:pPr>
        <w:pBdr>
          <w:bottom w:val="single" w:color="9173B5" w:sz="12" w:space="6"/>
        </w:pBdr>
        <w:spacing w:after="240" w:before="40"/>
      </w:pPr>
      <w:r>
        <w:rPr>
          <w:rFonts w:ascii="Arial" w:cs="Arial" w:eastAsia="Arial" w:hAnsi="Arial"/>
          <w:color w:val="5F477A"/>
          <w:sz w:val="24"/>
          <w:szCs w:val="24"/>
        </w:rPr>
        <w:t xml:space="preserve">App mobile de avaliação física, prescrição de treino e acompanhamento — com foco em saúde da mulher</w:t>
      </w:r>
    </w:p>
    <w:p>
      <w:pPr>
        <w:spacing w:before="120"/>
      </w:pPr>
      <w:r>
        <w:rPr>
          <w:rFonts w:ascii="Arial" w:cs="Arial" w:eastAsia="Arial" w:hAnsi="Arial"/>
          <w:color w:val="5B5768"/>
          <w:sz w:val="22"/>
          <w:szCs w:val="22"/>
        </w:rPr>
        <w:t xml:space="preserve">Documento técnico de engenharia · pré-construção</w:t>
      </w:r>
    </w:p>
    <w:p>
      <w:pPr>
        <w:spacing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Status: </w:t>
      </w:r>
      <w:r>
        <w:rPr>
          <w:rFonts w:ascii="Arial" w:cs="Arial" w:eastAsia="Arial" w:hAnsi="Arial"/>
          <w:color w:val="5B5768"/>
          <w:sz w:val="21"/>
          <w:szCs w:val="21"/>
        </w:rPr>
        <w:t xml:space="preserve">Rascunho de engenharia</w:t>
      </w:r>
    </w:p>
    <w:p>
      <w:pPr>
        <w:spacing w:before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Data: </w:t>
      </w:r>
      <w:r>
        <w:rPr>
          <w:rFonts w:ascii="Arial" w:cs="Arial" w:eastAsia="Arial" w:hAnsi="Arial"/>
          <w:color w:val="5B5768"/>
          <w:sz w:val="21"/>
          <w:szCs w:val="21"/>
        </w:rPr>
        <w:t xml:space="preserve">26 de maio de 2026</w:t>
      </w:r>
    </w:p>
    <w:p>
      <w:pPr>
        <w:spacing w:before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Autor: </w:t>
      </w:r>
      <w:r>
        <w:rPr>
          <w:rFonts w:ascii="Arial" w:cs="Arial" w:eastAsia="Arial" w:hAnsi="Arial"/>
          <w:color w:val="5B5768"/>
          <w:sz w:val="21"/>
          <w:szCs w:val="21"/>
        </w:rPr>
        <w:t xml:space="preserve">Análise no nível de arquiteto/engenheiro de software sênior</w:t>
      </w:r>
    </w:p>
    <w:p>
      <w:pPr>
        <w:spacing w:before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Base: </w:t>
      </w:r>
      <w:r>
        <w:rPr>
          <w:rFonts w:ascii="Arial" w:cs="Arial" w:eastAsia="Arial" w:hAnsi="Arial"/>
          <w:color w:val="5B5768"/>
          <w:sz w:val="21"/>
          <w:szCs w:val="21"/>
        </w:rPr>
        <w:t xml:space="preserve">Bundle de design Lumyra (13 telas), laudo de avaliação física (PDF) e planilha de volume de treino</w:t>
      </w:r>
    </w:p>
    <w:p>
      <w:r>
        <w:br w:type="page"/>
      </w:r>
    </w:p>
    <w:p>
      <w:pPr>
        <w:pStyle w:val="Heading1"/>
        <w:spacing w:after="160"/>
      </w:pPr>
      <w:r>
        <w:rPr>
          <w:rFonts w:ascii="Arial" w:cs="Arial" w:eastAsia="Arial" w:hAnsi="Arial"/>
          <w:b/>
          <w:bCs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</w:rPr>
        <w:t xml:space="preserve">0. Sumário executivo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O Lumyra é um aplicativo mobile B2B2C para profissionais de educação física que atendem mulheres. O profissional (educador(a) com CREF) realiza avaliações físicas — anamnese, composição corporal por antropometria, testes funcionais para idosas — prescreve treinos e analisa o volume semanal por grupo muscular. As alunas acessam o app em modo majoritariamente somente-leitura para ver avaliações, anamnese e treino, e têm interações próprias: registrar a percepção subjetiva de esforço (RPE) durante o treino, preencher o questionário de dor e — o diferencial central do produto — acompanhar a fase do ciclo menstrual, entendendo como ela altera o corpo e influencia treinos e avaliações.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Os pontos que mais determinam a engenharia deste sistema, e que esta análise trata de frente, são: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Dado de saúde sensível sob LGPD. </w:t>
      </w:r>
      <w:r>
        <w:rPr>
          <w:rFonts w:ascii="Arial" w:cs="Arial" w:eastAsia="Arial" w:hAnsi="Arial"/>
        </w:rPr>
        <w:t xml:space="preserve">Ciclo menstrual, dor, anamnese e composição corporal são dado pessoal sensível (Art. 11 da LGPD). Isso eleva o rigor de consentimento, criptografia, controle de acesso e auditoria de "desejável" para "obrigatório" — é o requisito que mais molda a arquitetura.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Modelo de acesso assimétrico e multi-tenant. </w:t>
      </w:r>
      <w:r>
        <w:rPr>
          <w:rFonts w:ascii="Arial" w:cs="Arial" w:eastAsia="Arial" w:hAnsi="Arial"/>
        </w:rPr>
        <w:t xml:space="preserve">Educador(a) escreve; aluna majoritariamente lê. Dados de uma aluna jamais podem vazar para outro profissional. O isolamento por tenant é a fronteira de segurança número um.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Correção clínica dos cálculos. </w:t>
      </w:r>
      <w:r>
        <w:rPr>
          <w:rFonts w:ascii="Arial" w:cs="Arial" w:eastAsia="Arial" w:hAnsi="Arial"/>
        </w:rPr>
        <w:t xml:space="preserve">Percentual de gordura, massa magra e índices derivam de fórmulas (Guedes &amp; Guedes, Siri). Um erro silencioso aqui produz laudo errado com aparência de certo — risco difícil de detectar e de alto impacto profissional.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O diferencial (ciclo) precisa de validação clínica e de produto, </w:t>
      </w:r>
      <w:r>
        <w:rPr>
          <w:rFonts w:ascii="Arial" w:cs="Arial" w:eastAsia="Arial" w:hAnsi="Arial"/>
        </w:rPr>
        <w:t xml:space="preserve">não só de código. A relação entre fase do ciclo e desempenho/treino tem evidência científica heterogênea; recomendar conduta com base nisso exige cautela de conteúdo e disclaimers.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Recomendação macro: monólito modular (uma API REST bem fatiada por domínio) sobre PostgreSQL multi-tenant com Row-Level Security, app em React Native/Expo, e o ciclo menstrual entrando depois de um MVP que prova o fluxo de avaliação. Detalhamento nas seções a seguir.</w:t>
      </w:r>
    </w:p>
    <w:r>
      <w:br w:type="page"/>
    </w:r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</w:rPr>
        <w:t xml:space="preserve">1. Visão e Escopo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</w:rPr>
        <w:t xml:space="preserve">1.1 Objetivo do sistema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Dar ao profissional de educação física uma ferramenta mobile única para avaliar fisicamente suas alunas, prescrever treino com base nessa avaliação e acompanhar a evolução ao longo do tempo — substituindo a colcha de retalhos atual de planilhas de volume, PDFs de laudo gerados por software de desktop e cadernos de anamnese. Para a aluna, dar visibilidade da própria evolução e um entendimento ativo de como o ciclo menstrual interage com treino e avaliação, aumentando adesão e segurança.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</w:rPr>
        <w:t xml:space="preserve">1.2 Objetivos mensuráveis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</w:rPr>
        <w:t xml:space="preserve">Reduzir o tempo de uma avaliação completa (anamnese + composição + laudo) para abaixo de 15 minutos dentro do app, ante o fluxo atual de coleta em papel + digitação em desktop.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</w:rPr>
        <w:t xml:space="preserve">Gerar o laudo de composição corporal em PDF a partir dos dados coletados, sem redigitação, em menos de 10 segundos.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</w:rPr>
        <w:t xml:space="preserve">Atingir adesão ≥ 60% das alunas registrando RPE em pelo menos um treino por semana após 60 dias de uso.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</w:rPr>
        <w:t xml:space="preserve">Zero incidentes de vazamento de dados entre tenants (meta absoluta, não percentual).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</w:rPr>
        <w:t xml:space="preserve">1.3 Dentro do escopo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</w:rPr>
        <w:t xml:space="preserve">Cadastro de profissionais (tenant) e de alunas vinculadas, com convite.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</w:rPr>
        <w:t xml:space="preserve">Avaliação física: anamnese (sinais vitais, componentes clínicos, questionário de dor), composição corporal por antropometria bi-compartimental (protocolo Guedes &amp; Guedes, dobras cutâneas, perímetros), e bateria de testes funcionais para 60+ (TUG, sentar-levantar, apoio unipodal, preensão, Tinetti, etc.).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</w:rPr>
        <w:t xml:space="preserve">Cálculo automático de %G, massa magra, massa gorda, IMC e índices clínicos (cintura/quadril, cintura/estatura, conicidade) com comparação a referências.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</w:rPr>
        <w:t xml:space="preserve">Prescrição de treino a partir de catálogo de exercícios por grupo muscular, com séries/repetições/carga, e análise de volume semanal por grupo com zona-alvo.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</w:rPr>
        <w:t xml:space="preserve">Geração de laudo em PDF.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</w:rPr>
        <w:t xml:space="preserve">Visão da aluna: leitura de avaliações, anamnese e treino; registro de RPE (Borg CR10); preenchimento do questionário de dor; acompanhamento do ciclo menstrual com conteúdo educativo e recomendações por fase; registro diário de sintomas.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</w:rPr>
        <w:t xml:space="preserve">Histórico e comparação entre avaliações.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</w:rPr>
        <w:t xml:space="preserve">1.4 Fora do escopo (explícito)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</w:rPr>
        <w:t xml:space="preserve">Pagamento entre aluna e profissional, agenda/marcação de consultas com cobrança, e gestão financeira do estúdio — fora do MVP (billing da assinatura do profissional é tratado à parte, ver 7.1).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</w:rPr>
        <w:t xml:space="preserve">Prontuário médico, prescrição de medicamentos ou qualquer ato privativo de profissão regulamentada de saúde além da educação física.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</w:rPr>
        <w:t xml:space="preserve">Rede social, chat em tempo real ou videochamada (a comunicação no MVP é assíncrona e simples).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</w:rPr>
        <w:t xml:space="preserve">Wearables/integração com smartwatch e contagem automática de repetições — desejável futuro, não MVP.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</w:rPr>
        <w:t xml:space="preserve">Versão web para a aluna (o produto da aluna é mobile-first; web pode existir para o profissional no futuro).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</w:rPr>
        <w:t xml:space="preserve">1.5 Premissas adotadas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O objetivo informado foi propositalmente enxuto e as perguntas de calibração não retornaram resposta. Para não inventar requisito em silêncio, as premissas abaixo foram adotadas e estão marcadas ao longo do documento onde mudam decisões:</w:t>
      </w:r>
    </w:p>
    <w:p>
      <w:pPr>
        <w:pBdr>
          <w:left w:val="single" w:color="9173B5" w:sz="18" w:space="8"/>
        </w:pBdr>
        <w:shd w:fill="EEE6F4" w:val="clear"/>
        <w:spacing w:after="120" w:before="80" w:line="270"/>
        <w:ind w:left="120" w:right="120"/>
      </w:pPr>
      <w:r>
        <w:rPr>
          <w:rFonts w:ascii="Arial" w:cs="Arial" w:eastAsia="Arial" w:hAnsi="Arial"/>
          <w:b/>
          <w:bCs/>
          <w:color w:val="5F477A"/>
          <w:sz w:val="18"/>
          <w:szCs w:val="18"/>
        </w:rPr>
        <w:t xml:space="preserve">PREMISSA  </w:t>
      </w:r>
      <w:r>
        <w:rPr>
          <w:rFonts w:ascii="Arial" w:cs="Arial" w:eastAsia="Arial" w:hAnsi="Arial"/>
          <w:color w:val="1F1C28"/>
          <w:sz w:val="21"/>
          <w:szCs w:val="21"/>
        </w:rPr>
        <w:t xml:space="preserve">Escala de porte médio: dezenas a centenas de profissionais e alguns milhares de alunas no horizonte de 1–2 anos. Não é escala de marketplace nacional. (Define multi-tenancy desde o dia 1, mas dispensa sharding.)</w:t>
      </w:r>
    </w:p>
    <w:p>
      <w:pPr>
        <w:pBdr>
          <w:left w:val="single" w:color="9173B5" w:sz="18" w:space="8"/>
        </w:pBdr>
        <w:shd w:fill="EEE6F4" w:val="clear"/>
        <w:spacing w:after="120" w:before="80" w:line="270"/>
        <w:ind w:left="120" w:right="120"/>
      </w:pPr>
      <w:r>
        <w:rPr>
          <w:rFonts w:ascii="Arial" w:cs="Arial" w:eastAsia="Arial" w:hAnsi="Arial"/>
          <w:b/>
          <w:bCs/>
          <w:color w:val="5F477A"/>
          <w:sz w:val="18"/>
          <w:szCs w:val="18"/>
        </w:rPr>
        <w:t xml:space="preserve">PREMISSA  </w:t>
      </w:r>
      <w:r>
        <w:rPr>
          <w:rFonts w:ascii="Arial" w:cs="Arial" w:eastAsia="Arial" w:hAnsi="Arial"/>
          <w:color w:val="1F1C28"/>
          <w:sz w:val="21"/>
          <w:szCs w:val="21"/>
        </w:rPr>
        <w:t xml:space="preserve">Modelo comercial B2B2C: o profissional assina o Lumyra e convida suas alunas; a aluna não paga diretamente. O login do design ("Plataforma profissional", CREF) confirma essa direção.</w:t>
      </w:r>
    </w:p>
    <w:p>
      <w:pPr>
        <w:pBdr>
          <w:left w:val="single" w:color="9173B5" w:sz="18" w:space="8"/>
        </w:pBdr>
        <w:shd w:fill="EEE6F4" w:val="clear"/>
        <w:spacing w:after="120" w:before="80" w:line="270"/>
        <w:ind w:left="120" w:right="120"/>
      </w:pPr>
      <w:r>
        <w:rPr>
          <w:rFonts w:ascii="Arial" w:cs="Arial" w:eastAsia="Arial" w:hAnsi="Arial"/>
          <w:b/>
          <w:bCs/>
          <w:color w:val="5F477A"/>
          <w:sz w:val="18"/>
          <w:szCs w:val="18"/>
        </w:rPr>
        <w:t xml:space="preserve">PREMISSA  </w:t>
      </w:r>
      <w:r>
        <w:rPr>
          <w:rFonts w:ascii="Arial" w:cs="Arial" w:eastAsia="Arial" w:hAnsi="Arial"/>
          <w:color w:val="1F1C28"/>
          <w:sz w:val="21"/>
          <w:szCs w:val="21"/>
        </w:rPr>
        <w:t xml:space="preserve">Plataforma: app mobile nativo via React Native/Expo (o projeto origem chamava-se metricfit-mobile), com backend próprio. Time pequeno (1–3 pessoas) e orçamento de startup.</w:t>
      </w:r>
    </w:p>
    <w:p>
      <w:pPr>
        <w:pBdr>
          <w:left w:val="single" w:color="9173B5" w:sz="18" w:space="8"/>
        </w:pBdr>
        <w:shd w:fill="EEE6F4" w:val="clear"/>
        <w:spacing w:after="120" w:before="80" w:line="270"/>
        <w:ind w:left="120" w:right="120"/>
      </w:pPr>
      <w:r>
        <w:rPr>
          <w:rFonts w:ascii="Arial" w:cs="Arial" w:eastAsia="Arial" w:hAnsi="Arial"/>
          <w:b/>
          <w:bCs/>
          <w:color w:val="5F477A"/>
          <w:sz w:val="18"/>
          <w:szCs w:val="18"/>
        </w:rPr>
        <w:t xml:space="preserve">PREMISSA  </w:t>
      </w:r>
      <w:r>
        <w:rPr>
          <w:rFonts w:ascii="Arial" w:cs="Arial" w:eastAsia="Arial" w:hAnsi="Arial"/>
          <w:color w:val="1F1C28"/>
          <w:sz w:val="21"/>
          <w:szCs w:val="21"/>
        </w:rPr>
        <w:t xml:space="preserve">Operação inicial no Brasil, em português, sujeita à LGPD. Sem requisito de GDPR/HIPAA no MVP.</w:t>
      </w:r>
    </w:p>
    <w:p>
      <w:pPr>
        <w:pBdr>
          <w:left w:val="single" w:color="9173B5" w:sz="18" w:space="8"/>
        </w:pBdr>
        <w:shd w:fill="EEE6F4" w:val="clear"/>
        <w:spacing w:after="120" w:before="80" w:line="270"/>
        <w:ind w:left="120" w:right="120"/>
      </w:pPr>
      <w:r>
        <w:rPr>
          <w:rFonts w:ascii="Arial" w:cs="Arial" w:eastAsia="Arial" w:hAnsi="Arial"/>
          <w:b/>
          <w:bCs/>
          <w:color w:val="5F477A"/>
          <w:sz w:val="18"/>
          <w:szCs w:val="18"/>
        </w:rPr>
        <w:t xml:space="preserve">PREMISSA  </w:t>
      </w:r>
      <w:r>
        <w:rPr>
          <w:rFonts w:ascii="Arial" w:cs="Arial" w:eastAsia="Arial" w:hAnsi="Arial"/>
          <w:color w:val="1F1C28"/>
          <w:sz w:val="21"/>
          <w:szCs w:val="21"/>
        </w:rPr>
        <w:t xml:space="preserve">Greenfield: construção do zero, aproveitando o design já existente como especificação de UI.</w:t>
      </w:r>
    </w:p>
    <w:r>
      <w:br w:type="page"/>
    </w:r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</w:rPr>
        <w:t xml:space="preserve">2. Atores e Casos de Uso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</w:rPr>
        <w:t xml:space="preserve">2.1 Atores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5760"/>
      </w:tblGrid>
      <w:tr>
        <w:trPr>
          <w:tblHeader/>
        </w:trPr>
        <w:tc>
          <w:tcPr>
            <w:tcW w:type="dxa" w:w="19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1F1C2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Ator</w:t>
            </w:r>
          </w:p>
        </w:tc>
        <w:tc>
          <w:tcPr>
            <w:tcW w:type="dxa" w:w="17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1F1C2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7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1F1C2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 e papel</w:t>
            </w:r>
          </w:p>
        </w:tc>
      </w:tr>
      <w:tr>
        <w:tc>
          <w:tcPr>
            <w:tcW w:type="dxa" w:w="19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Educador(a) físico</w:t>
            </w:r>
          </w:p>
        </w:tc>
        <w:tc>
          <w:tcPr>
            <w:tcW w:type="dxa" w:w="17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Humano (primário)</w:t>
            </w:r>
          </w:p>
        </w:tc>
        <w:tc>
          <w:tcPr>
            <w:tcW w:type="dxa" w:w="57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Profissional com CREF. Dono do tenant. Cria alunas, faz avaliações, prescreve treino, vê tudo da sua carteira. Quem paga.</w:t>
            </w:r>
          </w:p>
        </w:tc>
      </w:tr>
      <w:tr>
        <w:tc>
          <w:tcPr>
            <w:tcW w:type="dxa" w:w="19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Aluna</w:t>
            </w:r>
          </w:p>
        </w:tc>
        <w:tc>
          <w:tcPr>
            <w:tcW w:type="dxa" w:w="17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Humano (primário)</w:t>
            </w:r>
          </w:p>
        </w:tc>
        <w:tc>
          <w:tcPr>
            <w:tcW w:type="dxa" w:w="57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Mulher atendida por um profissional. Acesso somente-leitura ao histórico + interações próprias (RPE, dor, ciclo).</w:t>
            </w:r>
          </w:p>
        </w:tc>
      </w:tr>
      <w:tr>
        <w:tc>
          <w:tcPr>
            <w:tcW w:type="dxa" w:w="19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Sistema de push (APNs/FCM)</w:t>
            </w:r>
          </w:p>
        </w:tc>
        <w:tc>
          <w:tcPr>
            <w:tcW w:type="dxa" w:w="17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Externo</w:t>
            </w:r>
          </w:p>
        </w:tc>
        <w:tc>
          <w:tcPr>
            <w:tcW w:type="dxa" w:w="57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Entrega notificações (lembrete de treino, reavaliação pendente, registro de ciclo).</w:t>
            </w:r>
          </w:p>
        </w:tc>
      </w:tr>
      <w:tr>
        <w:tc>
          <w:tcPr>
            <w:tcW w:type="dxa" w:w="19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Provedor de e-mail</w:t>
            </w:r>
          </w:p>
        </w:tc>
        <w:tc>
          <w:tcPr>
            <w:tcW w:type="dxa" w:w="17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Externo</w:t>
            </w:r>
          </w:p>
        </w:tc>
        <w:tc>
          <w:tcPr>
            <w:tcW w:type="dxa" w:w="57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Envio de convites e recuperação de senha.</w:t>
            </w:r>
          </w:p>
        </w:tc>
      </w:tr>
      <w:tr>
        <w:tc>
          <w:tcPr>
            <w:tcW w:type="dxa" w:w="19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Gateway de pagamento</w:t>
            </w:r>
          </w:p>
        </w:tc>
        <w:tc>
          <w:tcPr>
            <w:tcW w:type="dxa" w:w="17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Externo</w:t>
            </w:r>
          </w:p>
        </w:tc>
        <w:tc>
          <w:tcPr>
            <w:tcW w:type="dxa" w:w="57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Cobrança da assinatura do profissional (fora do MVP funcional, ver 7.1).</w:t>
            </w:r>
          </w:p>
        </w:tc>
      </w:tr>
      <w:tr>
        <w:tc>
          <w:tcPr>
            <w:tcW w:type="dxa" w:w="19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Validador CREF/CONFEF</w:t>
            </w:r>
          </w:p>
        </w:tc>
        <w:tc>
          <w:tcPr>
            <w:tcW w:type="dxa" w:w="17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Externo (futuro)</w:t>
            </w:r>
          </w:p>
        </w:tc>
        <w:tc>
          <w:tcPr>
            <w:tcW w:type="dxa" w:w="57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Verificação de registro profissional — provavelmente manual no início.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</w:rPr>
        <w:t xml:space="preserve">2.2 Casos de uso principais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UC-01 </w:t>
      </w:r>
      <w:r>
        <w:rPr>
          <w:rFonts w:ascii="Arial" w:cs="Arial" w:eastAsia="Arial" w:hAnsi="Arial"/>
        </w:rPr>
        <w:t xml:space="preserve">Educadora → realiza avaliação completa de uma aluna → laudo gerado e salvo no histórico.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UC-02 </w:t>
      </w:r>
      <w:r>
        <w:rPr>
          <w:rFonts w:ascii="Arial" w:cs="Arial" w:eastAsia="Arial" w:hAnsi="Arial"/>
        </w:rPr>
        <w:t xml:space="preserve">Educadora → prescreve treino a partir do catálogo → sistema calcula volume semanal por grupo e sinaliza grupos fora da zona-alvo.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UC-03 </w:t>
      </w:r>
      <w:r>
        <w:rPr>
          <w:rFonts w:ascii="Arial" w:cs="Arial" w:eastAsia="Arial" w:hAnsi="Arial"/>
        </w:rPr>
        <w:t xml:space="preserve">Aluna → executa treino → registra RPE por série → educadora enxerga o esforço percebido na evolução.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UC-04 </w:t>
      </w:r>
      <w:r>
        <w:rPr>
          <w:rFonts w:ascii="Arial" w:cs="Arial" w:eastAsia="Arial" w:hAnsi="Arial"/>
        </w:rPr>
        <w:t xml:space="preserve">Aluna → abre a aba Ciclo → vê a fase atual, o que muda no corpo e as recomendações para treino/avaliação daquela fase → registra sintomas do dia.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UC-05 </w:t>
      </w:r>
      <w:r>
        <w:rPr>
          <w:rFonts w:ascii="Arial" w:cs="Arial" w:eastAsia="Arial" w:hAnsi="Arial"/>
        </w:rPr>
        <w:t xml:space="preserve">Aluna → preenche questionário de dor (mapa corporal + escala VAS) → dado vai para a anamnese e fica visível à educadora.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UC-06 </w:t>
      </w:r>
      <w:r>
        <w:rPr>
          <w:rFonts w:ascii="Arial" w:cs="Arial" w:eastAsia="Arial" w:hAnsi="Arial"/>
        </w:rPr>
        <w:t xml:space="preserve">Educadora → aplica bateria de testes funcionais em aluna 60+ → sistema calcula risco de queda composto.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UC-07 </w:t>
      </w:r>
      <w:r>
        <w:rPr>
          <w:rFonts w:ascii="Arial" w:cs="Arial" w:eastAsia="Arial" w:hAnsi="Arial"/>
        </w:rPr>
        <w:t xml:space="preserve">Profissional → convida aluna por e-mail/link → aluna cria acesso e dá consentimento LGPD.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</w:rPr>
        <w:t xml:space="preserve">2.3 Jornada crítica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 jornada que define o valor do produto vai da avaliação à execução do treino, com a fase do ciclo personalizando as recomendações ao longo do caminho:</w:t>
      </w:r>
    </w:p>
    <w:p>
      <w:pPr>
        <w:spacing w:after="40" w:before="80"/>
        <w:jc w:val="center"/>
      </w:pPr>
      <w:r>
        <w:drawing>
          <wp:inline distT="0" distB="0" distL="0" distR="0">
            <wp:extent cx="5943600" cy="1933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B5768"/>
          <w:sz w:val="17"/>
          <w:szCs w:val="17"/>
        </w:rPr>
        <w:t xml:space="preserve">Figura 1 — Jornada crítica: da avaliação à execução adaptada pela fase do ciclo.</w:t>
      </w:r>
    </w:p>
    <w:r>
      <w:br w:type="page"/>
    </w:r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</w:rPr>
        <w:t xml:space="preserve">3. Requisitos Funcionais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Agrupados por módulo. Prioridade MoSCoW: M=Must (MVP), S=Should, C=Could.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</w:rPr>
        <w:t xml:space="preserve">3.1 Identidade, tenant e acesso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460"/>
        <w:gridCol w:w="800"/>
      </w:tblGrid>
      <w:tr>
        <w:trPr>
          <w:tblHeader/>
        </w:trPr>
        <w:tc>
          <w:tcPr>
            <w:tcW w:type="dxa" w:w="11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1F1C2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4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1F1C2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8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1F1C2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Pri.</w:t>
            </w:r>
          </w:p>
        </w:tc>
      </w:tr>
      <w:tr>
        <w:tc>
          <w:tcPr>
            <w:tcW w:type="dxa" w:w="11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RF-01</w:t>
            </w:r>
          </w:p>
        </w:tc>
        <w:tc>
          <w:tcPr>
            <w:tcW w:type="dxa" w:w="74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O sistema deve permitir cadastro de profissional com nome, e-mail, senha e número de CREF.</w:t>
            </w:r>
          </w:p>
        </w:tc>
        <w:tc>
          <w:tcPr>
            <w:tcW w:type="dxa" w:w="8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F1C28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RF-02</w:t>
            </w:r>
          </w:p>
        </w:tc>
        <w:tc>
          <w:tcPr>
            <w:tcW w:type="dxa" w:w="74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O profissional deve poder convidar alunas por e-mail ou link, gerando um vínculo aluna↔profissional dentro do seu tenant.</w:t>
            </w:r>
          </w:p>
        </w:tc>
        <w:tc>
          <w:tcPr>
            <w:tcW w:type="dxa" w:w="8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F1C28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RF-03</w:t>
            </w:r>
          </w:p>
        </w:tc>
        <w:tc>
          <w:tcPr>
            <w:tcW w:type="dxa" w:w="74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A aluna deve criar acesso a partir do convite e registrar consentimento LGPD explícito antes de qualquer dado de saúde ser coletado.</w:t>
            </w:r>
          </w:p>
        </w:tc>
        <w:tc>
          <w:tcPr>
            <w:tcW w:type="dxa" w:w="8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F1C28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RF-04</w:t>
            </w:r>
          </w:p>
        </w:tc>
        <w:tc>
          <w:tcPr>
            <w:tcW w:type="dxa" w:w="74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O sistema deve impor que toda leitura/escrita de dados de uma aluna só seja possível pelo profissional dono do vínculo e pela própria aluna.</w:t>
            </w:r>
          </w:p>
        </w:tc>
        <w:tc>
          <w:tcPr>
            <w:tcW w:type="dxa" w:w="8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F1C28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RF-05</w:t>
            </w:r>
          </w:p>
        </w:tc>
        <w:tc>
          <w:tcPr>
            <w:tcW w:type="dxa" w:w="74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A aluna deve poder revogar consentimento e solicitar exportação/eliminação dos seus dados.</w:t>
            </w:r>
          </w:p>
        </w:tc>
        <w:tc>
          <w:tcPr>
            <w:tcW w:type="dxa" w:w="8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S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</w:rPr>
        <w:t xml:space="preserve">3.2 Avaliação física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460"/>
        <w:gridCol w:w="800"/>
      </w:tblGrid>
      <w:tr>
        <w:trPr>
          <w:tblHeader/>
        </w:trPr>
        <w:tc>
          <w:tcPr>
            <w:tcW w:type="dxa" w:w="11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1F1C2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4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1F1C2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8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1F1C2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Pri.</w:t>
            </w:r>
          </w:p>
        </w:tc>
      </w:tr>
      <w:tr>
        <w:tc>
          <w:tcPr>
            <w:tcW w:type="dxa" w:w="11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RF-10</w:t>
            </w:r>
          </w:p>
        </w:tc>
        <w:tc>
          <w:tcPr>
            <w:tcW w:type="dxa" w:w="74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Registrar anamnese: sinais vitais (estatura, massa, FC repouso, PA), IMC calculado, e componentes clínicos (lesões, patologias, medicamentos, alergias, queixas).</w:t>
            </w:r>
          </w:p>
        </w:tc>
        <w:tc>
          <w:tcPr>
            <w:tcW w:type="dxa" w:w="8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F1C28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RF-11</w:t>
            </w:r>
          </w:p>
        </w:tc>
        <w:tc>
          <w:tcPr>
            <w:tcW w:type="dxa" w:w="74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Registrar composição corporal por antropometria com protocolo Guedes &amp; Guedes: dobras cutâneas, perímetros e circunferências.</w:t>
            </w:r>
          </w:p>
        </w:tc>
        <w:tc>
          <w:tcPr>
            <w:tcW w:type="dxa" w:w="8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F1C28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RF-12</w:t>
            </w:r>
          </w:p>
        </w:tc>
        <w:tc>
          <w:tcPr>
            <w:tcW w:type="dxa" w:w="74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Calcular automaticamente densidade corporal, %G (fórmula de Siri), massa gorda, massa magra e índices (cintura/quadril, cintura/estatura, conicidade), com a referência por sexo e idade.</w:t>
            </w:r>
          </w:p>
        </w:tc>
        <w:tc>
          <w:tcPr>
            <w:tcW w:type="dxa" w:w="8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F1C28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RF-13</w:t>
            </w:r>
          </w:p>
        </w:tc>
        <w:tc>
          <w:tcPr>
            <w:tcW w:type="dxa" w:w="74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Classificar cada indicador como dentro/abaixo/acima da referência e exibir visualmente (gauge, faixas).</w:t>
            </w:r>
          </w:p>
        </w:tc>
        <w:tc>
          <w:tcPr>
            <w:tcW w:type="dxa" w:w="8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F1C28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RF-14</w:t>
            </w:r>
          </w:p>
        </w:tc>
        <w:tc>
          <w:tcPr>
            <w:tcW w:type="dxa" w:w="74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Registrar questionário de dor com mapa corporal (região), escala VAS 0–10, tipo e gatilho.</w:t>
            </w:r>
          </w:p>
        </w:tc>
        <w:tc>
          <w:tcPr>
            <w:tcW w:type="dxa" w:w="8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S</w:t>
            </w:r>
          </w:p>
        </w:tc>
      </w:tr>
      <w:tr>
        <w:tc>
          <w:tcPr>
            <w:tcW w:type="dxa" w:w="11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RF-15</w:t>
            </w:r>
          </w:p>
        </w:tc>
        <w:tc>
          <w:tcPr>
            <w:tcW w:type="dxa" w:w="74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Aplicar bateria de testes funcionais 60+ (TUG, sentar-levantar 30s, apoio unipodal, preensão, sentar-e-alcançar, Tinetti) e calcular risco de queda composto.</w:t>
            </w:r>
          </w:p>
        </w:tc>
        <w:tc>
          <w:tcPr>
            <w:tcW w:type="dxa" w:w="8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S</w:t>
            </w:r>
          </w:p>
        </w:tc>
      </w:tr>
      <w:tr>
        <w:tc>
          <w:tcPr>
            <w:tcW w:type="dxa" w:w="11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RF-16</w:t>
            </w:r>
          </w:p>
        </w:tc>
        <w:tc>
          <w:tcPr>
            <w:tcW w:type="dxa" w:w="74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Versionar avaliações e permitir comparar duas avaliações ao longo do tempo.</w:t>
            </w:r>
          </w:p>
        </w:tc>
        <w:tc>
          <w:tcPr>
            <w:tcW w:type="dxa" w:w="8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F1C28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RF-17</w:t>
            </w:r>
          </w:p>
        </w:tc>
        <w:tc>
          <w:tcPr>
            <w:tcW w:type="dxa" w:w="74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Gerar laudo da avaliação em PDF.</w:t>
            </w:r>
          </w:p>
        </w:tc>
        <w:tc>
          <w:tcPr>
            <w:tcW w:type="dxa" w:w="8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S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</w:rPr>
        <w:t xml:space="preserve">3.3 Prescrição e volume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460"/>
        <w:gridCol w:w="800"/>
      </w:tblGrid>
      <w:tr>
        <w:trPr>
          <w:tblHeader/>
        </w:trPr>
        <w:tc>
          <w:tcPr>
            <w:tcW w:type="dxa" w:w="11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1F1C2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4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1F1C2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8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1F1C2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Pri.</w:t>
            </w:r>
          </w:p>
        </w:tc>
      </w:tr>
      <w:tr>
        <w:tc>
          <w:tcPr>
            <w:tcW w:type="dxa" w:w="11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RF-20</w:t>
            </w:r>
          </w:p>
        </w:tc>
        <w:tc>
          <w:tcPr>
            <w:tcW w:type="dxa" w:w="74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Manter catálogo de exercícios organizado por grupo muscular (peitoral, costas, ombros/deltóides A/M/P, bíceps, tríceps, quadríceps, isquiotibiais, glúteos, panturrilhas, trapézio, abdômen).</w:t>
            </w:r>
          </w:p>
        </w:tc>
        <w:tc>
          <w:tcPr>
            <w:tcW w:type="dxa" w:w="8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F1C28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RF-21</w:t>
            </w:r>
          </w:p>
        </w:tc>
        <w:tc>
          <w:tcPr>
            <w:tcW w:type="dxa" w:w="74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Prescrever sessão de treino selecionando exercícios e definindo séries, repetições e carga.</w:t>
            </w:r>
          </w:p>
        </w:tc>
        <w:tc>
          <w:tcPr>
            <w:tcW w:type="dxa" w:w="8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F1C28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RF-22</w:t>
            </w:r>
          </w:p>
        </w:tc>
        <w:tc>
          <w:tcPr>
            <w:tcW w:type="dxa" w:w="74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Calcular volume semanal (séries efetivas) por grupo muscular, considerando 1 ou 2 sessões, e comparar com a zona-alvo do grupo.</w:t>
            </w:r>
          </w:p>
        </w:tc>
        <w:tc>
          <w:tcPr>
            <w:tcW w:type="dxa" w:w="8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F1C28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RF-23</w:t>
            </w:r>
          </w:p>
        </w:tc>
        <w:tc>
          <w:tcPr>
            <w:tcW w:type="dxa" w:w="74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Gerar recomendações automáticas quando um grupo está abaixo, dentro ou acima da faixa de volume.</w:t>
            </w:r>
          </w:p>
        </w:tc>
        <w:tc>
          <w:tcPr>
            <w:tcW w:type="dxa" w:w="8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S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</w:rPr>
        <w:t xml:space="preserve">3.4 Ciclo menstrual (diferencial)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1F1C2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12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1F1C2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312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1F1C2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Pri.</w:t>
            </w:r>
          </w:p>
        </w:tc>
      </w:tr>
      <w:tr>
        <w:tc>
          <w:tcPr>
            <w:tcW w:type="dxa" w:w="312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RF-30</w:t>
            </w:r>
          </w:p>
        </w:tc>
        <w:tc>
          <w:tcPr>
            <w:tcW w:type="dxa" w:w="312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Calcular a fase atual do ciclo (menstrual, folicular, ovulação, lútea) a partir da data da última menstruação e da duração média do ciclo informadas pela aluna.</w:t>
            </w:r>
          </w:p>
        </w:tc>
        <w:tc>
          <w:tcPr>
            <w:tcW w:type="dxa" w:w="312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F1C28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312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RF-31</w:t>
            </w:r>
          </w:p>
        </w:tc>
        <w:tc>
          <w:tcPr>
            <w:tcW w:type="dxa" w:w="312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Exibir visualmente o ciclo (roda de 28 dias) com a fase e o dia atuais destacados.</w:t>
            </w:r>
          </w:p>
        </w:tc>
        <w:tc>
          <w:tcPr>
            <w:tcW w:type="dxa" w:w="312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F1C28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312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RF-32</w:t>
            </w:r>
          </w:p>
        </w:tc>
        <w:tc>
          <w:tcPr>
            <w:tcW w:type="dxa" w:w="312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Apresentar conteúdo educativo por fase: o que acontece no corpo e como a fase influencia treino e avaliação, com disclaimer de que é orientação geral.</w:t>
            </w:r>
          </w:p>
        </w:tc>
        <w:tc>
          <w:tcPr>
            <w:tcW w:type="dxa" w:w="312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F1C28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312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RF-33</w:t>
            </w:r>
          </w:p>
        </w:tc>
        <w:tc>
          <w:tcPr>
            <w:tcW w:type="dxa" w:w="312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Permitir registro diário de sintomas (cólica, inchaço, energia, humor, etc.).</w:t>
            </w:r>
          </w:p>
        </w:tc>
        <w:tc>
          <w:tcPr>
            <w:tcW w:type="dxa" w:w="312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S</w:t>
            </w:r>
          </w:p>
        </w:tc>
      </w:tr>
      <w:tr>
        <w:tc>
          <w:tcPr>
            <w:tcW w:type="dxa" w:w="312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RF-34</w:t>
            </w:r>
          </w:p>
        </w:tc>
        <w:tc>
          <w:tcPr>
            <w:tcW w:type="dxa" w:w="312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Tornar a fase do ciclo visível ao profissional (com consentimento) para informar prescrição e janela de testes.</w:t>
            </w:r>
          </w:p>
        </w:tc>
        <w:tc>
          <w:tcPr>
            <w:tcW w:type="dxa" w:w="312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S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</w:rPr>
        <w:t xml:space="preserve">3.5 Execução do treino (aluna)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460"/>
        <w:gridCol w:w="800"/>
      </w:tblGrid>
      <w:tr>
        <w:trPr>
          <w:tblHeader/>
        </w:trPr>
        <w:tc>
          <w:tcPr>
            <w:tcW w:type="dxa" w:w="11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1F1C2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4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1F1C2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8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1F1C2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Pri.</w:t>
            </w:r>
          </w:p>
        </w:tc>
      </w:tr>
      <w:tr>
        <w:tc>
          <w:tcPr>
            <w:tcW w:type="dxa" w:w="11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RF-40</w:t>
            </w:r>
          </w:p>
        </w:tc>
        <w:tc>
          <w:tcPr>
            <w:tcW w:type="dxa" w:w="74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Exibir o treino prescrito do dia em modo execução, com séries marcáveis.</w:t>
            </w:r>
          </w:p>
        </w:tc>
        <w:tc>
          <w:tcPr>
            <w:tcW w:type="dxa" w:w="8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F1C28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RF-41</w:t>
            </w:r>
          </w:p>
        </w:tc>
        <w:tc>
          <w:tcPr>
            <w:tcW w:type="dxa" w:w="74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Registrar RPE (Borg CR10, 0–10) por série/exercício concluído.</w:t>
            </w:r>
          </w:p>
        </w:tc>
        <w:tc>
          <w:tcPr>
            <w:tcW w:type="dxa" w:w="8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F1C28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RF-42</w:t>
            </w:r>
          </w:p>
        </w:tc>
        <w:tc>
          <w:tcPr>
            <w:tcW w:type="dxa" w:w="74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Persistir a execução e torná-la visível ao profissional.</w:t>
            </w:r>
          </w:p>
        </w:tc>
        <w:tc>
          <w:tcPr>
            <w:tcW w:type="dxa" w:w="8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F1C28"/>
                <w:sz w:val="19"/>
                <w:szCs w:val="19"/>
              </w:rPr>
              <w:t xml:space="preserve">M</w:t>
            </w:r>
          </w:p>
        </w:tc>
      </w:tr>
    </w:tbl>
    <w:r>
      <w:br w:type="page"/>
    </w:r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</w:rPr>
        <w:t xml:space="preserve">4. Requisitos Não-Funcionais (NFRs)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Quantificados sempre que possível. Os números abaixo são metas de engenharia para o porte médio premissado; devem ser revalidados com teste de carga (ver seção 10).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</w:rPr>
        <w:t xml:space="preserve">4.1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800"/>
        <w:gridCol w:w="3460"/>
      </w:tblGrid>
      <w:tr>
        <w:trPr>
          <w:tblHeader/>
        </w:trPr>
        <w:tc>
          <w:tcPr>
            <w:tcW w:type="dxa" w:w="31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1F1C2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Operação</w:t>
            </w:r>
          </w:p>
        </w:tc>
        <w:tc>
          <w:tcPr>
            <w:tcW w:type="dxa" w:w="28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1F1C2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Meta de latência</w:t>
            </w:r>
          </w:p>
        </w:tc>
        <w:tc>
          <w:tcPr>
            <w:tcW w:type="dxa" w:w="34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1F1C2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31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Leitura de tela (home, lista, detalhe)</w:t>
            </w:r>
          </w:p>
        </w:tc>
        <w:tc>
          <w:tcPr>
            <w:tcW w:type="dxa" w:w="28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p95 &lt; 400 ms (servidor)</w:t>
            </w:r>
          </w:p>
        </w:tc>
        <w:tc>
          <w:tcPr>
            <w:tcW w:type="dxa" w:w="34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Percebido pela aluna/educadora ao navegar.</w:t>
            </w:r>
          </w:p>
        </w:tc>
      </w:tr>
      <w:tr>
        <w:tc>
          <w:tcPr>
            <w:tcW w:type="dxa" w:w="31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Cálculo de composição corporal</w:t>
            </w:r>
          </w:p>
        </w:tc>
        <w:tc>
          <w:tcPr>
            <w:tcW w:type="dxa" w:w="28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p95 &lt; 200 ms</w:t>
            </w:r>
          </w:p>
        </w:tc>
        <w:tc>
          <w:tcPr>
            <w:tcW w:type="dxa" w:w="34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Cálculo é CPU-leve; gargalo é I/O, não a fórmula.</w:t>
            </w:r>
          </w:p>
        </w:tc>
      </w:tr>
      <w:tr>
        <w:tc>
          <w:tcPr>
            <w:tcW w:type="dxa" w:w="31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Cálculo de volume semanal</w:t>
            </w:r>
          </w:p>
        </w:tc>
        <w:tc>
          <w:tcPr>
            <w:tcW w:type="dxa" w:w="28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p95 &lt; 300 ms</w:t>
            </w:r>
          </w:p>
        </w:tc>
        <w:tc>
          <w:tcPr>
            <w:tcW w:type="dxa" w:w="34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Agregação sobre dezenas de itens por aluna.</w:t>
            </w:r>
          </w:p>
        </w:tc>
      </w:tr>
      <w:tr>
        <w:tc>
          <w:tcPr>
            <w:tcW w:type="dxa" w:w="31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Geração de laudo PDF</w:t>
            </w:r>
          </w:p>
        </w:tc>
        <w:tc>
          <w:tcPr>
            <w:tcW w:type="dxa" w:w="28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p95 &lt; 8 s (assíncrono)</w:t>
            </w:r>
          </w:p>
        </w:tc>
        <w:tc>
          <w:tcPr>
            <w:tcW w:type="dxa" w:w="34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Processado em fila; aluna/educadora notificada ao concluir.</w:t>
            </w:r>
          </w:p>
        </w:tc>
      </w:tr>
      <w:tr>
        <w:tc>
          <w:tcPr>
            <w:tcW w:type="dxa" w:w="31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Throughput sustentado</w:t>
            </w:r>
          </w:p>
        </w:tc>
        <w:tc>
          <w:tcPr>
            <w:tcW w:type="dxa" w:w="28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≥ 200 req/s</w:t>
            </w:r>
          </w:p>
        </w:tc>
        <w:tc>
          <w:tcPr>
            <w:tcW w:type="dxa" w:w="34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Folgado para o porte; picos em horário comercial.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</w:rPr>
        <w:t xml:space="preserve">4.2 Escalabilidade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Carga atual/projetada: </w:t>
      </w:r>
      <w:r>
        <w:rPr>
          <w:rFonts w:ascii="Arial" w:cs="Arial" w:eastAsia="Arial" w:hAnsi="Arial"/>
        </w:rPr>
        <w:t xml:space="preserve">centenas de profissionais × dezenas de alunas cada ≈ baixas dezenas de milhares de alunas; pico de uso concentrado em horário comercial e início da noite (BRT).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Estratégia: </w:t>
      </w:r>
      <w:r>
        <w:rPr>
          <w:rFonts w:ascii="Arial" w:cs="Arial" w:eastAsia="Arial" w:hAnsi="Arial"/>
        </w:rPr>
        <w:t xml:space="preserve">API stateless escalada horizontalmente por réplicas atrás de load balancer; banco vertical primeiro, read replica quando a leitura dominar. Sem sharding no horizonte premissado.</w:t>
      </w:r>
    </w:p>
    <w:p>
      <w:pPr>
        <w:pBdr>
          <w:left w:val="single" w:color="9173B5" w:sz="18" w:space="8"/>
        </w:pBdr>
        <w:shd w:fill="EEE6F4" w:val="clear"/>
        <w:spacing w:after="120" w:before="80" w:line="270"/>
        <w:ind w:left="120" w:right="120"/>
      </w:pPr>
      <w:r>
        <w:rPr>
          <w:rFonts w:ascii="Arial" w:cs="Arial" w:eastAsia="Arial" w:hAnsi="Arial"/>
          <w:b/>
          <w:bCs/>
          <w:color w:val="5F477A"/>
          <w:sz w:val="18"/>
          <w:szCs w:val="18"/>
        </w:rPr>
        <w:t xml:space="preserve">PREMISSA  </w:t>
      </w:r>
      <w:r>
        <w:rPr>
          <w:rFonts w:ascii="Arial" w:cs="Arial" w:eastAsia="Arial" w:hAnsi="Arial"/>
          <w:color w:val="1F1C28"/>
          <w:sz w:val="21"/>
          <w:szCs w:val="21"/>
        </w:rPr>
        <w:t xml:space="preserve">Se a escala real for de marketplace nacional (centenas de milhares+), a estratégia muda: particionamento por tenant, possível separação do domínio de ciclo/execução em serviço próprio e CQRS para leitura. Validar a premissa de escala antes de investir nisso.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</w:rPr>
        <w:t xml:space="preserve">4.3 Disponibilidade, RTO e RPO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1F1C2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24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1F1C2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Meta</w:t>
            </w:r>
          </w:p>
        </w:tc>
        <w:tc>
          <w:tcPr>
            <w:tcW w:type="dxa" w:w="45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1F1C2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Racional</w:t>
            </w:r>
          </w:p>
        </w:tc>
      </w:tr>
      <w:tr>
        <w:tc>
          <w:tcPr>
            <w:tcW w:type="dxa" w:w="24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Disponibilidade</w:t>
            </w:r>
          </w:p>
        </w:tc>
        <w:tc>
          <w:tcPr>
            <w:tcW w:type="dxa" w:w="24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99,5% (MVP) → 99,9% (maduro)</w:t>
            </w:r>
          </w:p>
        </w:tc>
        <w:tc>
          <w:tcPr>
            <w:tcW w:type="dxa" w:w="45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99,5% ≈ 3,6h/mês. Não é serviço de emergência; tolera janela de manutenção.</w:t>
            </w:r>
          </w:p>
        </w:tc>
      </w:tr>
      <w:tr>
        <w:tc>
          <w:tcPr>
            <w:tcW w:type="dxa" w:w="24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RTO (recovery time)</w:t>
            </w:r>
          </w:p>
        </w:tc>
        <w:tc>
          <w:tcPr>
            <w:tcW w:type="dxa" w:w="24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&lt; 4 h</w:t>
            </w:r>
          </w:p>
        </w:tc>
        <w:tc>
          <w:tcPr>
            <w:tcW w:type="dxa" w:w="45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Tempo aceitável para restaurar após falha grave no início.</w:t>
            </w:r>
          </w:p>
        </w:tc>
      </w:tr>
      <w:tr>
        <w:tc>
          <w:tcPr>
            <w:tcW w:type="dxa" w:w="24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RPO (recovery point)</w:t>
            </w:r>
          </w:p>
        </w:tc>
        <w:tc>
          <w:tcPr>
            <w:tcW w:type="dxa" w:w="24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≤ 15 min</w:t>
            </w:r>
          </w:p>
        </w:tc>
        <w:tc>
          <w:tcPr>
            <w:tcW w:type="dxa" w:w="45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Perda máxima de dados tolerável; backups frequentes + WAL.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</w:rPr>
        <w:t xml:space="preserve">4.4 Segurança (resumo; detalhe na seção 9)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</w:rPr>
        <w:t xml:space="preserve">Autenticação por token (JWT de curta duração + refresh), senha com hash forte (Argon2/bcrypt).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</w:rPr>
        <w:t xml:space="preserve">Autorização sempre escopada por tenant e por vínculo aluna↔profissional.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</w:rPr>
        <w:t xml:space="preserve">Criptografia em trânsito (TLS 1.2+) e em repouso (banco e storage de PDFs/fotos).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</w:rPr>
        <w:t xml:space="preserve">Trilha de auditoria de acesso e alteração a dado de saúde.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</w:rPr>
        <w:t xml:space="preserve">4.5 Privacidade / Conformidade</w:t>
      </w:r>
    </w:p>
    <w:p>
      <w:pPr>
        <w:pBdr>
          <w:left w:val="single" w:color="5F477A" w:sz="18" w:space="8"/>
        </w:pBdr>
        <w:shd w:fill="EEE6F4" w:val="clear"/>
        <w:spacing w:after="120" w:before="80" w:line="270"/>
        <w:ind w:left="120" w:right="120"/>
      </w:pPr>
      <w:r>
        <w:rPr>
          <w:rFonts w:ascii="Arial" w:cs="Arial" w:eastAsia="Arial" w:hAnsi="Arial"/>
          <w:b/>
          <w:bCs/>
          <w:color w:val="5F477A"/>
          <w:sz w:val="18"/>
          <w:szCs w:val="18"/>
        </w:rPr>
        <w:t xml:space="preserve">CONFORMIDADE OBRIGATÓRIA  </w:t>
      </w:r>
      <w:r>
        <w:rPr>
          <w:rFonts w:ascii="Arial" w:cs="Arial" w:eastAsia="Arial" w:hAnsi="Arial"/>
          <w:color w:val="1F1C28"/>
          <w:sz w:val="21"/>
          <w:szCs w:val="21"/>
        </w:rPr>
        <w:t xml:space="preserve">Os dados tratados — ciclo menstrual, dor, anamnese, composição corporal — são dado pessoal sensível de saúde (LGPD, Art. 5º-II e Art. 11). O tratamento exige base legal explícita (consentimento do titular), finalidade específica, e direitos do titular operacionalizados (acesso, correção, eliminação, portabilidade). Isto não é um NFR opcional: é condição legal de operação.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</w:rPr>
        <w:t xml:space="preserve">4.6 Acessibilidade e i18n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</w:rPr>
        <w:t xml:space="preserve">Público inclui alunas 60+: alvos de toque ≥ 44pt, contraste AA, tipografia legível (o design usa Fraunces/Inter — validar contraste do sage em texto pequeno).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</w:rPr>
        <w:t xml:space="preserve">Português do Brasil no MVP; estrutura preparada para i18n mas sem segundo idioma agora.</w:t>
      </w:r>
    </w:p>
    <w:r>
      <w:br w:type="page"/>
    </w:r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</w:rPr>
        <w:t xml:space="preserve">5. Arquitetura Proposta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</w:rPr>
        <w:t xml:space="preserve">5.1 Visão geral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Recomenda-se um monólito modular: uma única aplicação de backend (API REST) organizada internamente em módulos de domínio bem isolados (identidade, avaliações, prescrição/volume, ciclo, execução/RPE, dor/testes), sobre um único PostgreSQL multi-tenant. Os apps (aluna e educadora) são clientes React Native/Expo do mesmo backend, diferindo por papel e permissões.</w:t>
      </w:r>
    </w:p>
    <w:p>
      <w:pPr>
        <w:spacing w:after="40" w:before="80"/>
        <w:jc w:val="center"/>
      </w:pPr>
      <w:r>
        <w:drawing>
          <wp:inline distT="0" distB="0" distL="0" distR="0">
            <wp:extent cx="5943600" cy="4133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B5768"/>
          <w:sz w:val="17"/>
          <w:szCs w:val="17"/>
        </w:rPr>
        <w:t xml:space="preserve">Figura 2 — Arquitetura de alto nível. Verde = domínio do educador; lilás = domínio com dado sensível da aluna; âmbar = dependência externa.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</w:rPr>
        <w:t xml:space="preserve">5.2 Decisões de arquitetura (ADRs resumidos)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</w:rPr>
        <w:t xml:space="preserve">ADR-1 — Estilo: Monólito modular vs. Microsserviços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Microsserviços — </w:t>
      </w:r>
      <w:r>
        <w:rPr>
          <w:rFonts w:ascii="Arial" w:cs="Arial" w:eastAsia="Arial" w:hAnsi="Arial"/>
        </w:rPr>
        <w:t xml:space="preserve">prós: escala e deploy independentes por domínio; contras: sobrecarga operacional enorme para um time pequeno, transações distribuídas, latência de rede entre serviços, e o domínio ainda é pequeno e coeso.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Monólito modular — </w:t>
      </w:r>
      <w:r>
        <w:rPr>
          <w:rFonts w:ascii="Arial" w:cs="Arial" w:eastAsia="Arial" w:hAnsi="Arial"/>
        </w:rPr>
        <w:t xml:space="preserve">prós: um deploy, transações ACID locais, simplicidade operacional, refatoração barata enquanto o domínio se estabiliza; contras: escala em bloco (mitigável com réplicas stateless) e disciplina necessária para manter os módulos isolados.</w:t>
      </w:r>
    </w:p>
    <w:p>
      <w:pPr>
        <w:spacing w:after="120" w:line="276"/>
      </w:pPr>
      <w:r>
        <w:rPr>
          <w:rFonts w:ascii="Arial" w:cs="Arial" w:eastAsia="Arial" w:hAnsi="Arial"/>
        </w:rPr>
        <w:t xml:space="default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</w:rPr>
        <w:t xml:space="preserve">ADR-2 — Persistência: SQL vs. NoSQL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NoSQL documental — </w:t>
      </w:r>
      <w:r>
        <w:rPr>
          <w:rFonts w:ascii="Arial" w:cs="Arial" w:eastAsia="Arial" w:hAnsi="Arial"/>
        </w:rPr>
        <w:t xml:space="preserve">prós: flexível para dados variáveis (sintomas, dobras); contras: os dados do Lumyra são fortemente relacionais (aluna→avaliação→composição; prescrição→itens→exercícios) e exigem integridade referencial e agregações — fraqueza do NoSQL.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PostgreSQL (relacional) — </w:t>
      </w:r>
      <w:r>
        <w:rPr>
          <w:rFonts w:ascii="Arial" w:cs="Arial" w:eastAsia="Arial" w:hAnsi="Arial"/>
        </w:rPr>
        <w:t xml:space="preserve">prós: integridade referencial, transações, Row-Level Security nativo (chave para multi-tenancy seguro), JSONB para os campos semiestruturados (dobras, sintomas, sessões); contras: modelagem mais rígida.</w:t>
      </w:r>
    </w:p>
    <w:p>
      <w:pPr>
        <w:spacing w:after="120" w:line="276"/>
      </w:pPr>
      <w:r>
        <w:rPr>
          <w:rFonts w:ascii="Arial" w:cs="Arial" w:eastAsia="Arial" w:hAnsi="Arial"/>
        </w:rPr>
        <w:t xml:space="default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</w:rPr>
        <w:t xml:space="preserve">ADR-3 — Comunicação: tudo síncrono vs. assíncrono onde fizer sentido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Tudo síncrono — </w:t>
      </w:r>
      <w:r>
        <w:rPr>
          <w:rFonts w:ascii="Arial" w:cs="Arial" w:eastAsia="Arial" w:hAnsi="Arial"/>
        </w:rPr>
        <w:t xml:space="preserve">simples, mas geração de PDF e envio de push/e-mail seguram a requisição e degradam a latência percebida.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Assíncrono seletivo — </w:t>
      </w:r>
      <w:r>
        <w:rPr>
          <w:rFonts w:ascii="Arial" w:cs="Arial" w:eastAsia="Arial" w:hAnsi="Arial"/>
        </w:rPr>
        <w:t xml:space="preserve">fila leve para tarefas que toleram atraso (laudo PDF, push, e-mail de convite); o resto síncrono.</w:t>
      </w:r>
    </w:p>
    <w:p>
      <w:pPr>
        <w:spacing w:after="120" w:line="276"/>
      </w:pPr>
      <w:r>
        <w:rPr>
          <w:rFonts w:ascii="Arial" w:cs="Arial" w:eastAsia="Arial" w:hAnsi="Arial"/>
        </w:rPr>
        <w:t xml:space="default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</w:rPr>
        <w:t xml:space="preserve">ADR-4 — Hospedagem: PaaS gerenciado vs. Kubernetes próprio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Kubernetes próprio — </w:t>
      </w:r>
      <w:r>
        <w:rPr>
          <w:rFonts w:ascii="Arial" w:cs="Arial" w:eastAsia="Arial" w:hAnsi="Arial"/>
        </w:rPr>
        <w:t xml:space="preserve">controle máximo, custo operacional alto e desnecessário no porte premissado.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PaaS gerenciado (Render/Railway/Fly/ECS+RDS) — </w:t>
      </w:r>
      <w:r>
        <w:rPr>
          <w:rFonts w:ascii="Arial" w:cs="Arial" w:eastAsia="Arial" w:hAnsi="Arial"/>
        </w:rPr>
        <w:t xml:space="preserve">banco gerenciado com backup automático, deploy simples, foco no produto.</w:t>
      </w:r>
    </w:p>
    <w:p>
      <w:pPr>
        <w:spacing w:after="120" w:line="276"/>
      </w:pPr>
      <w:r>
        <w:rPr>
          <w:rFonts w:ascii="Arial" w:cs="Arial" w:eastAsia="Arial" w:hAnsi="Arial"/>
        </w:rPr>
        <w:t xml:space="default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</w:rPr>
        <w:t xml:space="preserve">5.3 Stack tecnológica sugerida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900"/>
        <w:gridCol w:w="4760"/>
      </w:tblGrid>
      <w:tr>
        <w:trPr>
          <w:tblHeader/>
        </w:trPr>
        <w:tc>
          <w:tcPr>
            <w:tcW w:type="dxa" w:w="17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1F1C2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29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1F1C2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Escolha</w:t>
            </w:r>
          </w:p>
        </w:tc>
        <w:tc>
          <w:tcPr>
            <w:tcW w:type="dxa" w:w="47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1F1C2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Justificativa (1 linha)</w:t>
            </w:r>
          </w:p>
        </w:tc>
      </w:tr>
      <w:tr>
        <w:tc>
          <w:tcPr>
            <w:tcW w:type="dxa" w:w="17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App mobile</w:t>
            </w:r>
          </w:p>
        </w:tc>
        <w:tc>
          <w:tcPr>
            <w:tcW w:type="dxa" w:w="29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React Native + Expo</w:t>
            </w:r>
          </w:p>
        </w:tc>
        <w:tc>
          <w:tcPr>
            <w:tcW w:type="dxa" w:w="47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Origem do projeto; um código para iOS/Android; ecossistema maduro.</w:t>
            </w:r>
          </w:p>
        </w:tc>
      </w:tr>
      <w:tr>
        <w:tc>
          <w:tcPr>
            <w:tcW w:type="dxa" w:w="17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Backend/API</w:t>
            </w:r>
          </w:p>
        </w:tc>
        <w:tc>
          <w:tcPr>
            <w:tcW w:type="dxa" w:w="29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Node.js (NestJS) ou Python (FastAPI)</w:t>
            </w:r>
          </w:p>
        </w:tc>
        <w:tc>
          <w:tcPr>
            <w:tcW w:type="dxa" w:w="47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Tipagem e estrutura modular; time pequeno; bom suporte a OpenAPI.</w:t>
            </w:r>
          </w:p>
        </w:tc>
      </w:tr>
      <w:tr>
        <w:tc>
          <w:tcPr>
            <w:tcW w:type="dxa" w:w="17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Banco</w:t>
            </w:r>
          </w:p>
        </w:tc>
        <w:tc>
          <w:tcPr>
            <w:tcW w:type="dxa" w:w="29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PostgreSQL gerenciado</w:t>
            </w:r>
          </w:p>
        </w:tc>
        <w:tc>
          <w:tcPr>
            <w:tcW w:type="dxa" w:w="47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Relacional + RLS + JSONB; backup/PITR no provedor.</w:t>
            </w:r>
          </w:p>
        </w:tc>
      </w:tr>
      <w:tr>
        <w:tc>
          <w:tcPr>
            <w:tcW w:type="dxa" w:w="17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Cache/Fila</w:t>
            </w:r>
          </w:p>
        </w:tc>
        <w:tc>
          <w:tcPr>
            <w:tcW w:type="dxa" w:w="29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Redis</w:t>
            </w:r>
          </w:p>
        </w:tc>
        <w:tc>
          <w:tcPr>
            <w:tcW w:type="dxa" w:w="47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Sessão/cache e fila leve para jobs assíncronos.</w:t>
            </w:r>
          </w:p>
        </w:tc>
      </w:tr>
      <w:tr>
        <w:tc>
          <w:tcPr>
            <w:tcW w:type="dxa" w:w="17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Storage</w:t>
            </w:r>
          </w:p>
        </w:tc>
        <w:tc>
          <w:tcPr>
            <w:tcW w:type="dxa" w:w="29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Object storage (S3-compatível)</w:t>
            </w:r>
          </w:p>
        </w:tc>
        <w:tc>
          <w:tcPr>
            <w:tcW w:type="dxa" w:w="47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PDFs de laudo e fotos, criptografado, com URLs assinadas de curta duração.</w:t>
            </w:r>
          </w:p>
        </w:tc>
      </w:tr>
      <w:tr>
        <w:tc>
          <w:tcPr>
            <w:tcW w:type="dxa" w:w="17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Auth</w:t>
            </w:r>
          </w:p>
        </w:tc>
        <w:tc>
          <w:tcPr>
            <w:tcW w:type="dxa" w:w="29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JWT + refresh, ou provedor (Auth0/Clerk/Cognito)</w:t>
            </w:r>
          </w:p>
        </w:tc>
        <w:tc>
          <w:tcPr>
            <w:tcW w:type="dxa" w:w="47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Comprar identidade acelera e reduz superfície de erro de segurança.</w:t>
            </w:r>
          </w:p>
        </w:tc>
      </w:tr>
      <w:tr>
        <w:tc>
          <w:tcPr>
            <w:tcW w:type="dxa" w:w="17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Observabilidade</w:t>
            </w:r>
          </w:p>
        </w:tc>
        <w:tc>
          <w:tcPr>
            <w:tcW w:type="dxa" w:w="29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Logs estruturados + métricas + Sentry</w:t>
            </w:r>
          </w:p>
        </w:tc>
        <w:tc>
          <w:tcPr>
            <w:tcW w:type="dxa" w:w="47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Detectar erro de cálculo e falha antes da reclamação.</w:t>
            </w:r>
          </w:p>
        </w:tc>
      </w:tr>
    </w:tbl>
    <w:r>
      <w:br w:type="page"/>
    </w:r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</w:rPr>
        <w:t xml:space="preserve">6. Modelo de Dados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</w:rPr>
        <w:t xml:space="preserve">6.1 Entidades e relacionamentos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As entidades centrais derivam diretamente dos artefatos reais: o laudo PDF (anamnese + composição Guedes &amp; Guedes) e a planilha de volume (catálogo por grupo muscular + séries por sessão). O diagrama abaixo é simplificado para legibilidade; atributos completos viriam no schema.</w:t>
      </w:r>
    </w:p>
    <w:p>
      <w:pPr>
        <w:spacing w:after="40" w:before="80"/>
        <w:jc w:val="center"/>
      </w:pPr>
      <w:r>
        <w:drawing>
          <wp:inline distT="0" distB="0" distL="0" distR="0">
            <wp:extent cx="5943600" cy="411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B5768"/>
          <w:sz w:val="17"/>
          <w:szCs w:val="17"/>
        </w:rPr>
        <w:t xml:space="preserve">Figura 3 — Modelo de dados (ER simplificado). Cabeçalhos lilás/âmbar marcam entidades com dado de saúde sensível.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</w:rPr>
        <w:t xml:space="preserve">6.2 Decisões de modelagem críticas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Tenant como raiz de tudo. </w:t>
      </w:r>
      <w:r>
        <w:rPr>
          <w:rFonts w:ascii="Arial" w:cs="Arial" w:eastAsia="Arial" w:hAnsi="Arial"/>
        </w:rPr>
        <w:t xml:space="preserve">Toda tabela com dado de aluna carrega tenant_id e é protegida por Row-Level Security. É a defesa estrutural contra vazamento entre profissionais — preferível a confiar apenas na lógica de aplicação.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Avaliação como agregado versionado. </w:t>
      </w:r>
      <w:r>
        <w:rPr>
          <w:rFonts w:ascii="Arial" w:cs="Arial" w:eastAsia="Arial" w:hAnsi="Arial"/>
        </w:rPr>
        <w:t xml:space="preserve">Anamnese, composição, dor e testes funcionais penduram em Avaliacao; nunca se sobrescreve uma avaliação — cria-se outra. Isso viabiliza comparação histórica (RF-16) e protege o profissional juridicamente.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Campos semiestruturados em JSONB. </w:t>
      </w:r>
      <w:r>
        <w:rPr>
          <w:rFonts w:ascii="Arial" w:cs="Arial" w:eastAsia="Arial" w:hAnsi="Arial"/>
        </w:rPr>
        <w:t xml:space="preserve">Dobras cutâneas, perímetros, sintomas do dia e sessões de treino variam em forma; JSONB evita dezenas de colunas esparsas mantendo o resto relacional.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Catálogo de exercícios global, prescrição por tenant. </w:t>
      </w:r>
      <w:r>
        <w:rPr>
          <w:rFonts w:ascii="Arial" w:cs="Arial" w:eastAsia="Arial" w:hAnsi="Arial"/>
        </w:rPr>
        <w:t xml:space="preserve">O catálogo (≈ 76 exercícios da planilha) é compartilhado; a prescrição e seus itens são do tenant. Profissional pode adicionar exercícios próprios sem poluir o catálogo global.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Fase do ciclo é derivada, não armazenada como verdade. </w:t>
      </w:r>
      <w:r>
        <w:rPr>
          <w:rFonts w:ascii="Arial" w:cs="Arial" w:eastAsia="Arial" w:hAnsi="Arial"/>
        </w:rPr>
        <w:t xml:space="preserve">Guardar última menstruação + duração; calcular a fase na leitura. Evita dado obsoleto e facilita corrigir a regra de cálculo depois.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</w:rPr>
        <w:t xml:space="preserve">6.3 Volume e crescimento de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00"/>
        <w:gridCol w:w="3260"/>
      </w:tblGrid>
      <w:tr>
        <w:trPr>
          <w:tblHeader/>
        </w:trPr>
        <w:tc>
          <w:tcPr>
            <w:tcW w:type="dxa" w:w="22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1F1C2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Dado</w:t>
            </w:r>
          </w:p>
        </w:tc>
        <w:tc>
          <w:tcPr>
            <w:tcW w:type="dxa" w:w="39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1F1C2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Estimativa de volume</w:t>
            </w:r>
          </w:p>
        </w:tc>
        <w:tc>
          <w:tcPr>
            <w:tcW w:type="dxa" w:w="32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1F1C2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Crescimento</w:t>
            </w:r>
          </w:p>
        </w:tc>
      </w:tr>
      <w:tr>
        <w:tc>
          <w:tcPr>
            <w:tcW w:type="dxa" w:w="22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Alunas</w:t>
            </w:r>
          </w:p>
        </w:tc>
        <w:tc>
          <w:tcPr>
            <w:tcW w:type="dxa" w:w="39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~ dezenas de milhares (teto premissado)</w:t>
            </w:r>
          </w:p>
        </w:tc>
        <w:tc>
          <w:tcPr>
            <w:tcW w:type="dxa" w:w="32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Linear com vendas.</w:t>
            </w:r>
          </w:p>
        </w:tc>
      </w:tr>
      <w:tr>
        <w:tc>
          <w:tcPr>
            <w:tcW w:type="dxa" w:w="22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Avaliações</w:t>
            </w:r>
          </w:p>
        </w:tc>
        <w:tc>
          <w:tcPr>
            <w:tcW w:type="dxa" w:w="39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3–6 por aluna/ano</w:t>
            </w:r>
          </w:p>
        </w:tc>
        <w:tc>
          <w:tcPr>
            <w:tcW w:type="dxa" w:w="32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Baixo; registros ricos mas pouco frequentes.</w:t>
            </w:r>
          </w:p>
        </w:tc>
      </w:tr>
      <w:tr>
        <w:tc>
          <w:tcPr>
            <w:tcW w:type="dxa" w:w="22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Execuções de treino + RPE</w:t>
            </w:r>
          </w:p>
        </w:tc>
        <w:tc>
          <w:tcPr>
            <w:tcW w:type="dxa" w:w="39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dezenas/mês por aluna ativa</w:t>
            </w:r>
          </w:p>
        </w:tc>
        <w:tc>
          <w:tcPr>
            <w:tcW w:type="dxa" w:w="32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É o dado de maior cardinalidade — projetar índices por (aluna, data).</w:t>
            </w:r>
          </w:p>
        </w:tc>
      </w:tr>
      <w:tr>
        <w:tc>
          <w:tcPr>
            <w:tcW w:type="dxa" w:w="22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Registros de ciclo</w:t>
            </w:r>
          </w:p>
        </w:tc>
        <w:tc>
          <w:tcPr>
            <w:tcW w:type="dxa" w:w="39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até 1/dia por aluna</w:t>
            </w:r>
          </w:p>
        </w:tc>
        <w:tc>
          <w:tcPr>
            <w:tcW w:type="dxa" w:w="32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Cresce diariamente mas é pequeno por linha.</w:t>
            </w:r>
          </w:p>
        </w:tc>
      </w:tr>
      <w:tr>
        <w:tc>
          <w:tcPr>
            <w:tcW w:type="dxa" w:w="22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PDFs de laudo / fotos</w:t>
            </w:r>
          </w:p>
        </w:tc>
        <w:tc>
          <w:tcPr>
            <w:tcW w:type="dxa" w:w="39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1 por avaliação / opcional</w:t>
            </w:r>
          </w:p>
        </w:tc>
        <w:tc>
          <w:tcPr>
            <w:tcW w:type="dxa" w:w="32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Vai para object storage, não para o banco.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</w:rPr>
        <w:t xml:space="default"/>
      </w:r>
    </w:p>
    <w:r>
      <w:br w:type="page"/>
    </w:r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</w:rPr>
        <w:t xml:space="preserve">7. Integrações e Contratos de API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</w:rPr>
        <w:t xml:space="preserve">7.1 Integrações externas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1600"/>
        <w:gridCol w:w="3360"/>
      </w:tblGrid>
      <w:tr>
        <w:trPr>
          <w:tblHeader/>
        </w:trPr>
        <w:tc>
          <w:tcPr>
            <w:tcW w:type="dxa" w:w="21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1F1C2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Integração</w:t>
            </w:r>
          </w:p>
        </w:tc>
        <w:tc>
          <w:tcPr>
            <w:tcW w:type="dxa" w:w="23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1F1C2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Protocolo/Formato</w:t>
            </w:r>
          </w:p>
        </w:tc>
        <w:tc>
          <w:tcPr>
            <w:tcW w:type="dxa" w:w="16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1F1C2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Criticidade</w:t>
            </w:r>
          </w:p>
        </w:tc>
        <w:tc>
          <w:tcPr>
            <w:tcW w:type="dxa" w:w="33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1F1C2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Modo de falha</w:t>
            </w:r>
          </w:p>
        </w:tc>
      </w:tr>
      <w:tr>
        <w:tc>
          <w:tcPr>
            <w:tcW w:type="dxa" w:w="21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Push (APNs/FCM)</w:t>
            </w:r>
          </w:p>
        </w:tc>
        <w:tc>
          <w:tcPr>
            <w:tcW w:type="dxa" w:w="23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SDK/HTTPS</w:t>
            </w:r>
          </w:p>
        </w:tc>
        <w:tc>
          <w:tcPr>
            <w:tcW w:type="dxa" w:w="16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Baixa</w:t>
            </w:r>
          </w:p>
        </w:tc>
        <w:tc>
          <w:tcPr>
            <w:tcW w:type="dxa" w:w="33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Degradar: enfileirar e reenviar; app funciona sem push.</w:t>
            </w:r>
          </w:p>
        </w:tc>
      </w:tr>
      <w:tr>
        <w:tc>
          <w:tcPr>
            <w:tcW w:type="dxa" w:w="21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E-mail (convites/reset)</w:t>
            </w:r>
          </w:p>
        </w:tc>
        <w:tc>
          <w:tcPr>
            <w:tcW w:type="dxa" w:w="23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SMTP/API (SES/SendGrid)</w:t>
            </w:r>
          </w:p>
        </w:tc>
        <w:tc>
          <w:tcPr>
            <w:tcW w:type="dxa" w:w="16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Média</w:t>
            </w:r>
          </w:p>
        </w:tc>
        <w:tc>
          <w:tcPr>
            <w:tcW w:type="dxa" w:w="33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Retry com backoff; convite reaproveitável por link.</w:t>
            </w:r>
          </w:p>
        </w:tc>
      </w:tr>
      <w:tr>
        <w:tc>
          <w:tcPr>
            <w:tcW w:type="dxa" w:w="21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Object storage (PDF/fotos)</w:t>
            </w:r>
          </w:p>
        </w:tc>
        <w:tc>
          <w:tcPr>
            <w:tcW w:type="dxa" w:w="23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S3 API/HTTPS</w:t>
            </w:r>
          </w:p>
        </w:tc>
        <w:tc>
          <w:tcPr>
            <w:tcW w:type="dxa" w:w="16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Média</w:t>
            </w:r>
          </w:p>
        </w:tc>
        <w:tc>
          <w:tcPr>
            <w:tcW w:type="dxa" w:w="33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Falha bloqueia laudo, não a avaliação; retry + URL assinada.</w:t>
            </w:r>
          </w:p>
        </w:tc>
      </w:tr>
      <w:tr>
        <w:tc>
          <w:tcPr>
            <w:tcW w:type="dxa" w:w="21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Gateway de pagamento</w:t>
            </w:r>
          </w:p>
        </w:tc>
        <w:tc>
          <w:tcPr>
            <w:tcW w:type="dxa" w:w="23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API/webhook</w:t>
            </w:r>
          </w:p>
        </w:tc>
        <w:tc>
          <w:tcPr>
            <w:tcW w:type="dxa" w:w="16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Média (não-MVP)</w:t>
            </w:r>
          </w:p>
        </w:tc>
        <w:tc>
          <w:tcPr>
            <w:tcW w:type="dxa" w:w="33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Isolar em módulo de billing; falha não afeta dado clínico.</w:t>
            </w:r>
          </w:p>
        </w:tc>
      </w:tr>
      <w:tr>
        <w:tc>
          <w:tcPr>
            <w:tcW w:type="dxa" w:w="21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CREF/CONFEF</w:t>
            </w:r>
          </w:p>
        </w:tc>
        <w:tc>
          <w:tcPr>
            <w:tcW w:type="dxa" w:w="23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Manual/futuro</w:t>
            </w:r>
          </w:p>
        </w:tc>
        <w:tc>
          <w:tcPr>
            <w:tcW w:type="dxa" w:w="16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Baixa</w:t>
            </w:r>
          </w:p>
        </w:tc>
        <w:tc>
          <w:tcPr>
            <w:tcW w:type="dxa" w:w="33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Verificação manual no onboarding inicial.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</w:rPr>
        <w:t xml:space="preserve">7.2 API exposta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Estilo: </w:t>
      </w:r>
      <w:r>
        <w:rPr>
          <w:rFonts w:ascii="Arial" w:cs="Arial" w:eastAsia="Arial" w:hAnsi="Arial"/>
        </w:rPr>
        <w:t xml:space="preserve">REST sobre HTTPS, JSON, documentada em OpenAPI. GraphQL seria over-engineering para o porte e os clientes conhecidos.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Versionamento: </w:t>
      </w:r>
      <w:r>
        <w:rPr>
          <w:rFonts w:ascii="Arial" w:cs="Arial" w:eastAsia="Arial" w:hAnsi="Arial"/>
        </w:rPr>
        <w:t xml:space="preserve">prefixo /v1; mudanças incompatíveis sobem versão. App mobile tem ciclo de atualização lento — a API precisa suportar versões antigas por um tempo.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Autenticação: </w:t>
      </w:r>
      <w:r>
        <w:rPr>
          <w:rFonts w:ascii="Arial" w:cs="Arial" w:eastAsia="Arial" w:hAnsi="Arial"/>
        </w:rPr>
        <w:t xml:space="preserve">Bearer JWT; refresh token rotativo; todo endpoint valida tenant e vínculo.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Rate limiting: </w:t>
      </w:r>
      <w:r>
        <w:rPr>
          <w:rFonts w:ascii="Arial" w:cs="Arial" w:eastAsia="Arial" w:hAnsi="Arial"/>
        </w:rPr>
        <w:t xml:space="preserve">por usuário/IP no gateway, para conter abuso e brute-force de login.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Recursos principais (ilustrativo): /v1/alunas, /v1/alunas/{id}/avaliacoes, /v1/avaliacoes/{id}/composicao, /v1/alunas/{id}/prescricoes, /v1/prescricoes/{id}/volume, /v1/alunas/{id}/ciclo, /v1/execucoes, /v1/convites.</w:t>
      </w:r>
    </w:p>
    <w:p>
      <w:pPr>
        <w:pBdr>
          <w:left w:val="single" w:color="C6924A" w:sz="18" w:space="8"/>
        </w:pBdr>
        <w:shd w:fill="FBF4EA" w:val="clear"/>
        <w:spacing w:after="120" w:before="80" w:line="270"/>
        <w:ind w:left="120" w:right="120"/>
      </w:pPr>
      <w:r>
        <w:rPr>
          <w:rFonts w:ascii="Arial" w:cs="Arial" w:eastAsia="Arial" w:hAnsi="Arial"/>
          <w:b/>
          <w:bCs/>
          <w:color w:val="C6924A"/>
          <w:sz w:val="18"/>
          <w:szCs w:val="18"/>
        </w:rPr>
        <w:t xml:space="preserve">PONTO DE ATENÇÃO  </w:t>
      </w:r>
      <w:r>
        <w:rPr>
          <w:rFonts w:ascii="Arial" w:cs="Arial" w:eastAsia="Arial" w:hAnsi="Arial"/>
          <w:color w:val="1F1C28"/>
          <w:sz w:val="21"/>
          <w:szCs w:val="21"/>
        </w:rPr>
        <w:t xml:space="preserve">Modo de falha mais perigoso de integração: a geração de laudo (storage + fila) falhar silenciosamente e a educadora achar que o laudo existe. Mitigar com estado explícito do laudo (pendente/gerado/falhou) e reprocessamento idempotente.</w:t>
      </w:r>
    </w:p>
    <w:r>
      <w:br w:type="page"/>
    </w:r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</w:rPr>
        <w:t xml:space="preserve">8. Riscos e Pontos de Falha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</w:rPr>
        <w:t xml:space="preserve">8.1 Matriz de riscos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1000"/>
        <w:gridCol w:w="4860"/>
      </w:tblGrid>
      <w:tr>
        <w:trPr>
          <w:tblHeader/>
        </w:trPr>
        <w:tc>
          <w:tcPr>
            <w:tcW w:type="dxa" w:w="26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1F1C2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Risco</w:t>
            </w:r>
          </w:p>
        </w:tc>
        <w:tc>
          <w:tcPr>
            <w:tcW w:type="dxa" w:w="9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1F1C2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Prob.</w:t>
            </w:r>
          </w:p>
        </w:tc>
        <w:tc>
          <w:tcPr>
            <w:tcW w:type="dxa" w:w="10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1F1C2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48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1F1C2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Mitigação</w:t>
            </w:r>
          </w:p>
        </w:tc>
      </w:tr>
      <w:tr>
        <w:tc>
          <w:tcPr>
            <w:tcW w:type="dxa" w:w="26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F1C28"/>
                <w:sz w:val="19"/>
                <w:szCs w:val="19"/>
              </w:rPr>
              <w:t xml:space="preserve">Vazamento de dados entre tenants</w:t>
            </w:r>
          </w:p>
        </w:tc>
        <w:tc>
          <w:tcPr>
            <w:tcW w:type="dxa" w:w="9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Média</w:t>
            </w:r>
          </w:p>
        </w:tc>
        <w:tc>
          <w:tcPr>
            <w:tcW w:type="dxa" w:w="10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Crítico</w:t>
            </w:r>
          </w:p>
        </w:tc>
        <w:tc>
          <w:tcPr>
            <w:tcW w:type="dxa" w:w="48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RLS no banco + testes automatizados de isolamento + revisão de toda query por tenant.</w:t>
            </w:r>
          </w:p>
        </w:tc>
      </w:tr>
      <w:tr>
        <w:tc>
          <w:tcPr>
            <w:tcW w:type="dxa" w:w="26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F1C28"/>
                <w:sz w:val="19"/>
                <w:szCs w:val="19"/>
              </w:rPr>
              <w:t xml:space="preserve">Erro silencioso no cálculo clínico (%G, massa magra)</w:t>
            </w:r>
          </w:p>
        </w:tc>
        <w:tc>
          <w:tcPr>
            <w:tcW w:type="dxa" w:w="9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Média</w:t>
            </w:r>
          </w:p>
        </w:tc>
        <w:tc>
          <w:tcPr>
            <w:tcW w:type="dxa" w:w="10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Crítico</w:t>
            </w:r>
          </w:p>
        </w:tc>
        <w:tc>
          <w:tcPr>
            <w:tcW w:type="dxa" w:w="48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Suíte de testes com casos do laudo real (Pirigo: %G 6,59; MM 84,06); revisão por profissional; mostrar fórmula/protocolo usado.</w:t>
            </w:r>
          </w:p>
        </w:tc>
      </w:tr>
      <w:tr>
        <w:tc>
          <w:tcPr>
            <w:tcW w:type="dxa" w:w="26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Vazamento/uso indevido de dado de ciclo menstrual</w:t>
            </w:r>
          </w:p>
        </w:tc>
        <w:tc>
          <w:tcPr>
            <w:tcW w:type="dxa" w:w="9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Média</w:t>
            </w:r>
          </w:p>
        </w:tc>
        <w:tc>
          <w:tcPr>
            <w:tcW w:type="dxa" w:w="10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Crítico</w:t>
            </w:r>
          </w:p>
        </w:tc>
        <w:tc>
          <w:tcPr>
            <w:tcW w:type="dxa" w:w="48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Consentimento granular; criptografia; minimizar exposição ao profissional ao estritamente consentido.</w:t>
            </w:r>
          </w:p>
        </w:tc>
      </w:tr>
      <w:tr>
        <w:tc>
          <w:tcPr>
            <w:tcW w:type="dxa" w:w="26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Banco único como SPOF</w:t>
            </w:r>
          </w:p>
        </w:tc>
        <w:tc>
          <w:tcPr>
            <w:tcW w:type="dxa" w:w="9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Média</w:t>
            </w:r>
          </w:p>
        </w:tc>
        <w:tc>
          <w:tcPr>
            <w:tcW w:type="dxa" w:w="10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Alto</w:t>
            </w:r>
          </w:p>
        </w:tc>
        <w:tc>
          <w:tcPr>
            <w:tcW w:type="dxa" w:w="48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Postgres gerenciado com replicação + PITR; RTO/RPO definidos; testar restore.</w:t>
            </w:r>
          </w:p>
        </w:tc>
      </w:tr>
      <w:tr>
        <w:tc>
          <w:tcPr>
            <w:tcW w:type="dxa" w:w="26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Conteúdo de ciclo sem respaldo científico</w:t>
            </w:r>
          </w:p>
        </w:tc>
        <w:tc>
          <w:tcPr>
            <w:tcW w:type="dxa" w:w="9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Alto</w:t>
            </w:r>
          </w:p>
        </w:tc>
        <w:tc>
          <w:tcPr>
            <w:tcW w:type="dxa" w:w="48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Revisão por profissional de saúde; linguagem de orientação geral + disclaimer; evitar afirmações deterministas.</w:t>
            </w:r>
          </w:p>
        </w:tc>
      </w:tr>
      <w:tr>
        <w:tc>
          <w:tcPr>
            <w:tcW w:type="dxa" w:w="26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Recomendação de treino/volume interpretada como prescrição médica</w:t>
            </w:r>
          </w:p>
        </w:tc>
        <w:tc>
          <w:tcPr>
            <w:tcW w:type="dxa" w:w="9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Média</w:t>
            </w:r>
          </w:p>
        </w:tc>
        <w:tc>
          <w:tcPr>
            <w:tcW w:type="dxa" w:w="10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Alto</w:t>
            </w:r>
          </w:p>
        </w:tc>
        <w:tc>
          <w:tcPr>
            <w:tcW w:type="dxa" w:w="48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Deixar claro o papel do profissional CREF; termos de uso; não automatizar conduta sem o profissional.</w:t>
            </w:r>
          </w:p>
        </w:tc>
      </w:tr>
      <w:tr>
        <w:tc>
          <w:tcPr>
            <w:tcW w:type="dxa" w:w="26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Adoção da aluna baixa (RPE/ciclo)</w:t>
            </w:r>
          </w:p>
        </w:tc>
        <w:tc>
          <w:tcPr>
            <w:tcW w:type="dxa" w:w="9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Médio</w:t>
            </w:r>
          </w:p>
        </w:tc>
        <w:tc>
          <w:tcPr>
            <w:tcW w:type="dxa" w:w="48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UX simples (já no design), lembretes via push, valor claro na primeira sessão.</w:t>
            </w:r>
          </w:p>
        </w:tc>
      </w:tr>
      <w:tr>
        <w:tc>
          <w:tcPr>
            <w:tcW w:type="dxa" w:w="26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Conhecimento concentrado em 1 dev</w:t>
            </w:r>
          </w:p>
        </w:tc>
        <w:tc>
          <w:tcPr>
            <w:tcW w:type="dxa" w:w="9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Alto</w:t>
            </w:r>
          </w:p>
        </w:tc>
        <w:tc>
          <w:tcPr>
            <w:tcW w:type="dxa" w:w="48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Documentação, testes, ADRs; evitar partes mágicas não documentadas.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</w:rPr>
        <w:t xml:space="preserve">8.2 Unknowns perigosos (precisam de validação antes de comprometer a arquitetura)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Fórmulas exatas e referências. </w:t>
      </w:r>
      <w:r>
        <w:rPr>
          <w:rFonts w:ascii="Arial" w:cs="Arial" w:eastAsia="Arial" w:hAnsi="Arial"/>
        </w:rPr>
        <w:t xml:space="preserve">O protocolo Guedes &amp; Guedes, a equação de densidade e as faixas de referência por sexo/idade precisam ser confirmados com fonte autoritativa e validados contra laudos reais — POC de cálculo antes de tudo.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Validade clínica do ciclo→treino. </w:t>
      </w:r>
      <w:r>
        <w:rPr>
          <w:rFonts w:ascii="Arial" w:cs="Arial" w:eastAsia="Arial" w:hAnsi="Arial"/>
        </w:rPr>
        <w:t xml:space="preserve">A força da evidência que liga fase do ciclo a desempenho é heterogênea. Precisa de revisão por especialista para calibrar o tom das recomendações (spike de conteúdo, não de código).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Volume "séries efetivas" e zonas-alvo. </w:t>
      </w:r>
      <w:r>
        <w:rPr>
          <w:rFonts w:ascii="Arial" w:cs="Arial" w:eastAsia="Arial" w:hAnsi="Arial"/>
        </w:rPr>
        <w:t xml:space="preserve">A planilha usa zonas (ex.: peitoral 10–16). A origem e a personalização dessas faixas por objetivo/nível precisam ser definidas com o profissional.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Regra de cálculo de fase com ciclos irregulares. </w:t>
      </w:r>
      <w:r>
        <w:rPr>
          <w:rFonts w:ascii="Arial" w:cs="Arial" w:eastAsia="Arial" w:hAnsi="Arial"/>
        </w:rPr>
        <w:t xml:space="preserve">O modelo de 28 dias quebra para ciclos irregulares, uso de anticoncepcional ou amenorreia. Precisa de regra de fallback e aviso à usuária.</w:t>
      </w:r>
    </w:p>
    <w:r>
      <w:br w:type="page"/>
    </w:r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</w:rPr>
        <w:t xml:space="preserve">9. Segurança e Privacidade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</w:rPr>
        <w:t xml:space="preserve">9.1 Superfície de ataque e principais ameaças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Autenticação (login): </w:t>
      </w:r>
      <w:r>
        <w:rPr>
          <w:rFonts w:ascii="Arial" w:cs="Arial" w:eastAsia="Arial" w:hAnsi="Arial"/>
        </w:rPr>
        <w:t xml:space="preserve">brute-force e credential stuffing → rate limit, bloqueio progressivo, hash forte, MFA opcional para o profissional.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Autorização (IDOR): </w:t>
      </w:r>
      <w:r>
        <w:rPr>
          <w:rFonts w:ascii="Arial" w:cs="Arial" w:eastAsia="Arial" w:hAnsi="Arial"/>
        </w:rPr>
        <w:t xml:space="preserve">acessar /alunas/{id} de outra pessoa → checagem de tenant+vínculo em todo endpoint, reforçada por RLS.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API exposta: </w:t>
      </w:r>
      <w:r>
        <w:rPr>
          <w:rFonts w:ascii="Arial" w:cs="Arial" w:eastAsia="Arial" w:hAnsi="Arial"/>
        </w:rPr>
        <w:t xml:space="preserve">injeção, payloads maliciosos → validação de entrada, ORM parametrizado, OWASP Top 10 no checklist de revisão.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Storage de PDFs/fotos: </w:t>
      </w:r>
      <w:r>
        <w:rPr>
          <w:rFonts w:ascii="Arial" w:cs="Arial" w:eastAsia="Arial" w:hAnsi="Arial"/>
        </w:rPr>
        <w:t xml:space="preserve">URL pública adivinhável → apenas URLs assinadas de curta duração; bucket privado.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</w:rPr>
        <w:t xml:space="preserve">9.2 AuthN / AuthZ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</w:rPr>
        <w:t xml:space="preserve">AuthN: JWT curto + refresh rotativo; senha com Argon2; sessão revogável.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</w:rPr>
        <w:t xml:space="preserve">AuthZ: modelo de papéis (profissional, aluna) + escopo obrigatório por tenant e por vínculo; RLS no banco como segunda barreira (defense-in-depth).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</w:rPr>
        <w:t xml:space="preserve">9.3 Dados sensíveis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4160"/>
      </w:tblGrid>
      <w:tr>
        <w:trPr>
          <w:tblHeader/>
        </w:trPr>
        <w:tc>
          <w:tcPr>
            <w:tcW w:type="dxa" w:w="19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1F1C2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Classe</w:t>
            </w:r>
          </w:p>
        </w:tc>
        <w:tc>
          <w:tcPr>
            <w:tcW w:type="dxa" w:w="33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1F1C2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Exemplos</w:t>
            </w:r>
          </w:p>
        </w:tc>
        <w:tc>
          <w:tcPr>
            <w:tcW w:type="dxa" w:w="41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1F1C2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Tratamento</w:t>
            </w:r>
          </w:p>
        </w:tc>
      </w:tr>
      <w:tr>
        <w:tc>
          <w:tcPr>
            <w:tcW w:type="dxa" w:w="19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EEE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F1C28"/>
                <w:sz w:val="19"/>
                <w:szCs w:val="19"/>
              </w:rPr>
              <w:t xml:space="preserve">Sensível (saúde)</w:t>
            </w:r>
          </w:p>
        </w:tc>
        <w:tc>
          <w:tcPr>
            <w:tcW w:type="dxa" w:w="33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Ciclo, dor, anamnese, composição, testes</w:t>
            </w:r>
          </w:p>
        </w:tc>
        <w:tc>
          <w:tcPr>
            <w:tcW w:type="dxa" w:w="41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Consentimento explícito; cripto em repouso; acesso mínimo; auditoria; retenção definida.</w:t>
            </w:r>
          </w:p>
        </w:tc>
      </w:tr>
      <w:tr>
        <w:tc>
          <w:tcPr>
            <w:tcW w:type="dxa" w:w="19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Pessoal</w:t>
            </w:r>
          </w:p>
        </w:tc>
        <w:tc>
          <w:tcPr>
            <w:tcW w:type="dxa" w:w="33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Nome, e-mail, data de nascimento</w:t>
            </w:r>
          </w:p>
        </w:tc>
        <w:tc>
          <w:tcPr>
            <w:tcW w:type="dxa" w:w="41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Cripto em trânsito/repouso; acesso por vínculo.</w:t>
            </w:r>
          </w:p>
        </w:tc>
      </w:tr>
      <w:tr>
        <w:tc>
          <w:tcPr>
            <w:tcW w:type="dxa" w:w="19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Operacional</w:t>
            </w:r>
          </w:p>
        </w:tc>
        <w:tc>
          <w:tcPr>
            <w:tcW w:type="dxa" w:w="33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Logs, métricas</w:t>
            </w:r>
          </w:p>
        </w:tc>
        <w:tc>
          <w:tcPr>
            <w:tcW w:type="dxa" w:w="41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Sem dado sensível em log; pseudonimizar IDs quando possível.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</w:rPr>
        <w:t xml:space="preserve">9.4 LGPD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Base legal: </w:t>
      </w:r>
      <w:r>
        <w:rPr>
          <w:rFonts w:ascii="Arial" w:cs="Arial" w:eastAsia="Arial" w:hAnsi="Arial"/>
        </w:rPr>
        <w:t xml:space="preserve">consentimento do titular (Art. 11, I) para dado de saúde, coletado antes da primeira coleta e registrado com data/versão do termo.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Direitos do titular: </w:t>
      </w:r>
      <w:r>
        <w:rPr>
          <w:rFonts w:ascii="Arial" w:cs="Arial" w:eastAsia="Arial" w:hAnsi="Arial"/>
        </w:rPr>
        <w:t xml:space="preserve">acesso, correção, eliminação e portabilidade (exportação) operacionalizados no app (RF-05).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Minimização e finalidade: </w:t>
      </w:r>
      <w:r>
        <w:rPr>
          <w:rFonts w:ascii="Arial" w:cs="Arial" w:eastAsia="Arial" w:hAnsi="Arial"/>
        </w:rPr>
        <w:t xml:space="preserve">coletar só o necessário para avaliação/treino; não reusar dado de ciclo para outro fim sem novo consentimento.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Encarregado (DPO) e incidentes: </w:t>
      </w:r>
      <w:r>
        <w:rPr>
          <w:rFonts w:ascii="Arial" w:cs="Arial" w:eastAsia="Arial" w:hAnsi="Arial"/>
        </w:rPr>
        <w:t xml:space="preserve">definir responsável e plano de resposta/comunicação de incidente à ANPD.</w:t>
      </w:r>
    </w:p>
    <w:p>
      <w:pPr>
        <w:spacing w:after="120" w:line="276"/>
      </w:pPr>
      <w:r>
        <w:rPr>
          <w:rFonts w:ascii="Arial" w:cs="Arial" w:eastAsia="Arial" w:hAnsi="Arial"/>
        </w:rPr>
        <w:t xml:space="default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</w:rPr>
        <w:t xml:space="preserve">9.5 Secrets e chaves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</w:rPr>
        <w:t xml:space="preserve">Segredos fora do código (cofre/variáveis de ambiente gerenciadas); rotação de chaves; chaves de criptografia em KMS gerenciado.</w:t>
      </w:r>
    </w:p>
    <w:r>
      <w:br w:type="page"/>
    </w:r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</w:rPr>
        <w:t xml:space="preserve">10. Escalabilidade e Performance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Escala horizontal stateless: </w:t>
      </w:r>
      <w:r>
        <w:rPr>
          <w:rFonts w:ascii="Arial" w:cs="Arial" w:eastAsia="Arial" w:hAnsi="Arial"/>
        </w:rPr>
        <w:t xml:space="preserve">API sem estado em sessão (estado no Redis/JWT) → adicionar réplicas sob carga. É a alavanca principal e barata.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Banco primeiro vertical, depois read replica: </w:t>
      </w:r>
      <w:r>
        <w:rPr>
          <w:rFonts w:ascii="Arial" w:cs="Arial" w:eastAsia="Arial" w:hAnsi="Arial"/>
        </w:rPr>
        <w:t xml:space="preserve">a carga é mais de leitura (navegar histórico) que de escrita; uma réplica de leitura absorve os relatórios e telas de listagem.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Cache de leitura: </w:t>
      </w:r>
      <w:r>
        <w:rPr>
          <w:rFonts w:ascii="Arial" w:cs="Arial" w:eastAsia="Arial" w:hAnsi="Arial"/>
        </w:rPr>
        <w:t xml:space="preserve">catálogo de exercícios e conteúdo educativo de ciclo são quase estáticos → cache agressivo.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Assíncrono para o pesado: </w:t>
      </w:r>
      <w:r>
        <w:rPr>
          <w:rFonts w:ascii="Arial" w:cs="Arial" w:eastAsia="Arial" w:hAnsi="Arial"/>
        </w:rPr>
        <w:t xml:space="preserve">PDF e push fora do caminho da requisição.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</w:rPr>
        <w:t xml:space="preserve">10.1 Gargalos antecipados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</w:rPr>
        <w:t xml:space="preserve">Agregação de volume semanal por aluna se feita ingenuamente a cada abertura → pré-calcular/cachear por prescrição.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</w:rPr>
        <w:t xml:space="preserve">Tabela de execuções/RPE cresce rápido → índice por (aluna_id, data) e plano de arquivamento.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</w:rPr>
        <w:t xml:space="preserve">Geração de PDF concorrente em pico → fila com limite de workers, não sob demanda síncrona.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</w:rPr>
        <w:t xml:space="preserve">10.2 O que validar com teste de carga antes de assumir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</w:rPr>
        <w:t xml:space="preserve">Latência real do cálculo de composição + persistência sob 200 req/s.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</w:rPr>
        <w:t xml:space="preserve">Comportamento da fila de PDF sob rajada (ex.: turma inteira reavaliada no mesmo dia).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</w:rPr>
        <w:t xml:space="preserve">Custo/latência de RLS no Postgres com muitos tenants — medir, não assumir que é grátis.</w:t>
      </w:r>
    </w:p>
    <w:r>
      <w:br w:type="page"/>
    </w:r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</w:rPr>
        <w:t xml:space="preserve">11. Observabilidade e Operação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Logs estruturados </w:t>
      </w:r>
      <w:r>
        <w:rPr>
          <w:rFonts w:ascii="Arial" w:cs="Arial" w:eastAsia="Arial" w:hAnsi="Arial"/>
        </w:rPr>
        <w:t xml:space="preserve">(JSON) com correlação por requisição e por tenant — sem dado sensível no log.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Métricas: </w:t>
      </w:r>
      <w:r>
        <w:rPr>
          <w:rFonts w:ascii="Arial" w:cs="Arial" w:eastAsia="Arial" w:hAnsi="Arial"/>
        </w:rPr>
        <w:t xml:space="preserve">latência p50/p95/p99 por endpoint, taxa de erro, profundidade da fila de PDF, tempo de geração de laudo, falhas de push/e-mail.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Tracing </w:t>
      </w:r>
      <w:r>
        <w:rPr>
          <w:rFonts w:ascii="Arial" w:cs="Arial" w:eastAsia="Arial" w:hAnsi="Arial"/>
        </w:rPr>
        <w:t xml:space="preserve">do caminho avaliação→cálculo→laudo para achar gargalo.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Alertas que antecipam dor do usuário: </w:t>
      </w:r>
      <w:r>
        <w:rPr>
          <w:rFonts w:ascii="Arial" w:cs="Arial" w:eastAsia="Arial" w:hAnsi="Arial"/>
        </w:rPr>
        <w:t xml:space="preserve">erro de cálculo acima de zero (deveria ser sempre zero), fila de PDF crescendo, taxa de erro de login subindo (ataque), disponibilidade do banco.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Deploy e rollback: </w:t>
      </w:r>
      <w:r>
        <w:rPr>
          <w:rFonts w:ascii="Arial" w:cs="Arial" w:eastAsia="Arial" w:hAnsi="Arial"/>
        </w:rPr>
        <w:t xml:space="preserve">migrações de banco versionadas e reversíveis; deploy azul-verde ou canário simples; rollback ensaiado.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Health checks </w:t>
      </w:r>
      <w:r>
        <w:rPr>
          <w:rFonts w:ascii="Arial" w:cs="Arial" w:eastAsia="Arial" w:hAnsi="Arial"/>
        </w:rPr>
        <w:t xml:space="preserve">de app, banco e fila, consumidos pelo orquestrador/PaaS.</w:t>
      </w:r>
    </w:p>
    <w:r>
      <w:br w:type="page"/>
    </w:r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</w:rPr>
        <w:t xml:space="preserve">12. Estratégia de Testes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</w:rPr>
        <w:t xml:space="preserve">12.1 Pirâmide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Unitários (base, cobertura alta nas partes críticas): </w:t>
      </w:r>
      <w:r>
        <w:rPr>
          <w:rFonts w:ascii="Arial" w:cs="Arial" w:eastAsia="Arial" w:hAnsi="Arial"/>
        </w:rPr>
        <w:t xml:space="preserve">fórmulas de composição corporal e índices, cálculo de volume semanal, cálculo de fase do ciclo, regras de autorização. Estas devem ter cobertura próxima de 100% — é onde erro vira laudo errado.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Integração: </w:t>
      </w:r>
      <w:r>
        <w:rPr>
          <w:rFonts w:ascii="Arial" w:cs="Arial" w:eastAsia="Arial" w:hAnsi="Arial"/>
        </w:rPr>
        <w:t xml:space="preserve">endpoints com banco real de teste, validando RLS e isolamento por tenant; geração de laudo ponta a ponta.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E2E (topo, poucos e valiosos): </w:t>
      </w:r>
      <w:r>
        <w:rPr>
          <w:rFonts w:ascii="Arial" w:cs="Arial" w:eastAsia="Arial" w:hAnsi="Arial"/>
        </w:rPr>
        <w:t xml:space="preserve">jornada crítica — avaliar → prescrever → aluna executa com RPE; e fluxo de consentimento.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</w:rPr>
        <w:t xml:space="preserve">12.2 Testes específicos por risco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Isolamento de tenant: </w:t>
      </w:r>
      <w:r>
        <w:rPr>
          <w:rFonts w:ascii="Arial" w:cs="Arial" w:eastAsia="Arial" w:hAnsi="Arial"/>
        </w:rPr>
        <w:t xml:space="preserve">teste automatizado que tenta acessar dado de outro tenant e deve falhar — roda em todo CI.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Correção clínica: </w:t>
      </w:r>
      <w:r>
        <w:rPr>
          <w:rFonts w:ascii="Arial" w:cs="Arial" w:eastAsia="Arial" w:hAnsi="Arial"/>
        </w:rPr>
        <w:t xml:space="preserve">casos-fixos derivados do laudo real (Pirigo) como golden tests.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Carga: </w:t>
      </w:r>
      <w:r>
        <w:rPr>
          <w:rFonts w:ascii="Arial" w:cs="Arial" w:eastAsia="Arial" w:hAnsi="Arial"/>
        </w:rPr>
        <w:t xml:space="preserve">os cenários da seção 10.2 antes de prometer SLA.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Segurança: </w:t>
      </w:r>
      <w:r>
        <w:rPr>
          <w:rFonts w:ascii="Arial" w:cs="Arial" w:eastAsia="Arial" w:hAnsi="Arial"/>
        </w:rPr>
        <w:t xml:space="preserve">checklist OWASP + teste de brute-force no login.</w:t>
      </w:r>
    </w:p>
    <w:r>
      <w:br w:type="page"/>
    </w:r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</w:rPr>
        <w:t xml:space="preserve">13. Roadmap de Implementação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Fases incrementais, cada uma entregando valor utilizável. Estimativas em faixa, para time pequeno; assumem as fórmulas clínicas já validadas (ver POC nos unknowns).</w:t>
      </w:r>
    </w:p>
    <w:p>
      <w:pPr>
        <w:spacing w:after="40" w:before="80"/>
        <w:jc w:val="center"/>
      </w:pPr>
      <w:r>
        <w:drawing>
          <wp:inline distT="0" distB="0" distL="0" distR="0">
            <wp:extent cx="59436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B5768"/>
          <w:sz w:val="17"/>
          <w:szCs w:val="17"/>
        </w:rPr>
        <w:t xml:space="preserve">Figura 4 — Roadmap incremental e demarcação do MVP.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</w:rPr>
        <w:t xml:space="preserve">13.1 Detalhamento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400"/>
        <w:gridCol w:w="1300"/>
        <w:gridCol w:w="1760"/>
      </w:tblGrid>
      <w:tr>
        <w:trPr>
          <w:tblHeader/>
        </w:trPr>
        <w:tc>
          <w:tcPr>
            <w:tcW w:type="dxa" w:w="19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1F1C2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44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1F1C2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Objetivo / pronto ao final</w:t>
            </w:r>
          </w:p>
        </w:tc>
        <w:tc>
          <w:tcPr>
            <w:tcW w:type="dxa" w:w="13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1F1C2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Esforço</w:t>
            </w:r>
          </w:p>
        </w:tc>
        <w:tc>
          <w:tcPr>
            <w:tcW w:type="dxa" w:w="17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1F1C2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Depende de</w:t>
            </w:r>
          </w:p>
        </w:tc>
      </w:tr>
      <w:tr>
        <w:tc>
          <w:tcPr>
            <w:tcW w:type="dxa" w:w="19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F1C28"/>
                <w:sz w:val="19"/>
                <w:szCs w:val="19"/>
              </w:rPr>
              <w:t xml:space="preserve">F0 · Fundação</w:t>
            </w:r>
          </w:p>
        </w:tc>
        <w:tc>
          <w:tcPr>
            <w:tcW w:type="dxa" w:w="44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Multi-tenant, auth, consentimento LGPD, modelo de dados base, CI com teste de isolamento.</w:t>
            </w:r>
          </w:p>
        </w:tc>
        <w:tc>
          <w:tcPr>
            <w:tcW w:type="dxa" w:w="13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M (2–3 sem)</w:t>
            </w:r>
          </w:p>
        </w:tc>
        <w:tc>
          <w:tcPr>
            <w:tcW w:type="dxa" w:w="17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F1C28"/>
                <w:sz w:val="19"/>
                <w:szCs w:val="19"/>
              </w:rPr>
              <w:t xml:space="preserve">F1 · MVP Educadora</w:t>
            </w:r>
          </w:p>
        </w:tc>
        <w:tc>
          <w:tcPr>
            <w:tcW w:type="dxa" w:w="44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Cadastro de alunas, anamnese, composição corporal (Guedes &amp; Guedes) com cálculo validado, laudo PDF. Valida a hipótese central.</w:t>
            </w:r>
          </w:p>
        </w:tc>
        <w:tc>
          <w:tcPr>
            <w:tcW w:type="dxa" w:w="13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L (4–6 sem)</w:t>
            </w:r>
          </w:p>
        </w:tc>
        <w:tc>
          <w:tcPr>
            <w:tcW w:type="dxa" w:w="17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F0</w:t>
            </w:r>
          </w:p>
        </w:tc>
      </w:tr>
      <w:tr>
        <w:tc>
          <w:tcPr>
            <w:tcW w:type="dxa" w:w="19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F2 · Prescrição &amp; Volume</w:t>
            </w:r>
          </w:p>
        </w:tc>
        <w:tc>
          <w:tcPr>
            <w:tcW w:type="dxa" w:w="44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Catálogo, prescrição, análise de volume semanal por grupo com zona-alvo e recomendações.</w:t>
            </w:r>
          </w:p>
        </w:tc>
        <w:tc>
          <w:tcPr>
            <w:tcW w:type="dxa" w:w="13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M (3–4 sem)</w:t>
            </w:r>
          </w:p>
        </w:tc>
        <w:tc>
          <w:tcPr>
            <w:tcW w:type="dxa" w:w="17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F1</w:t>
            </w:r>
          </w:p>
        </w:tc>
      </w:tr>
      <w:tr>
        <w:tc>
          <w:tcPr>
            <w:tcW w:type="dxa" w:w="19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F3 · App Aluna + Ciclo</w:t>
            </w:r>
          </w:p>
        </w:tc>
        <w:tc>
          <w:tcPr>
            <w:tcW w:type="dxa" w:w="44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Visão somente-leitura, RPE na execução, questionário de dor, ciclo menstrual com conteúdo por fase e registro de sintomas.</w:t>
            </w:r>
          </w:p>
        </w:tc>
        <w:tc>
          <w:tcPr>
            <w:tcW w:type="dxa" w:w="13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L (4–5 sem)</w:t>
            </w:r>
          </w:p>
        </w:tc>
        <w:tc>
          <w:tcPr>
            <w:tcW w:type="dxa" w:w="17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F1, F2</w:t>
            </w:r>
          </w:p>
        </w:tc>
      </w:tr>
      <w:tr>
        <w:tc>
          <w:tcPr>
            <w:tcW w:type="dxa" w:w="19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F4 · Testes funcionais 60+</w:t>
            </w:r>
          </w:p>
        </w:tc>
        <w:tc>
          <w:tcPr>
            <w:tcW w:type="dxa" w:w="44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Bateria funcional e risco de queda composto.</w:t>
            </w:r>
          </w:p>
        </w:tc>
        <w:tc>
          <w:tcPr>
            <w:tcW w:type="dxa" w:w="13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S (2 sem)</w:t>
            </w:r>
          </w:p>
        </w:tc>
        <w:tc>
          <w:tcPr>
            <w:tcW w:type="dxa" w:w="17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F1</w:t>
            </w:r>
          </w:p>
        </w:tc>
      </w:tr>
      <w:tr>
        <w:tc>
          <w:tcPr>
            <w:tcW w:type="dxa" w:w="19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F5 · Endurecimento</w:t>
            </w:r>
          </w:p>
        </w:tc>
        <w:tc>
          <w:tcPr>
            <w:tcW w:type="dxa" w:w="44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Billing, observabilidade completa, exportação LGPD, teste de carga, acessibilidade 60+.</w:t>
            </w:r>
          </w:p>
        </w:tc>
        <w:tc>
          <w:tcPr>
            <w:tcW w:type="dxa" w:w="13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M (3–4 sem)</w:t>
            </w:r>
          </w:p>
        </w:tc>
        <w:tc>
          <w:tcPr>
            <w:tcW w:type="dxa" w:w="17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F1–F4</w:t>
            </w:r>
          </w:p>
        </w:tc>
      </w:tr>
    </w:tbl>
    <w:p>
      <w:pPr>
        <w:pBdr>
          <w:left w:val="single" w:color="3B5A47" w:sz="18" w:space="8"/>
        </w:pBdr>
        <w:shd w:fill="E2EEE6" w:val="clear"/>
        <w:spacing w:after="120" w:before="80" w:line="270"/>
        <w:ind w:left="120" w:right="120"/>
      </w:pPr>
      <w:r>
        <w:rPr>
          <w:rFonts w:ascii="Arial" w:cs="Arial" w:eastAsia="Arial" w:hAnsi="Arial"/>
          <w:b/>
          <w:bCs/>
          <w:color w:val="3B5A47"/>
          <w:sz w:val="18"/>
          <w:szCs w:val="18"/>
        </w:rPr>
        <w:t xml:space="preserve">MVP  </w:t>
      </w:r>
      <w:r>
        <w:rPr>
          <w:rFonts w:ascii="Arial" w:cs="Arial" w:eastAsia="Arial" w:hAnsi="Arial"/>
          <w:color w:val="1F1C28"/>
          <w:sz w:val="21"/>
          <w:szCs w:val="21"/>
        </w:rPr>
        <w:t xml:space="preserve">MVP = F0 + F1. É o menor recorte que prova a hipótese central: a educadora consegue avaliar e gerar laudo dentro do app, sem desktop. O diferencial (ciclo, F3) só deve ser construído depois de validar com usuárias reais o conteúdo e a regra de cálculo de fase — caso contrário, constrói-se bem algo que pode estar clinicamente errado.</w:t>
      </w:r>
    </w:p>
    <w:r>
      <w:br w:type="page"/>
    </w:r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</w:rPr>
        <w:t xml:space="preserve">14. Questões em Aberto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900"/>
        <w:gridCol w:w="1860"/>
      </w:tblGrid>
      <w:tr>
        <w:trPr>
          <w:tblHeader/>
        </w:trPr>
        <w:tc>
          <w:tcPr>
            <w:tcW w:type="dxa" w:w="6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1F1C2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9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1F1C2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Questão</w:t>
            </w:r>
          </w:p>
        </w:tc>
        <w:tc>
          <w:tcPr>
            <w:tcW w:type="dxa" w:w="18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1F1C2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Quem responde</w:t>
            </w:r>
          </w:p>
        </w:tc>
      </w:tr>
      <w:tr>
        <w:tc>
          <w:tcPr>
            <w:tcW w:type="dxa" w:w="6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Q1</w:t>
            </w:r>
          </w:p>
        </w:tc>
        <w:tc>
          <w:tcPr>
            <w:tcW w:type="dxa" w:w="69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Qual a escala real esperada em 1–2 anos? (confirma ou refuta a premissa que dispensa sharding)</w:t>
            </w:r>
          </w:p>
        </w:tc>
        <w:tc>
          <w:tcPr>
            <w:tcW w:type="dxa" w:w="18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Fundador/negócio</w:t>
            </w:r>
          </w:p>
        </w:tc>
      </w:tr>
      <w:tr>
        <w:tc>
          <w:tcPr>
            <w:tcW w:type="dxa" w:w="6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Q2</w:t>
            </w:r>
          </w:p>
        </w:tc>
        <w:tc>
          <w:tcPr>
            <w:tcW w:type="dxa" w:w="69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Fórmulas exatas, equação de densidade e faixas de referência por sexo/idade — fonte autoritativa?</w:t>
            </w:r>
          </w:p>
        </w:tc>
        <w:tc>
          <w:tcPr>
            <w:tcW w:type="dxa" w:w="18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Profissional de ed. física</w:t>
            </w:r>
          </w:p>
        </w:tc>
      </w:tr>
      <w:tr>
        <w:tc>
          <w:tcPr>
            <w:tcW w:type="dxa" w:w="6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Q3</w:t>
            </w:r>
          </w:p>
        </w:tc>
        <w:tc>
          <w:tcPr>
            <w:tcW w:type="dxa" w:w="69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Qual a força da evidência e o tom permitido para recomendações por fase do ciclo?</w:t>
            </w:r>
          </w:p>
        </w:tc>
        <w:tc>
          <w:tcPr>
            <w:tcW w:type="dxa" w:w="18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Especialista em saúde da mulher</w:t>
            </w:r>
          </w:p>
        </w:tc>
      </w:tr>
      <w:tr>
        <w:tc>
          <w:tcPr>
            <w:tcW w:type="dxa" w:w="6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Q4</w:t>
            </w:r>
          </w:p>
        </w:tc>
        <w:tc>
          <w:tcPr>
            <w:tcW w:type="dxa" w:w="69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Como tratar ciclos irregulares, anticoncepcional e amenorreia no cálculo de fase?</w:t>
            </w:r>
          </w:p>
        </w:tc>
        <w:tc>
          <w:tcPr>
            <w:tcW w:type="dxa" w:w="18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Especialista + produto</w:t>
            </w:r>
          </w:p>
        </w:tc>
      </w:tr>
      <w:tr>
        <w:tc>
          <w:tcPr>
            <w:tcW w:type="dxa" w:w="6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Q5</w:t>
            </w:r>
          </w:p>
        </w:tc>
        <w:tc>
          <w:tcPr>
            <w:tcW w:type="dxa" w:w="69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As zonas-alvo de volume são fixas ou variam por objetivo/nível da aluna?</w:t>
            </w:r>
          </w:p>
        </w:tc>
        <w:tc>
          <w:tcPr>
            <w:tcW w:type="dxa" w:w="18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Profissional de ed. física</w:t>
            </w:r>
          </w:p>
        </w:tc>
      </w:tr>
      <w:tr>
        <w:tc>
          <w:tcPr>
            <w:tcW w:type="dxa" w:w="6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Q6</w:t>
            </w:r>
          </w:p>
        </w:tc>
        <w:tc>
          <w:tcPr>
            <w:tcW w:type="dxa" w:w="69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Modelo de billing da assinatura (planos, por aluna, por estúdio)?</w:t>
            </w:r>
          </w:p>
        </w:tc>
        <w:tc>
          <w:tcPr>
            <w:tcW w:type="dxa" w:w="18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Negócio</w:t>
            </w:r>
          </w:p>
        </w:tc>
      </w:tr>
      <w:tr>
        <w:tc>
          <w:tcPr>
            <w:tcW w:type="dxa" w:w="6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Q7</w:t>
            </w:r>
          </w:p>
        </w:tc>
        <w:tc>
          <w:tcPr>
            <w:tcW w:type="dxa" w:w="69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Modelagem de consentimento, retenção e descarte revisada juridicamente?</w:t>
            </w:r>
          </w:p>
        </w:tc>
        <w:tc>
          <w:tcPr>
            <w:tcW w:type="dxa" w:w="18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2F0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Advogado(a) LGPD</w:t>
            </w:r>
          </w:p>
        </w:tc>
      </w:tr>
      <w:tr>
        <w:tc>
          <w:tcPr>
            <w:tcW w:type="dxa" w:w="6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Q8</w:t>
            </w:r>
          </w:p>
        </w:tc>
        <w:tc>
          <w:tcPr>
            <w:tcW w:type="dxa" w:w="690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Há requisito de versão web para o profissional no médio prazo?</w:t>
            </w:r>
          </w:p>
        </w:tc>
        <w:tc>
          <w:tcPr>
            <w:tcW w:type="dxa" w:w="1860"/>
            <w:tcBorders>
              <w:top w:val="single" w:color="D8D4DC" w:sz="1"/>
              <w:left w:val="single" w:color="D8D4DC" w:sz="1"/>
              <w:bottom w:val="single" w:color="D8D4DC" w:sz="1"/>
              <w:right w:val="single" w:color="D8D4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1C28"/>
                <w:sz w:val="19"/>
                <w:szCs w:val="19"/>
              </w:rPr>
              <w:t xml:space="preserve">Negócio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</w:rPr>
        <w:t xml:space="default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4DC" w:sz="4" w:space="4"/>
      </w:pBdr>
      <w:tabs>
        <w:tab w:val="right" w:pos="9360"/>
      </w:tabs>
    </w:pPr>
    <w:r>
      <w:rPr>
        <w:rFonts w:ascii="Arial" w:cs="Arial" w:eastAsia="Arial" w:hAnsi="Arial"/>
        <w:color w:val="5B5768"/>
        <w:sz w:val="16"/>
        <w:szCs w:val="16"/>
      </w:rPr>
      <w:t xml:space="preserve">Documento técnico de engenharia · confidencial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5B5768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4DC" w:sz="4" w:space="4"/>
      </w:pBdr>
    </w:pPr>
    <w:r>
      <w:rPr>
        <w:rFonts w:ascii="Arial" w:cs="Arial" w:eastAsia="Arial" w:hAnsi="Arial"/>
        <w:color w:val="5B5768"/>
        <w:sz w:val="16"/>
        <w:szCs w:val="16"/>
      </w:rPr>
      <w:t xml:space="preserve">Lumyra — Análise de Sistemas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10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5C8A6F" w:sz="8" w:space="4"/>
      </w:pBdr>
      <w:spacing w:after="160" w:before="280"/>
      <w:outlineLvl w:val="0"/>
    </w:pPr>
    <w:rPr>
      <w:rFonts w:ascii="Arial" w:cs="Arial" w:eastAsia="Arial" w:hAnsi="Arial"/>
      <w:b/>
      <w:bCs/>
      <w:color w:val="3B5A4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Arial" w:cs="Arial" w:eastAsia="Arial" w:hAnsi="Arial"/>
      <w:b/>
      <w:bCs/>
      <w:color w:val="1F1C28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70" w:before="160"/>
      <w:outlineLvl w:val="2"/>
    </w:pPr>
    <w:rPr>
      <w:rFonts w:ascii="Arial" w:cs="Arial" w:eastAsia="Arial" w:hAnsi="Arial"/>
      <w:b/>
      <w:bCs/>
      <w:color w:val="5F477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827ddb520e11756c6e56783af8cbbbec52dbafb.png"/><Relationship Id="rId10" Type="http://schemas.openxmlformats.org/officeDocument/2006/relationships/image" Target="media/99d326ac0fcd58100b286c7da28ac864c70abc23.png"/><Relationship Id="rId11" Type="http://schemas.openxmlformats.org/officeDocument/2006/relationships/image" Target="media/6dea5f7d30fb68548863f1d8129426d17b3e8c27.png"/><Relationship Id="rId12" Type="http://schemas.openxmlformats.org/officeDocument/2006/relationships/image" Target="media/c5751c5ebc756f6771f048bb093449ea8983906a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2026-05-26T22:58:50.293Z</dcterms:created>
  <dcterms:modified xsi:type="dcterms:W3CDTF">2026-05-26T22:58:50.294Z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