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6BC64" w14:textId="77777777" w:rsidR="00416B1C" w:rsidRDefault="00416B1C" w:rsidP="007547C4">
      <w:pPr>
        <w:jc w:val="center"/>
        <w:rPr>
          <w:rFonts w:ascii="Times New Roman" w:hAnsi="Times New Roman" w:cs="Times New Roman"/>
          <w:b/>
          <w:sz w:val="36"/>
          <w:szCs w:val="24"/>
        </w:rPr>
      </w:pPr>
      <w:bookmarkStart w:id="0" w:name="OLE_LINK1"/>
    </w:p>
    <w:p w14:paraId="25BC69CD" w14:textId="1B875AF1" w:rsidR="00710A53" w:rsidRPr="007F59FD" w:rsidRDefault="00DE6DC3" w:rsidP="00930802">
      <w:pPr>
        <w:rPr>
          <w:rFonts w:ascii="Times New Roman" w:hAnsi="Times New Roman" w:cs="Times New Roman"/>
          <w:bCs/>
          <w:color w:val="FF0000"/>
          <w:sz w:val="36"/>
          <w:szCs w:val="24"/>
        </w:rPr>
      </w:pPr>
      <w:r w:rsidRPr="00DE6DC3">
        <w:rPr>
          <w:rFonts w:ascii="Times New Roman" w:hAnsi="Times New Roman" w:cs="Times New Roman"/>
          <w:bCs/>
          <w:color w:val="FF0000"/>
          <w:sz w:val="24"/>
          <w:szCs w:val="18"/>
          <w:highlight w:val="yellow"/>
        </w:rPr>
        <w:t xml:space="preserve">Note 1: </w:t>
      </w:r>
      <w:r>
        <w:rPr>
          <w:rFonts w:ascii="Times New Roman" w:hAnsi="Times New Roman" w:cs="Times New Roman"/>
          <w:bCs/>
          <w:color w:val="FF0000"/>
          <w:sz w:val="24"/>
          <w:szCs w:val="18"/>
          <w:highlight w:val="yellow"/>
        </w:rPr>
        <w:t xml:space="preserve">The document currently states </w:t>
      </w:r>
      <w:r w:rsidR="00710A53" w:rsidRPr="00DE6DC3">
        <w:rPr>
          <w:rFonts w:ascii="Times New Roman" w:hAnsi="Times New Roman" w:cs="Times New Roman"/>
          <w:bCs/>
          <w:color w:val="FF0000"/>
          <w:sz w:val="24"/>
          <w:szCs w:val="18"/>
          <w:highlight w:val="yellow"/>
        </w:rPr>
        <w:t xml:space="preserve">that the SAM is available on request. This may need to be changed </w:t>
      </w:r>
      <w:r w:rsidRPr="00DE6DC3">
        <w:rPr>
          <w:rFonts w:ascii="Times New Roman" w:hAnsi="Times New Roman" w:cs="Times New Roman"/>
          <w:bCs/>
          <w:color w:val="FF0000"/>
          <w:sz w:val="24"/>
          <w:szCs w:val="18"/>
          <w:highlight w:val="yellow"/>
        </w:rPr>
        <w:t>depending on the decision to make this SAM publicly availabl</w:t>
      </w:r>
      <w:r>
        <w:rPr>
          <w:rFonts w:ascii="Times New Roman" w:hAnsi="Times New Roman" w:cs="Times New Roman"/>
          <w:bCs/>
          <w:color w:val="FF0000"/>
          <w:sz w:val="24"/>
          <w:szCs w:val="18"/>
          <w:highlight w:val="yellow"/>
        </w:rPr>
        <w:t xml:space="preserve">e or </w:t>
      </w:r>
      <w:r w:rsidRPr="007F59FD">
        <w:rPr>
          <w:rFonts w:ascii="Times New Roman" w:hAnsi="Times New Roman" w:cs="Times New Roman"/>
          <w:bCs/>
          <w:color w:val="FF0000"/>
          <w:sz w:val="24"/>
          <w:szCs w:val="18"/>
          <w:highlight w:val="yellow"/>
        </w:rPr>
        <w:t>not</w:t>
      </w:r>
      <w:r w:rsidR="007F59FD" w:rsidRPr="007F59FD">
        <w:rPr>
          <w:rFonts w:ascii="Times New Roman" w:hAnsi="Times New Roman" w:cs="Times New Roman"/>
          <w:bCs/>
          <w:color w:val="FF0000"/>
          <w:sz w:val="24"/>
          <w:szCs w:val="18"/>
          <w:highlight w:val="yellow"/>
        </w:rPr>
        <w:t xml:space="preserve">, see footnote </w:t>
      </w:r>
      <w:r w:rsidR="007F59FD" w:rsidRPr="007F59FD">
        <w:rPr>
          <w:rFonts w:ascii="Times New Roman" w:hAnsi="Times New Roman" w:cs="Times New Roman"/>
          <w:bCs/>
          <w:color w:val="FF0000"/>
          <w:sz w:val="24"/>
          <w:szCs w:val="18"/>
          <w:highlight w:val="yellow"/>
        </w:rPr>
        <w:fldChar w:fldCharType="begin"/>
      </w:r>
      <w:r w:rsidR="007F59FD" w:rsidRPr="007F59FD">
        <w:rPr>
          <w:rFonts w:ascii="Times New Roman" w:hAnsi="Times New Roman" w:cs="Times New Roman"/>
          <w:bCs/>
          <w:color w:val="FF0000"/>
          <w:sz w:val="24"/>
          <w:szCs w:val="18"/>
          <w:highlight w:val="yellow"/>
        </w:rPr>
        <w:instrText xml:space="preserve"> NOTEREF _Ref53821458 \h  \* MERGEFORMAT </w:instrText>
      </w:r>
      <w:r w:rsidR="007F59FD" w:rsidRPr="007F59FD">
        <w:rPr>
          <w:rFonts w:ascii="Times New Roman" w:hAnsi="Times New Roman" w:cs="Times New Roman"/>
          <w:bCs/>
          <w:color w:val="FF0000"/>
          <w:sz w:val="24"/>
          <w:szCs w:val="18"/>
          <w:highlight w:val="yellow"/>
        </w:rPr>
      </w:r>
      <w:r w:rsidR="007F59FD" w:rsidRPr="007F59FD">
        <w:rPr>
          <w:rFonts w:ascii="Times New Roman" w:hAnsi="Times New Roman" w:cs="Times New Roman"/>
          <w:bCs/>
          <w:color w:val="FF0000"/>
          <w:sz w:val="24"/>
          <w:szCs w:val="18"/>
          <w:highlight w:val="yellow"/>
        </w:rPr>
        <w:fldChar w:fldCharType="separate"/>
      </w:r>
      <w:r w:rsidR="007F59FD" w:rsidRPr="007F59FD">
        <w:rPr>
          <w:rFonts w:ascii="Times New Roman" w:hAnsi="Times New Roman" w:cs="Times New Roman"/>
          <w:bCs/>
          <w:color w:val="FF0000"/>
          <w:sz w:val="24"/>
          <w:szCs w:val="18"/>
          <w:highlight w:val="yellow"/>
        </w:rPr>
        <w:t>1</w:t>
      </w:r>
      <w:r w:rsidR="007F59FD" w:rsidRPr="007F59FD">
        <w:rPr>
          <w:rFonts w:ascii="Times New Roman" w:hAnsi="Times New Roman" w:cs="Times New Roman"/>
          <w:bCs/>
          <w:color w:val="FF0000"/>
          <w:sz w:val="24"/>
          <w:szCs w:val="18"/>
          <w:highlight w:val="yellow"/>
        </w:rPr>
        <w:fldChar w:fldCharType="end"/>
      </w:r>
    </w:p>
    <w:p w14:paraId="6AD880D6" w14:textId="0595B7BD" w:rsidR="00DE6DC3" w:rsidRPr="00136B78" w:rsidRDefault="00930802" w:rsidP="00930802">
      <w:pPr>
        <w:rPr>
          <w:rFonts w:ascii="Times New Roman" w:hAnsi="Times New Roman" w:cs="Times New Roman"/>
          <w:b/>
          <w:sz w:val="36"/>
          <w:szCs w:val="24"/>
        </w:rPr>
      </w:pPr>
      <w:r>
        <w:rPr>
          <w:rFonts w:ascii="Times New Roman" w:hAnsi="Times New Roman" w:cs="Times New Roman"/>
          <w:b/>
          <w:sz w:val="36"/>
          <w:szCs w:val="24"/>
        </w:rPr>
        <w:t xml:space="preserve">Appendix: </w:t>
      </w:r>
      <w:r w:rsidR="007547C4" w:rsidRPr="00136B78">
        <w:rPr>
          <w:rFonts w:ascii="Times New Roman" w:hAnsi="Times New Roman" w:cs="Times New Roman"/>
          <w:b/>
          <w:sz w:val="36"/>
          <w:szCs w:val="24"/>
        </w:rPr>
        <w:t xml:space="preserve">A </w:t>
      </w:r>
      <w:r>
        <w:rPr>
          <w:rFonts w:ascii="Times New Roman" w:hAnsi="Times New Roman" w:cs="Times New Roman"/>
          <w:b/>
          <w:sz w:val="36"/>
          <w:szCs w:val="24"/>
        </w:rPr>
        <w:t xml:space="preserve">Provisional </w:t>
      </w:r>
      <w:r w:rsidR="007547C4" w:rsidRPr="00136B78">
        <w:rPr>
          <w:rFonts w:ascii="Times New Roman" w:hAnsi="Times New Roman" w:cs="Times New Roman"/>
          <w:b/>
          <w:sz w:val="36"/>
          <w:szCs w:val="24"/>
        </w:rPr>
        <w:t>201</w:t>
      </w:r>
      <w:r>
        <w:rPr>
          <w:rFonts w:ascii="Times New Roman" w:hAnsi="Times New Roman" w:cs="Times New Roman"/>
          <w:b/>
          <w:sz w:val="36"/>
          <w:szCs w:val="24"/>
        </w:rPr>
        <w:t>9</w:t>
      </w:r>
      <w:r w:rsidR="007547C4" w:rsidRPr="00136B78">
        <w:rPr>
          <w:rFonts w:ascii="Times New Roman" w:hAnsi="Times New Roman" w:cs="Times New Roman"/>
          <w:b/>
          <w:sz w:val="36"/>
          <w:szCs w:val="24"/>
        </w:rPr>
        <w:t xml:space="preserve"> Social Accounting Matrix (SAM) for South Africa</w:t>
      </w:r>
    </w:p>
    <w:bookmarkEnd w:id="0"/>
    <w:p w14:paraId="5ECC1597" w14:textId="77777777" w:rsidR="007547C4" w:rsidRPr="00136B78" w:rsidRDefault="007547C4" w:rsidP="007547C4">
      <w:pPr>
        <w:jc w:val="center"/>
        <w:rPr>
          <w:rFonts w:ascii="Times New Roman" w:hAnsi="Times New Roman" w:cs="Times New Roman"/>
          <w:b/>
          <w:sz w:val="24"/>
          <w:szCs w:val="24"/>
        </w:rPr>
      </w:pPr>
    </w:p>
    <w:p w14:paraId="2C549427" w14:textId="77777777" w:rsidR="007547C4" w:rsidRPr="00136B78" w:rsidRDefault="007547C4" w:rsidP="007547C4">
      <w:pPr>
        <w:rPr>
          <w:rFonts w:ascii="Times New Roman" w:hAnsi="Times New Roman" w:cs="Times New Roman"/>
          <w:sz w:val="24"/>
          <w:szCs w:val="24"/>
        </w:rPr>
      </w:pPr>
    </w:p>
    <w:p w14:paraId="43C469B8" w14:textId="77777777" w:rsidR="007547C4" w:rsidRPr="00136B78" w:rsidRDefault="007547C4" w:rsidP="007547C4">
      <w:pPr>
        <w:jc w:val="center"/>
        <w:rPr>
          <w:rFonts w:ascii="Times New Roman" w:hAnsi="Times New Roman" w:cs="Times New Roman"/>
          <w:b/>
          <w:sz w:val="28"/>
          <w:szCs w:val="24"/>
        </w:rPr>
      </w:pPr>
      <w:r w:rsidRPr="00136B78">
        <w:rPr>
          <w:rFonts w:ascii="Times New Roman" w:hAnsi="Times New Roman" w:cs="Times New Roman"/>
          <w:b/>
          <w:sz w:val="28"/>
          <w:szCs w:val="24"/>
        </w:rPr>
        <w:t>List of acronyms</w:t>
      </w:r>
    </w:p>
    <w:p w14:paraId="6118919B" w14:textId="77777777" w:rsidR="007547C4" w:rsidRPr="00136B78" w:rsidRDefault="007547C4" w:rsidP="007547C4">
      <w:pPr>
        <w:rPr>
          <w:rFonts w:ascii="Times New Roman" w:hAnsi="Times New Roman" w:cs="Times New Roman"/>
          <w:sz w:val="24"/>
          <w:szCs w:val="24"/>
        </w:rPr>
      </w:pPr>
    </w:p>
    <w:p w14:paraId="63F7B862" w14:textId="334894B8" w:rsidR="007547C4" w:rsidRDefault="007547C4" w:rsidP="007547C4">
      <w:pPr>
        <w:rPr>
          <w:rFonts w:ascii="Times New Roman" w:hAnsi="Times New Roman" w:cs="Times New Roman"/>
          <w:sz w:val="24"/>
          <w:szCs w:val="24"/>
        </w:rPr>
      </w:pPr>
      <w:r w:rsidRPr="00136B78">
        <w:rPr>
          <w:rFonts w:ascii="Times New Roman" w:hAnsi="Times New Roman" w:cs="Times New Roman"/>
          <w:sz w:val="24"/>
          <w:szCs w:val="24"/>
        </w:rPr>
        <w:t>GDP</w:t>
      </w:r>
      <w:r w:rsidRPr="00136B78">
        <w:rPr>
          <w:rFonts w:ascii="Times New Roman" w:hAnsi="Times New Roman" w:cs="Times New Roman"/>
          <w:sz w:val="24"/>
          <w:szCs w:val="24"/>
        </w:rPr>
        <w:tab/>
      </w:r>
      <w:r w:rsidR="00FD61EC">
        <w:rPr>
          <w:rFonts w:ascii="Times New Roman" w:hAnsi="Times New Roman" w:cs="Times New Roman"/>
          <w:sz w:val="24"/>
          <w:szCs w:val="24"/>
        </w:rPr>
        <w:tab/>
      </w:r>
      <w:r w:rsidRPr="00136B78">
        <w:rPr>
          <w:rFonts w:ascii="Times New Roman" w:hAnsi="Times New Roman" w:cs="Times New Roman"/>
          <w:sz w:val="24"/>
          <w:szCs w:val="24"/>
        </w:rPr>
        <w:t xml:space="preserve">Gross </w:t>
      </w:r>
      <w:r w:rsidR="00391353">
        <w:rPr>
          <w:rFonts w:ascii="Times New Roman" w:hAnsi="Times New Roman" w:cs="Times New Roman"/>
          <w:sz w:val="24"/>
          <w:szCs w:val="24"/>
        </w:rPr>
        <w:t>D</w:t>
      </w:r>
      <w:r w:rsidRPr="00136B78">
        <w:rPr>
          <w:rFonts w:ascii="Times New Roman" w:hAnsi="Times New Roman" w:cs="Times New Roman"/>
          <w:sz w:val="24"/>
          <w:szCs w:val="24"/>
        </w:rPr>
        <w:t xml:space="preserve">omestic </w:t>
      </w:r>
      <w:r w:rsidR="00391353">
        <w:rPr>
          <w:rFonts w:ascii="Times New Roman" w:hAnsi="Times New Roman" w:cs="Times New Roman"/>
          <w:sz w:val="24"/>
          <w:szCs w:val="24"/>
        </w:rPr>
        <w:t>P</w:t>
      </w:r>
      <w:r w:rsidRPr="00136B78">
        <w:rPr>
          <w:rFonts w:ascii="Times New Roman" w:hAnsi="Times New Roman" w:cs="Times New Roman"/>
          <w:sz w:val="24"/>
          <w:szCs w:val="24"/>
        </w:rPr>
        <w:t>roduct</w:t>
      </w:r>
    </w:p>
    <w:p w14:paraId="027E2A3E" w14:textId="034BA354" w:rsidR="000D1619" w:rsidRPr="00136B78" w:rsidRDefault="000D1619" w:rsidP="007547C4">
      <w:pPr>
        <w:rPr>
          <w:rFonts w:ascii="Times New Roman" w:hAnsi="Times New Roman" w:cs="Times New Roman"/>
          <w:sz w:val="24"/>
          <w:szCs w:val="24"/>
        </w:rPr>
      </w:pPr>
      <w:r>
        <w:rPr>
          <w:rFonts w:ascii="Times New Roman" w:hAnsi="Times New Roman" w:cs="Times New Roman"/>
          <w:sz w:val="24"/>
          <w:szCs w:val="24"/>
        </w:rPr>
        <w:t>LCS</w:t>
      </w:r>
      <w:r>
        <w:rPr>
          <w:rFonts w:ascii="Times New Roman" w:hAnsi="Times New Roman" w:cs="Times New Roman"/>
          <w:sz w:val="24"/>
          <w:szCs w:val="24"/>
        </w:rPr>
        <w:tab/>
      </w:r>
      <w:r>
        <w:rPr>
          <w:rFonts w:ascii="Times New Roman" w:hAnsi="Times New Roman" w:cs="Times New Roman"/>
          <w:sz w:val="24"/>
          <w:szCs w:val="24"/>
        </w:rPr>
        <w:tab/>
        <w:t>Living Conditions Survey</w:t>
      </w:r>
    </w:p>
    <w:p w14:paraId="745878D8" w14:textId="1D03BBCE" w:rsidR="000D1619" w:rsidRDefault="000D1619" w:rsidP="007547C4">
      <w:pPr>
        <w:rPr>
          <w:rFonts w:ascii="Times New Roman" w:hAnsi="Times New Roman" w:cs="Times New Roman"/>
          <w:sz w:val="24"/>
          <w:szCs w:val="24"/>
        </w:rPr>
      </w:pPr>
      <w:r>
        <w:rPr>
          <w:rFonts w:ascii="Times New Roman" w:hAnsi="Times New Roman" w:cs="Times New Roman"/>
          <w:sz w:val="24"/>
          <w:szCs w:val="24"/>
        </w:rPr>
        <w:t>LMD</w:t>
      </w:r>
      <w:r>
        <w:rPr>
          <w:rFonts w:ascii="Times New Roman" w:hAnsi="Times New Roman" w:cs="Times New Roman"/>
          <w:sz w:val="24"/>
          <w:szCs w:val="24"/>
        </w:rPr>
        <w:tab/>
      </w:r>
      <w:r>
        <w:rPr>
          <w:rFonts w:ascii="Times New Roman" w:hAnsi="Times New Roman" w:cs="Times New Roman"/>
          <w:sz w:val="24"/>
          <w:szCs w:val="24"/>
        </w:rPr>
        <w:tab/>
        <w:t>Labour Market Dynamics</w:t>
      </w:r>
    </w:p>
    <w:p w14:paraId="7AA03A5F" w14:textId="49C4EE28" w:rsidR="009E54D2" w:rsidRDefault="009E54D2" w:rsidP="007547C4">
      <w:pPr>
        <w:rPr>
          <w:rFonts w:ascii="Times New Roman" w:hAnsi="Times New Roman" w:cs="Times New Roman"/>
          <w:sz w:val="24"/>
          <w:szCs w:val="24"/>
        </w:rPr>
      </w:pPr>
      <w:r>
        <w:rPr>
          <w:rFonts w:ascii="Times New Roman" w:hAnsi="Times New Roman" w:cs="Times New Roman"/>
          <w:sz w:val="24"/>
          <w:szCs w:val="24"/>
        </w:rPr>
        <w:t>NA</w:t>
      </w:r>
      <w:r>
        <w:rPr>
          <w:rFonts w:ascii="Times New Roman" w:hAnsi="Times New Roman" w:cs="Times New Roman"/>
          <w:sz w:val="24"/>
          <w:szCs w:val="24"/>
        </w:rPr>
        <w:tab/>
      </w:r>
      <w:r>
        <w:rPr>
          <w:rFonts w:ascii="Times New Roman" w:hAnsi="Times New Roman" w:cs="Times New Roman"/>
          <w:sz w:val="24"/>
          <w:szCs w:val="24"/>
        </w:rPr>
        <w:tab/>
        <w:t>National Accounts</w:t>
      </w:r>
    </w:p>
    <w:p w14:paraId="31697BD1" w14:textId="3A94D445" w:rsidR="007547C4" w:rsidRPr="00136B78" w:rsidRDefault="00391353" w:rsidP="007547C4">
      <w:pPr>
        <w:rPr>
          <w:rFonts w:ascii="Times New Roman" w:hAnsi="Times New Roman" w:cs="Times New Roman"/>
          <w:sz w:val="24"/>
          <w:szCs w:val="24"/>
        </w:rPr>
      </w:pPr>
      <w:r>
        <w:rPr>
          <w:rFonts w:ascii="Times New Roman" w:hAnsi="Times New Roman" w:cs="Times New Roman"/>
          <w:sz w:val="24"/>
          <w:szCs w:val="24"/>
        </w:rPr>
        <w:t>SAM</w:t>
      </w:r>
      <w:r>
        <w:rPr>
          <w:rFonts w:ascii="Times New Roman" w:hAnsi="Times New Roman" w:cs="Times New Roman"/>
          <w:sz w:val="24"/>
          <w:szCs w:val="24"/>
        </w:rPr>
        <w:tab/>
      </w:r>
      <w:r w:rsidR="00FD61EC">
        <w:rPr>
          <w:rFonts w:ascii="Times New Roman" w:hAnsi="Times New Roman" w:cs="Times New Roman"/>
          <w:sz w:val="24"/>
          <w:szCs w:val="24"/>
        </w:rPr>
        <w:tab/>
      </w:r>
      <w:r>
        <w:rPr>
          <w:rFonts w:ascii="Times New Roman" w:hAnsi="Times New Roman" w:cs="Times New Roman"/>
          <w:sz w:val="24"/>
          <w:szCs w:val="24"/>
        </w:rPr>
        <w:t>Social A</w:t>
      </w:r>
      <w:r w:rsidR="007547C4" w:rsidRPr="00136B78">
        <w:rPr>
          <w:rFonts w:ascii="Times New Roman" w:hAnsi="Times New Roman" w:cs="Times New Roman"/>
          <w:sz w:val="24"/>
          <w:szCs w:val="24"/>
        </w:rPr>
        <w:t xml:space="preserve">ccounting </w:t>
      </w:r>
      <w:r>
        <w:rPr>
          <w:rFonts w:ascii="Times New Roman" w:hAnsi="Times New Roman" w:cs="Times New Roman"/>
          <w:sz w:val="24"/>
          <w:szCs w:val="24"/>
        </w:rPr>
        <w:t>M</w:t>
      </w:r>
      <w:r w:rsidR="007547C4" w:rsidRPr="00136B78">
        <w:rPr>
          <w:rFonts w:ascii="Times New Roman" w:hAnsi="Times New Roman" w:cs="Times New Roman"/>
          <w:sz w:val="24"/>
          <w:szCs w:val="24"/>
        </w:rPr>
        <w:t>atrix</w:t>
      </w:r>
    </w:p>
    <w:p w14:paraId="3C7C2D17" w14:textId="25558FBF" w:rsidR="005A1C81" w:rsidRDefault="005A1C81" w:rsidP="007547C4">
      <w:pPr>
        <w:rPr>
          <w:rFonts w:ascii="Times New Roman" w:hAnsi="Times New Roman" w:cs="Times New Roman"/>
          <w:sz w:val="24"/>
          <w:szCs w:val="24"/>
        </w:rPr>
      </w:pPr>
      <w:r>
        <w:rPr>
          <w:rFonts w:ascii="Times New Roman" w:hAnsi="Times New Roman" w:cs="Times New Roman"/>
          <w:sz w:val="24"/>
          <w:szCs w:val="24"/>
        </w:rPr>
        <w:t>SARB</w:t>
      </w:r>
      <w:r>
        <w:rPr>
          <w:rFonts w:ascii="Times New Roman" w:hAnsi="Times New Roman" w:cs="Times New Roman"/>
          <w:sz w:val="24"/>
          <w:szCs w:val="24"/>
        </w:rPr>
        <w:tab/>
      </w:r>
      <w:r w:rsidR="00FD61EC">
        <w:rPr>
          <w:rFonts w:ascii="Times New Roman" w:hAnsi="Times New Roman" w:cs="Times New Roman"/>
          <w:sz w:val="24"/>
          <w:szCs w:val="24"/>
        </w:rPr>
        <w:tab/>
      </w:r>
      <w:r>
        <w:rPr>
          <w:rFonts w:ascii="Times New Roman" w:hAnsi="Times New Roman" w:cs="Times New Roman"/>
          <w:sz w:val="24"/>
          <w:szCs w:val="24"/>
        </w:rPr>
        <w:t>South Africa Reserv</w:t>
      </w:r>
      <w:r w:rsidR="00160FAA">
        <w:rPr>
          <w:rFonts w:ascii="Times New Roman" w:hAnsi="Times New Roman" w:cs="Times New Roman"/>
          <w:sz w:val="24"/>
          <w:szCs w:val="24"/>
        </w:rPr>
        <w:t>e</w:t>
      </w:r>
      <w:r>
        <w:rPr>
          <w:rFonts w:ascii="Times New Roman" w:hAnsi="Times New Roman" w:cs="Times New Roman"/>
          <w:sz w:val="24"/>
          <w:szCs w:val="24"/>
        </w:rPr>
        <w:t xml:space="preserve"> Bank</w:t>
      </w:r>
    </w:p>
    <w:p w14:paraId="379E2438" w14:textId="3D1060F9" w:rsidR="005A1C81" w:rsidRDefault="005A1C81" w:rsidP="007547C4">
      <w:pPr>
        <w:rPr>
          <w:rFonts w:ascii="Times New Roman" w:hAnsi="Times New Roman" w:cs="Times New Roman"/>
          <w:sz w:val="24"/>
          <w:szCs w:val="24"/>
        </w:rPr>
      </w:pPr>
      <w:r>
        <w:rPr>
          <w:rFonts w:ascii="Times New Roman" w:hAnsi="Times New Roman" w:cs="Times New Roman"/>
          <w:sz w:val="24"/>
          <w:szCs w:val="24"/>
        </w:rPr>
        <w:t>SSA</w:t>
      </w:r>
      <w:r>
        <w:rPr>
          <w:rFonts w:ascii="Times New Roman" w:hAnsi="Times New Roman" w:cs="Times New Roman"/>
          <w:sz w:val="24"/>
          <w:szCs w:val="24"/>
        </w:rPr>
        <w:tab/>
      </w:r>
      <w:r w:rsidR="00FD61EC">
        <w:rPr>
          <w:rFonts w:ascii="Times New Roman" w:hAnsi="Times New Roman" w:cs="Times New Roman"/>
          <w:sz w:val="24"/>
          <w:szCs w:val="24"/>
        </w:rPr>
        <w:tab/>
      </w:r>
      <w:r>
        <w:rPr>
          <w:rFonts w:ascii="Times New Roman" w:hAnsi="Times New Roman" w:cs="Times New Roman"/>
          <w:sz w:val="24"/>
          <w:szCs w:val="24"/>
        </w:rPr>
        <w:t>Statistics South Africa</w:t>
      </w:r>
    </w:p>
    <w:p w14:paraId="1EA42F13" w14:textId="3864FEC2" w:rsidR="005A1C81" w:rsidRDefault="007547C4" w:rsidP="007547C4">
      <w:pPr>
        <w:rPr>
          <w:rFonts w:ascii="Times New Roman" w:hAnsi="Times New Roman" w:cs="Times New Roman"/>
          <w:sz w:val="24"/>
          <w:szCs w:val="24"/>
        </w:rPr>
      </w:pPr>
      <w:r w:rsidRPr="00136B78">
        <w:rPr>
          <w:rFonts w:ascii="Times New Roman" w:hAnsi="Times New Roman" w:cs="Times New Roman"/>
          <w:sz w:val="24"/>
          <w:szCs w:val="24"/>
        </w:rPr>
        <w:t>ST</w:t>
      </w:r>
      <w:r w:rsidRPr="00136B78">
        <w:rPr>
          <w:rFonts w:ascii="Times New Roman" w:hAnsi="Times New Roman" w:cs="Times New Roman"/>
          <w:sz w:val="24"/>
          <w:szCs w:val="24"/>
        </w:rPr>
        <w:tab/>
      </w:r>
      <w:r w:rsidR="00FD61EC">
        <w:rPr>
          <w:rFonts w:ascii="Times New Roman" w:hAnsi="Times New Roman" w:cs="Times New Roman"/>
          <w:sz w:val="24"/>
          <w:szCs w:val="24"/>
        </w:rPr>
        <w:tab/>
      </w:r>
      <w:r w:rsidRPr="00136B78">
        <w:rPr>
          <w:rFonts w:ascii="Times New Roman" w:hAnsi="Times New Roman" w:cs="Times New Roman"/>
          <w:sz w:val="24"/>
          <w:szCs w:val="24"/>
        </w:rPr>
        <w:t xml:space="preserve">Supply </w:t>
      </w:r>
      <w:r w:rsidR="00391353">
        <w:rPr>
          <w:rFonts w:ascii="Times New Roman" w:hAnsi="Times New Roman" w:cs="Times New Roman"/>
          <w:sz w:val="24"/>
          <w:szCs w:val="24"/>
        </w:rPr>
        <w:t>T</w:t>
      </w:r>
      <w:r w:rsidRPr="00136B78">
        <w:rPr>
          <w:rFonts w:ascii="Times New Roman" w:hAnsi="Times New Roman" w:cs="Times New Roman"/>
          <w:sz w:val="24"/>
          <w:szCs w:val="24"/>
        </w:rPr>
        <w:t xml:space="preserve">able </w:t>
      </w:r>
    </w:p>
    <w:p w14:paraId="3707315C" w14:textId="158E2B33" w:rsidR="005A1C81" w:rsidRDefault="005A1C81" w:rsidP="007547C4">
      <w:pPr>
        <w:rPr>
          <w:rFonts w:ascii="Times New Roman" w:hAnsi="Times New Roman" w:cs="Times New Roman"/>
          <w:sz w:val="24"/>
          <w:szCs w:val="24"/>
        </w:rPr>
      </w:pPr>
      <w:r>
        <w:rPr>
          <w:rFonts w:ascii="Times New Roman" w:hAnsi="Times New Roman" w:cs="Times New Roman"/>
          <w:sz w:val="24"/>
          <w:szCs w:val="24"/>
        </w:rPr>
        <w:t>SUT</w:t>
      </w:r>
      <w:r>
        <w:rPr>
          <w:rFonts w:ascii="Times New Roman" w:hAnsi="Times New Roman" w:cs="Times New Roman"/>
          <w:sz w:val="24"/>
          <w:szCs w:val="24"/>
        </w:rPr>
        <w:tab/>
      </w:r>
      <w:r w:rsidR="00FD61EC">
        <w:rPr>
          <w:rFonts w:ascii="Times New Roman" w:hAnsi="Times New Roman" w:cs="Times New Roman"/>
          <w:sz w:val="24"/>
          <w:szCs w:val="24"/>
        </w:rPr>
        <w:tab/>
      </w:r>
      <w:r>
        <w:rPr>
          <w:rFonts w:ascii="Times New Roman" w:hAnsi="Times New Roman" w:cs="Times New Roman"/>
          <w:sz w:val="24"/>
          <w:szCs w:val="24"/>
        </w:rPr>
        <w:t>Supply-Use Table</w:t>
      </w:r>
    </w:p>
    <w:p w14:paraId="02E890BB" w14:textId="386224BE" w:rsidR="00FD61EC" w:rsidRDefault="00FD61EC" w:rsidP="00FD61EC">
      <w:pPr>
        <w:ind w:left="1440" w:hanging="1440"/>
        <w:rPr>
          <w:rFonts w:ascii="Times New Roman" w:hAnsi="Times New Roman" w:cs="Times New Roman"/>
          <w:sz w:val="24"/>
          <w:szCs w:val="24"/>
        </w:rPr>
      </w:pPr>
      <w:r>
        <w:rPr>
          <w:rFonts w:ascii="Times New Roman" w:hAnsi="Times New Roman" w:cs="Times New Roman"/>
          <w:sz w:val="24"/>
          <w:szCs w:val="24"/>
        </w:rPr>
        <w:t>SUTSAM</w:t>
      </w:r>
      <w:r>
        <w:rPr>
          <w:rFonts w:ascii="Times New Roman" w:hAnsi="Times New Roman" w:cs="Times New Roman"/>
          <w:sz w:val="24"/>
          <w:szCs w:val="24"/>
        </w:rPr>
        <w:tab/>
        <w:t xml:space="preserve">Supply-Use Table Social Accounting Matrix,  a SAM with a single household </w:t>
      </w:r>
      <w:r>
        <w:rPr>
          <w:rFonts w:ascii="Times New Roman" w:hAnsi="Times New Roman" w:cs="Times New Roman"/>
          <w:sz w:val="24"/>
          <w:szCs w:val="24"/>
        </w:rPr>
        <w:br/>
        <w:t>and single labour type</w:t>
      </w:r>
    </w:p>
    <w:p w14:paraId="77A3151B" w14:textId="4607B376" w:rsidR="00391353" w:rsidRPr="00136B78" w:rsidRDefault="00391353" w:rsidP="007547C4">
      <w:pPr>
        <w:rPr>
          <w:rFonts w:ascii="Times New Roman" w:hAnsi="Times New Roman" w:cs="Times New Roman"/>
          <w:sz w:val="24"/>
          <w:szCs w:val="24"/>
        </w:rPr>
      </w:pPr>
      <w:r>
        <w:rPr>
          <w:rFonts w:ascii="Times New Roman" w:hAnsi="Times New Roman" w:cs="Times New Roman"/>
          <w:sz w:val="24"/>
          <w:szCs w:val="24"/>
        </w:rPr>
        <w:t>UT</w:t>
      </w:r>
      <w:r>
        <w:rPr>
          <w:rFonts w:ascii="Times New Roman" w:hAnsi="Times New Roman" w:cs="Times New Roman"/>
          <w:sz w:val="24"/>
          <w:szCs w:val="24"/>
        </w:rPr>
        <w:tab/>
      </w:r>
      <w:r w:rsidR="00FD61EC">
        <w:rPr>
          <w:rFonts w:ascii="Times New Roman" w:hAnsi="Times New Roman" w:cs="Times New Roman"/>
          <w:sz w:val="24"/>
          <w:szCs w:val="24"/>
        </w:rPr>
        <w:tab/>
      </w:r>
      <w:r>
        <w:rPr>
          <w:rFonts w:ascii="Times New Roman" w:hAnsi="Times New Roman" w:cs="Times New Roman"/>
          <w:sz w:val="24"/>
          <w:szCs w:val="24"/>
        </w:rPr>
        <w:t>Use Table</w:t>
      </w:r>
    </w:p>
    <w:p w14:paraId="49DC8DB1" w14:textId="64B45A21" w:rsidR="007547C4" w:rsidRPr="00136B78" w:rsidRDefault="007547C4" w:rsidP="007547C4">
      <w:pPr>
        <w:jc w:val="both"/>
        <w:rPr>
          <w:rFonts w:ascii="Times New Roman" w:hAnsi="Times New Roman" w:cs="Times New Roman"/>
          <w:sz w:val="24"/>
          <w:szCs w:val="24"/>
        </w:rPr>
      </w:pPr>
      <w:r w:rsidRPr="00136B78">
        <w:rPr>
          <w:rFonts w:ascii="Times New Roman" w:hAnsi="Times New Roman" w:cs="Times New Roman"/>
          <w:sz w:val="24"/>
          <w:szCs w:val="24"/>
        </w:rPr>
        <w:t xml:space="preserve">This </w:t>
      </w:r>
      <w:r w:rsidR="00750731">
        <w:rPr>
          <w:rFonts w:ascii="Times New Roman" w:hAnsi="Times New Roman" w:cs="Times New Roman"/>
          <w:sz w:val="24"/>
          <w:szCs w:val="24"/>
        </w:rPr>
        <w:t>appendix</w:t>
      </w:r>
      <w:r w:rsidRPr="00136B78">
        <w:rPr>
          <w:rFonts w:ascii="Times New Roman" w:hAnsi="Times New Roman" w:cs="Times New Roman"/>
          <w:sz w:val="24"/>
          <w:szCs w:val="24"/>
        </w:rPr>
        <w:t xml:space="preserve"> outlines the construction of a </w:t>
      </w:r>
      <w:r w:rsidR="00750731">
        <w:rPr>
          <w:rFonts w:ascii="Times New Roman" w:hAnsi="Times New Roman" w:cs="Times New Roman"/>
          <w:sz w:val="24"/>
          <w:szCs w:val="24"/>
        </w:rPr>
        <w:t xml:space="preserve">provisional </w:t>
      </w:r>
      <w:r w:rsidR="00B63F81">
        <w:rPr>
          <w:rFonts w:ascii="Times New Roman" w:hAnsi="Times New Roman" w:cs="Times New Roman"/>
          <w:sz w:val="24"/>
          <w:szCs w:val="24"/>
        </w:rPr>
        <w:t>201</w:t>
      </w:r>
      <w:r w:rsidR="00750731">
        <w:rPr>
          <w:rFonts w:ascii="Times New Roman" w:hAnsi="Times New Roman" w:cs="Times New Roman"/>
          <w:sz w:val="24"/>
          <w:szCs w:val="24"/>
        </w:rPr>
        <w:t>9</w:t>
      </w:r>
      <w:r w:rsidR="00536F91" w:rsidRPr="00136B78">
        <w:rPr>
          <w:rFonts w:ascii="Times New Roman" w:hAnsi="Times New Roman" w:cs="Times New Roman"/>
          <w:sz w:val="24"/>
          <w:szCs w:val="24"/>
        </w:rPr>
        <w:t xml:space="preserve"> S</w:t>
      </w:r>
      <w:r w:rsidRPr="00136B78">
        <w:rPr>
          <w:rFonts w:ascii="Times New Roman" w:hAnsi="Times New Roman" w:cs="Times New Roman"/>
          <w:sz w:val="24"/>
          <w:szCs w:val="24"/>
        </w:rPr>
        <w:t xml:space="preserve">ocial </w:t>
      </w:r>
      <w:r w:rsidR="00536F91" w:rsidRPr="00136B78">
        <w:rPr>
          <w:rFonts w:ascii="Times New Roman" w:hAnsi="Times New Roman" w:cs="Times New Roman"/>
          <w:sz w:val="24"/>
          <w:szCs w:val="24"/>
        </w:rPr>
        <w:t>A</w:t>
      </w:r>
      <w:r w:rsidRPr="00136B78">
        <w:rPr>
          <w:rFonts w:ascii="Times New Roman" w:hAnsi="Times New Roman" w:cs="Times New Roman"/>
          <w:sz w:val="24"/>
          <w:szCs w:val="24"/>
        </w:rPr>
        <w:t xml:space="preserve">ccounting </w:t>
      </w:r>
      <w:r w:rsidR="00536F91" w:rsidRPr="00136B78">
        <w:rPr>
          <w:rFonts w:ascii="Times New Roman" w:hAnsi="Times New Roman" w:cs="Times New Roman"/>
          <w:sz w:val="24"/>
          <w:szCs w:val="24"/>
        </w:rPr>
        <w:t xml:space="preserve">Matrix </w:t>
      </w:r>
      <w:r w:rsidRPr="00136B78">
        <w:rPr>
          <w:rFonts w:ascii="Times New Roman" w:hAnsi="Times New Roman" w:cs="Times New Roman"/>
          <w:sz w:val="24"/>
          <w:szCs w:val="24"/>
        </w:rPr>
        <w:t xml:space="preserve">(SAM) for South Africa. A SAM is a consistent data framework that captures the information contained in the </w:t>
      </w:r>
      <w:r w:rsidR="00536F91" w:rsidRPr="00136B78">
        <w:rPr>
          <w:rFonts w:ascii="Times New Roman" w:hAnsi="Times New Roman" w:cs="Times New Roman"/>
          <w:sz w:val="24"/>
          <w:szCs w:val="24"/>
        </w:rPr>
        <w:t>N</w:t>
      </w:r>
      <w:r w:rsidRPr="00136B78">
        <w:rPr>
          <w:rFonts w:ascii="Times New Roman" w:hAnsi="Times New Roman" w:cs="Times New Roman"/>
          <w:sz w:val="24"/>
          <w:szCs w:val="24"/>
        </w:rPr>
        <w:t xml:space="preserve">ational </w:t>
      </w:r>
      <w:r w:rsidR="00536F91" w:rsidRPr="00136B78">
        <w:rPr>
          <w:rFonts w:ascii="Times New Roman" w:hAnsi="Times New Roman" w:cs="Times New Roman"/>
          <w:sz w:val="24"/>
          <w:szCs w:val="24"/>
        </w:rPr>
        <w:t>Accounts</w:t>
      </w:r>
      <w:r w:rsidR="0052661A">
        <w:rPr>
          <w:rFonts w:ascii="Times New Roman" w:hAnsi="Times New Roman" w:cs="Times New Roman"/>
          <w:sz w:val="24"/>
          <w:szCs w:val="24"/>
        </w:rPr>
        <w:t xml:space="preserve"> (</w:t>
      </w:r>
      <w:r w:rsidR="009E54D2">
        <w:rPr>
          <w:rFonts w:ascii="Times New Roman" w:hAnsi="Times New Roman" w:cs="Times New Roman"/>
          <w:sz w:val="24"/>
          <w:szCs w:val="24"/>
        </w:rPr>
        <w:t xml:space="preserve">NA, </w:t>
      </w:r>
      <w:r w:rsidR="0052661A">
        <w:rPr>
          <w:rFonts w:ascii="Times New Roman" w:hAnsi="Times New Roman" w:cs="Times New Roman"/>
          <w:sz w:val="24"/>
          <w:szCs w:val="24"/>
        </w:rPr>
        <w:t>SARB, 20</w:t>
      </w:r>
      <w:r w:rsidR="00750731">
        <w:rPr>
          <w:rFonts w:ascii="Times New Roman" w:hAnsi="Times New Roman" w:cs="Times New Roman"/>
          <w:sz w:val="24"/>
          <w:szCs w:val="24"/>
        </w:rPr>
        <w:t>20</w:t>
      </w:r>
      <w:r w:rsidR="0052661A">
        <w:rPr>
          <w:rFonts w:ascii="Times New Roman" w:hAnsi="Times New Roman" w:cs="Times New Roman"/>
          <w:sz w:val="24"/>
          <w:szCs w:val="24"/>
        </w:rPr>
        <w:t>)</w:t>
      </w:r>
      <w:r w:rsidR="00536F91" w:rsidRPr="00136B78">
        <w:rPr>
          <w:rFonts w:ascii="Times New Roman" w:hAnsi="Times New Roman" w:cs="Times New Roman"/>
          <w:sz w:val="24"/>
          <w:szCs w:val="24"/>
        </w:rPr>
        <w:t xml:space="preserve">, </w:t>
      </w:r>
      <w:r w:rsidR="00E60228">
        <w:rPr>
          <w:rFonts w:ascii="Times New Roman" w:hAnsi="Times New Roman" w:cs="Times New Roman"/>
          <w:sz w:val="24"/>
          <w:szCs w:val="24"/>
        </w:rPr>
        <w:t>a</w:t>
      </w:r>
      <w:r w:rsidR="00536F91" w:rsidRPr="00136B78">
        <w:rPr>
          <w:rFonts w:ascii="Times New Roman" w:hAnsi="Times New Roman" w:cs="Times New Roman"/>
          <w:sz w:val="24"/>
          <w:szCs w:val="24"/>
        </w:rPr>
        <w:t xml:space="preserve"> S</w:t>
      </w:r>
      <w:r w:rsidRPr="00136B78">
        <w:rPr>
          <w:rFonts w:ascii="Times New Roman" w:hAnsi="Times New Roman" w:cs="Times New Roman"/>
          <w:sz w:val="24"/>
          <w:szCs w:val="24"/>
        </w:rPr>
        <w:t>upply</w:t>
      </w:r>
      <w:r w:rsidR="00536F91" w:rsidRPr="00136B78">
        <w:rPr>
          <w:rFonts w:ascii="Times New Roman" w:hAnsi="Times New Roman" w:cs="Times New Roman"/>
          <w:sz w:val="24"/>
          <w:szCs w:val="24"/>
        </w:rPr>
        <w:t xml:space="preserve"> Table (ST) and </w:t>
      </w:r>
      <w:r w:rsidR="00E60228">
        <w:rPr>
          <w:rFonts w:ascii="Times New Roman" w:hAnsi="Times New Roman" w:cs="Times New Roman"/>
          <w:sz w:val="24"/>
          <w:szCs w:val="24"/>
        </w:rPr>
        <w:t>a</w:t>
      </w:r>
      <w:r w:rsidR="00536F91" w:rsidRPr="00136B78">
        <w:rPr>
          <w:rFonts w:ascii="Times New Roman" w:hAnsi="Times New Roman" w:cs="Times New Roman"/>
          <w:sz w:val="24"/>
          <w:szCs w:val="24"/>
        </w:rPr>
        <w:t xml:space="preserve"> U</w:t>
      </w:r>
      <w:r w:rsidRPr="00136B78">
        <w:rPr>
          <w:rFonts w:ascii="Times New Roman" w:hAnsi="Times New Roman" w:cs="Times New Roman"/>
          <w:sz w:val="24"/>
          <w:szCs w:val="24"/>
        </w:rPr>
        <w:t xml:space="preserve">se </w:t>
      </w:r>
      <w:r w:rsidR="00536F91" w:rsidRPr="00136B78">
        <w:rPr>
          <w:rFonts w:ascii="Times New Roman" w:hAnsi="Times New Roman" w:cs="Times New Roman"/>
          <w:sz w:val="24"/>
          <w:szCs w:val="24"/>
        </w:rPr>
        <w:t>Table (</w:t>
      </w:r>
      <w:r w:rsidRPr="00136B78">
        <w:rPr>
          <w:rFonts w:ascii="Times New Roman" w:hAnsi="Times New Roman" w:cs="Times New Roman"/>
          <w:sz w:val="24"/>
          <w:szCs w:val="24"/>
        </w:rPr>
        <w:t>UT)</w:t>
      </w:r>
      <w:r w:rsidR="0052661A">
        <w:rPr>
          <w:rFonts w:ascii="Times New Roman" w:hAnsi="Times New Roman" w:cs="Times New Roman"/>
          <w:sz w:val="24"/>
          <w:szCs w:val="24"/>
        </w:rPr>
        <w:t xml:space="preserve"> (SSA, 20</w:t>
      </w:r>
      <w:r w:rsidR="00750731">
        <w:rPr>
          <w:rFonts w:ascii="Times New Roman" w:hAnsi="Times New Roman" w:cs="Times New Roman"/>
          <w:sz w:val="24"/>
          <w:szCs w:val="24"/>
        </w:rPr>
        <w:t>20</w:t>
      </w:r>
      <w:r w:rsidR="0052661A">
        <w:rPr>
          <w:rFonts w:ascii="Times New Roman" w:hAnsi="Times New Roman" w:cs="Times New Roman"/>
          <w:sz w:val="24"/>
          <w:szCs w:val="24"/>
        </w:rPr>
        <w:t>)</w:t>
      </w:r>
      <w:r w:rsidRPr="00136B78">
        <w:rPr>
          <w:rFonts w:ascii="Times New Roman" w:hAnsi="Times New Roman" w:cs="Times New Roman"/>
          <w:sz w:val="24"/>
          <w:szCs w:val="24"/>
        </w:rPr>
        <w:t xml:space="preserve">, as well as the monetary flows between institutions. A SAM is an ex-post accounting framework </w:t>
      </w:r>
      <w:r w:rsidR="001E4562">
        <w:rPr>
          <w:rFonts w:ascii="Times New Roman" w:hAnsi="Times New Roman" w:cs="Times New Roman"/>
          <w:sz w:val="24"/>
          <w:szCs w:val="24"/>
        </w:rPr>
        <w:t>in that</w:t>
      </w:r>
      <w:r w:rsidRPr="00136B78">
        <w:rPr>
          <w:rFonts w:ascii="Times New Roman" w:hAnsi="Times New Roman" w:cs="Times New Roman"/>
          <w:sz w:val="24"/>
          <w:szCs w:val="24"/>
        </w:rPr>
        <w:t xml:space="preserve"> within its square </w:t>
      </w:r>
      <w:r w:rsidR="00E60228">
        <w:rPr>
          <w:rFonts w:ascii="Times New Roman" w:hAnsi="Times New Roman" w:cs="Times New Roman"/>
          <w:sz w:val="24"/>
          <w:szCs w:val="24"/>
        </w:rPr>
        <w:t>format</w:t>
      </w:r>
      <w:r w:rsidRPr="00136B78">
        <w:rPr>
          <w:rFonts w:ascii="Times New Roman" w:hAnsi="Times New Roman" w:cs="Times New Roman"/>
          <w:sz w:val="24"/>
          <w:szCs w:val="24"/>
        </w:rPr>
        <w:t xml:space="preserve">, total receipts must equal total payments for each </w:t>
      </w:r>
      <w:r w:rsidR="00E60228">
        <w:rPr>
          <w:rFonts w:ascii="Times New Roman" w:hAnsi="Times New Roman" w:cs="Times New Roman"/>
          <w:sz w:val="24"/>
          <w:szCs w:val="24"/>
        </w:rPr>
        <w:t xml:space="preserve">of its </w:t>
      </w:r>
      <w:r w:rsidRPr="00136B78">
        <w:rPr>
          <w:rFonts w:ascii="Times New Roman" w:hAnsi="Times New Roman" w:cs="Times New Roman"/>
          <w:sz w:val="24"/>
          <w:szCs w:val="24"/>
        </w:rPr>
        <w:t>account</w:t>
      </w:r>
      <w:r w:rsidR="00E60228">
        <w:rPr>
          <w:rFonts w:ascii="Times New Roman" w:hAnsi="Times New Roman" w:cs="Times New Roman"/>
          <w:sz w:val="24"/>
          <w:szCs w:val="24"/>
        </w:rPr>
        <w:t>s</w:t>
      </w:r>
      <w:r w:rsidRPr="00136B78">
        <w:rPr>
          <w:rFonts w:ascii="Times New Roman" w:hAnsi="Times New Roman" w:cs="Times New Roman"/>
          <w:sz w:val="24"/>
          <w:szCs w:val="24"/>
        </w:rPr>
        <w:t xml:space="preserve">. Since the required data is not drawn from a single source, information </w:t>
      </w:r>
      <w:r w:rsidR="00E60228">
        <w:rPr>
          <w:rFonts w:ascii="Times New Roman" w:hAnsi="Times New Roman" w:cs="Times New Roman"/>
          <w:sz w:val="24"/>
          <w:szCs w:val="24"/>
        </w:rPr>
        <w:t xml:space="preserve">is </w:t>
      </w:r>
      <w:r w:rsidR="00536F91" w:rsidRPr="00136B78">
        <w:rPr>
          <w:rFonts w:ascii="Times New Roman" w:hAnsi="Times New Roman" w:cs="Times New Roman"/>
          <w:sz w:val="24"/>
          <w:szCs w:val="24"/>
        </w:rPr>
        <w:t>manipulated</w:t>
      </w:r>
      <w:r w:rsidRPr="00136B78">
        <w:rPr>
          <w:rFonts w:ascii="Times New Roman" w:hAnsi="Times New Roman" w:cs="Times New Roman"/>
          <w:sz w:val="24"/>
          <w:szCs w:val="24"/>
        </w:rPr>
        <w:t xml:space="preserve"> </w:t>
      </w:r>
      <w:r w:rsidR="00536F91" w:rsidRPr="00136B78">
        <w:rPr>
          <w:rFonts w:ascii="Times New Roman" w:hAnsi="Times New Roman" w:cs="Times New Roman"/>
          <w:sz w:val="24"/>
          <w:szCs w:val="24"/>
        </w:rPr>
        <w:t xml:space="preserve">in order to make it internally </w:t>
      </w:r>
      <w:r w:rsidRPr="00136B78">
        <w:rPr>
          <w:rFonts w:ascii="Times New Roman" w:hAnsi="Times New Roman" w:cs="Times New Roman"/>
          <w:sz w:val="24"/>
          <w:szCs w:val="24"/>
        </w:rPr>
        <w:t xml:space="preserve">consistent. SAMs are economy-wide databases </w:t>
      </w:r>
      <w:r w:rsidR="00E60228">
        <w:rPr>
          <w:rFonts w:ascii="Times New Roman" w:hAnsi="Times New Roman" w:cs="Times New Roman"/>
          <w:sz w:val="24"/>
          <w:szCs w:val="24"/>
        </w:rPr>
        <w:t>that</w:t>
      </w:r>
      <w:r w:rsidRPr="00136B78">
        <w:rPr>
          <w:rFonts w:ascii="Times New Roman" w:hAnsi="Times New Roman" w:cs="Times New Roman"/>
          <w:sz w:val="24"/>
          <w:szCs w:val="24"/>
        </w:rPr>
        <w:t xml:space="preserve"> are used in conjunction with analytical techniques to strengthen the evidence underlying policy decisions. </w:t>
      </w:r>
    </w:p>
    <w:p w14:paraId="111BCF89" w14:textId="3AEF9D19" w:rsidR="007547C4" w:rsidRPr="00136B78" w:rsidRDefault="007547C4" w:rsidP="007547C4">
      <w:pPr>
        <w:jc w:val="both"/>
        <w:rPr>
          <w:rFonts w:ascii="Times New Roman" w:hAnsi="Times New Roman" w:cs="Times New Roman"/>
          <w:sz w:val="24"/>
          <w:szCs w:val="24"/>
        </w:rPr>
      </w:pPr>
      <w:r w:rsidRPr="00136B78">
        <w:rPr>
          <w:rFonts w:ascii="Times New Roman" w:hAnsi="Times New Roman" w:cs="Times New Roman"/>
          <w:sz w:val="24"/>
          <w:szCs w:val="24"/>
        </w:rPr>
        <w:t xml:space="preserve">A SAM is an economy-wide data framework that usually represents the real economy of a single country.  More technically, </w:t>
      </w:r>
      <w:r w:rsidR="00750731">
        <w:rPr>
          <w:rFonts w:ascii="Times New Roman" w:hAnsi="Times New Roman" w:cs="Times New Roman"/>
          <w:sz w:val="24"/>
          <w:szCs w:val="24"/>
        </w:rPr>
        <w:t xml:space="preserve">a </w:t>
      </w:r>
      <w:r w:rsidRPr="00136B78">
        <w:rPr>
          <w:rFonts w:ascii="Times New Roman" w:hAnsi="Times New Roman" w:cs="Times New Roman"/>
          <w:sz w:val="24"/>
          <w:szCs w:val="24"/>
        </w:rPr>
        <w:t xml:space="preserve">SAM is a square matrix in which </w:t>
      </w:r>
      <w:r w:rsidR="001E4562">
        <w:rPr>
          <w:rFonts w:ascii="Times New Roman" w:hAnsi="Times New Roman" w:cs="Times New Roman"/>
          <w:sz w:val="24"/>
          <w:szCs w:val="24"/>
        </w:rPr>
        <w:t xml:space="preserve">single entry bookkeeping is undertaken for a set of accounts that represent various economic agents such as productive activities, commodities, factors of production and a range of institutions such as households, </w:t>
      </w:r>
      <w:r w:rsidR="001E4562">
        <w:rPr>
          <w:rFonts w:ascii="Times New Roman" w:hAnsi="Times New Roman" w:cs="Times New Roman"/>
          <w:sz w:val="24"/>
          <w:szCs w:val="24"/>
        </w:rPr>
        <w:lastRenderedPageBreak/>
        <w:t xml:space="preserve">government and the rest of the world. </w:t>
      </w:r>
      <w:r w:rsidR="003E547B">
        <w:rPr>
          <w:rFonts w:ascii="Times New Roman" w:hAnsi="Times New Roman" w:cs="Times New Roman"/>
          <w:sz w:val="24"/>
          <w:szCs w:val="24"/>
        </w:rPr>
        <w:t>E</w:t>
      </w:r>
      <w:r w:rsidRPr="00136B78">
        <w:rPr>
          <w:rFonts w:ascii="Times New Roman" w:hAnsi="Times New Roman" w:cs="Times New Roman"/>
          <w:sz w:val="24"/>
          <w:szCs w:val="24"/>
        </w:rPr>
        <w:t xml:space="preserve">ach account is represented by a row and </w:t>
      </w:r>
      <w:r w:rsidR="00044331">
        <w:rPr>
          <w:rFonts w:ascii="Times New Roman" w:hAnsi="Times New Roman" w:cs="Times New Roman"/>
          <w:sz w:val="24"/>
          <w:szCs w:val="24"/>
        </w:rPr>
        <w:t xml:space="preserve">a matching </w:t>
      </w:r>
      <w:r w:rsidRPr="00136B78">
        <w:rPr>
          <w:rFonts w:ascii="Times New Roman" w:hAnsi="Times New Roman" w:cs="Times New Roman"/>
          <w:sz w:val="24"/>
          <w:szCs w:val="24"/>
        </w:rPr>
        <w:t xml:space="preserve">column. Each cell shows the payment from the account of its column to the account of its row – the incomes of an account appear along its row, its expenditures </w:t>
      </w:r>
      <w:r w:rsidR="00044331">
        <w:rPr>
          <w:rFonts w:ascii="Times New Roman" w:hAnsi="Times New Roman" w:cs="Times New Roman"/>
          <w:sz w:val="24"/>
          <w:szCs w:val="24"/>
        </w:rPr>
        <w:t>down</w:t>
      </w:r>
      <w:r w:rsidRPr="00136B78">
        <w:rPr>
          <w:rFonts w:ascii="Times New Roman" w:hAnsi="Times New Roman" w:cs="Times New Roman"/>
          <w:sz w:val="24"/>
          <w:szCs w:val="24"/>
        </w:rPr>
        <w:t xml:space="preserve"> its column. The </w:t>
      </w:r>
      <w:r w:rsidR="003E547B">
        <w:rPr>
          <w:rFonts w:ascii="Times New Roman" w:hAnsi="Times New Roman" w:cs="Times New Roman"/>
          <w:sz w:val="24"/>
          <w:szCs w:val="24"/>
        </w:rPr>
        <w:t xml:space="preserve">same </w:t>
      </w:r>
      <w:r w:rsidRPr="00136B78">
        <w:rPr>
          <w:rFonts w:ascii="Times New Roman" w:hAnsi="Times New Roman" w:cs="Times New Roman"/>
          <w:sz w:val="24"/>
          <w:szCs w:val="24"/>
        </w:rPr>
        <w:t xml:space="preserve">underlying principle of double-entry accounting </w:t>
      </w:r>
      <w:r w:rsidR="003E547B">
        <w:rPr>
          <w:rFonts w:ascii="Times New Roman" w:hAnsi="Times New Roman" w:cs="Times New Roman"/>
          <w:sz w:val="24"/>
          <w:szCs w:val="24"/>
        </w:rPr>
        <w:t xml:space="preserve">are applied and in the SAM they </w:t>
      </w:r>
      <w:r w:rsidRPr="00136B78">
        <w:rPr>
          <w:rFonts w:ascii="Times New Roman" w:hAnsi="Times New Roman" w:cs="Times New Roman"/>
          <w:sz w:val="24"/>
          <w:szCs w:val="24"/>
        </w:rPr>
        <w:t xml:space="preserve">require that, for each account in the SAM, total revenue (row total) equals total expenditure (column total). Table 1 shows an aggregate SAM </w:t>
      </w:r>
      <w:r w:rsidR="00C52D1E" w:rsidRPr="00136B78">
        <w:rPr>
          <w:rFonts w:ascii="Times New Roman" w:hAnsi="Times New Roman" w:cs="Times New Roman"/>
          <w:sz w:val="24"/>
          <w:szCs w:val="24"/>
        </w:rPr>
        <w:t xml:space="preserve">for South Africa </w:t>
      </w:r>
      <w:r w:rsidRPr="00136B78">
        <w:rPr>
          <w:rFonts w:ascii="Times New Roman" w:hAnsi="Times New Roman" w:cs="Times New Roman"/>
          <w:sz w:val="24"/>
          <w:szCs w:val="24"/>
        </w:rPr>
        <w:t xml:space="preserve">(with verbal explanations in place of numbers). </w:t>
      </w:r>
    </w:p>
    <w:p w14:paraId="4CCF2B29" w14:textId="3961B31A" w:rsidR="00E6588E" w:rsidRPr="00136B78" w:rsidRDefault="00E6588E" w:rsidP="00E6588E">
      <w:pPr>
        <w:jc w:val="both"/>
        <w:rPr>
          <w:rFonts w:ascii="Times New Roman" w:hAnsi="Times New Roman" w:cs="Times New Roman"/>
          <w:sz w:val="24"/>
          <w:szCs w:val="24"/>
        </w:rPr>
      </w:pPr>
      <w:r w:rsidRPr="00136B78">
        <w:rPr>
          <w:rFonts w:ascii="Times New Roman" w:hAnsi="Times New Roman" w:cs="Times New Roman"/>
          <w:sz w:val="24"/>
          <w:szCs w:val="24"/>
        </w:rPr>
        <w:t xml:space="preserve">The first step in constructing the </w:t>
      </w:r>
      <w:r>
        <w:rPr>
          <w:rFonts w:ascii="Times New Roman" w:hAnsi="Times New Roman" w:cs="Times New Roman"/>
          <w:sz w:val="24"/>
          <w:szCs w:val="24"/>
        </w:rPr>
        <w:t xml:space="preserve">provisional 2019 SAM is consolidating NA data for 2019 (SARB, 2020) </w:t>
      </w:r>
      <w:r w:rsidRPr="00136B78">
        <w:rPr>
          <w:rFonts w:ascii="Times New Roman" w:hAnsi="Times New Roman" w:cs="Times New Roman"/>
          <w:sz w:val="24"/>
          <w:szCs w:val="24"/>
        </w:rPr>
        <w:t xml:space="preserve">and </w:t>
      </w:r>
      <w:proofErr w:type="spellStart"/>
      <w:r w:rsidRPr="00136B78">
        <w:rPr>
          <w:rFonts w:ascii="Times New Roman" w:hAnsi="Times New Roman" w:cs="Times New Roman"/>
          <w:sz w:val="24"/>
          <w:szCs w:val="24"/>
        </w:rPr>
        <w:t>StatsSA’s</w:t>
      </w:r>
      <w:proofErr w:type="spellEnd"/>
      <w:r w:rsidRPr="00136B78">
        <w:rPr>
          <w:rFonts w:ascii="Times New Roman" w:hAnsi="Times New Roman" w:cs="Times New Roman"/>
          <w:sz w:val="24"/>
          <w:szCs w:val="24"/>
        </w:rPr>
        <w:t xml:space="preserve"> ST and UT </w:t>
      </w:r>
      <w:r>
        <w:rPr>
          <w:rFonts w:ascii="Times New Roman" w:hAnsi="Times New Roman" w:cs="Times New Roman"/>
          <w:sz w:val="24"/>
          <w:szCs w:val="24"/>
        </w:rPr>
        <w:t>(</w:t>
      </w:r>
      <w:proofErr w:type="spellStart"/>
      <w:r>
        <w:rPr>
          <w:rFonts w:ascii="Times New Roman" w:hAnsi="Times New Roman" w:cs="Times New Roman"/>
          <w:sz w:val="24"/>
          <w:szCs w:val="24"/>
        </w:rPr>
        <w:t>StatsSA</w:t>
      </w:r>
      <w:proofErr w:type="spellEnd"/>
      <w:r>
        <w:rPr>
          <w:rFonts w:ascii="Times New Roman" w:hAnsi="Times New Roman" w:cs="Times New Roman"/>
          <w:sz w:val="24"/>
          <w:szCs w:val="24"/>
        </w:rPr>
        <w:t>, 2020</w:t>
      </w:r>
      <w:r w:rsidR="007B5B84">
        <w:rPr>
          <w:rFonts w:ascii="Times New Roman" w:hAnsi="Times New Roman" w:cs="Times New Roman"/>
          <w:sz w:val="24"/>
          <w:szCs w:val="24"/>
        </w:rPr>
        <w:t>b</w:t>
      </w:r>
      <w:r>
        <w:rPr>
          <w:rFonts w:ascii="Times New Roman" w:hAnsi="Times New Roman" w:cs="Times New Roman"/>
          <w:sz w:val="24"/>
          <w:szCs w:val="24"/>
        </w:rPr>
        <w:t xml:space="preserve">) </w:t>
      </w:r>
      <w:r w:rsidRPr="00136B78">
        <w:rPr>
          <w:rFonts w:ascii="Times New Roman" w:hAnsi="Times New Roman" w:cs="Times New Roman"/>
          <w:sz w:val="24"/>
          <w:szCs w:val="24"/>
        </w:rPr>
        <w:t xml:space="preserve">data sources into a consistent SAM framework. This results in what </w:t>
      </w:r>
      <w:r>
        <w:rPr>
          <w:rFonts w:ascii="Times New Roman" w:hAnsi="Times New Roman" w:cs="Times New Roman"/>
          <w:sz w:val="24"/>
          <w:szCs w:val="24"/>
        </w:rPr>
        <w:t>can be</w:t>
      </w:r>
      <w:r w:rsidRPr="00136B78">
        <w:rPr>
          <w:rFonts w:ascii="Times New Roman" w:hAnsi="Times New Roman" w:cs="Times New Roman"/>
          <w:sz w:val="24"/>
          <w:szCs w:val="24"/>
        </w:rPr>
        <w:t xml:space="preserve"> label</w:t>
      </w:r>
      <w:r>
        <w:rPr>
          <w:rFonts w:ascii="Times New Roman" w:hAnsi="Times New Roman" w:cs="Times New Roman"/>
          <w:sz w:val="24"/>
          <w:szCs w:val="24"/>
        </w:rPr>
        <w:t>led</w:t>
      </w:r>
      <w:r w:rsidRPr="00136B78">
        <w:rPr>
          <w:rFonts w:ascii="Times New Roman" w:hAnsi="Times New Roman" w:cs="Times New Roman"/>
          <w:sz w:val="24"/>
          <w:szCs w:val="24"/>
        </w:rPr>
        <w:t xml:space="preserve"> the </w:t>
      </w:r>
      <w:r>
        <w:rPr>
          <w:rFonts w:ascii="Times New Roman" w:hAnsi="Times New Roman" w:cs="Times New Roman"/>
          <w:sz w:val="24"/>
          <w:szCs w:val="24"/>
        </w:rPr>
        <w:t>“</w:t>
      </w:r>
      <w:r w:rsidRPr="00136B78">
        <w:rPr>
          <w:rFonts w:ascii="Times New Roman" w:hAnsi="Times New Roman" w:cs="Times New Roman"/>
          <w:sz w:val="24"/>
          <w:szCs w:val="24"/>
        </w:rPr>
        <w:t>SUTSAM</w:t>
      </w:r>
      <w:r>
        <w:rPr>
          <w:rFonts w:ascii="Times New Roman" w:hAnsi="Times New Roman" w:cs="Times New Roman"/>
          <w:sz w:val="24"/>
          <w:szCs w:val="24"/>
        </w:rPr>
        <w:t>”</w:t>
      </w:r>
      <w:r w:rsidRPr="00136B78">
        <w:rPr>
          <w:rFonts w:ascii="Times New Roman" w:hAnsi="Times New Roman" w:cs="Times New Roman"/>
          <w:sz w:val="24"/>
          <w:szCs w:val="24"/>
        </w:rPr>
        <w:t xml:space="preserve"> </w:t>
      </w:r>
      <w:r>
        <w:rPr>
          <w:rFonts w:ascii="Times New Roman" w:hAnsi="Times New Roman" w:cs="Times New Roman"/>
          <w:sz w:val="24"/>
          <w:szCs w:val="24"/>
        </w:rPr>
        <w:t>since</w:t>
      </w:r>
      <w:r w:rsidRPr="00136B78">
        <w:rPr>
          <w:rFonts w:ascii="Times New Roman" w:hAnsi="Times New Roman" w:cs="Times New Roman"/>
          <w:sz w:val="24"/>
          <w:szCs w:val="24"/>
        </w:rPr>
        <w:t xml:space="preserve"> it only identifies a single type of labour and a single household. The second step draws on </w:t>
      </w:r>
      <w:r>
        <w:rPr>
          <w:rFonts w:ascii="Times New Roman" w:hAnsi="Times New Roman" w:cs="Times New Roman"/>
          <w:sz w:val="24"/>
          <w:szCs w:val="24"/>
        </w:rPr>
        <w:t xml:space="preserve">the latest available labour market and household income and expenditure </w:t>
      </w:r>
      <w:r w:rsidRPr="00136B78">
        <w:rPr>
          <w:rFonts w:ascii="Times New Roman" w:hAnsi="Times New Roman" w:cs="Times New Roman"/>
          <w:sz w:val="24"/>
          <w:szCs w:val="24"/>
        </w:rPr>
        <w:t xml:space="preserve">survey </w:t>
      </w:r>
      <w:r>
        <w:rPr>
          <w:rFonts w:ascii="Times New Roman" w:hAnsi="Times New Roman" w:cs="Times New Roman"/>
          <w:sz w:val="24"/>
          <w:szCs w:val="24"/>
        </w:rPr>
        <w:t xml:space="preserve">data </w:t>
      </w:r>
      <w:r w:rsidRPr="00136B78">
        <w:rPr>
          <w:rFonts w:ascii="Times New Roman" w:hAnsi="Times New Roman" w:cs="Times New Roman"/>
          <w:sz w:val="24"/>
          <w:szCs w:val="24"/>
        </w:rPr>
        <w:t>to disaggregate labour and household accounts of the SUTSAM</w:t>
      </w:r>
      <w:r>
        <w:rPr>
          <w:rFonts w:ascii="Times New Roman" w:hAnsi="Times New Roman" w:cs="Times New Roman"/>
          <w:sz w:val="24"/>
          <w:szCs w:val="24"/>
        </w:rPr>
        <w:t xml:space="preserve"> respectively </w:t>
      </w:r>
      <w:r w:rsidRPr="00136B78">
        <w:rPr>
          <w:rFonts w:ascii="Times New Roman" w:hAnsi="Times New Roman" w:cs="Times New Roman"/>
          <w:sz w:val="24"/>
          <w:szCs w:val="24"/>
        </w:rPr>
        <w:t xml:space="preserve">. </w:t>
      </w:r>
    </w:p>
    <w:p w14:paraId="5D5FE505" w14:textId="2FD80CE4" w:rsidR="00E6588E" w:rsidRDefault="00E6588E" w:rsidP="007547C4">
      <w:pPr>
        <w:jc w:val="both"/>
        <w:rPr>
          <w:rFonts w:ascii="Times New Roman" w:hAnsi="Times New Roman" w:cs="Times New Roman"/>
          <w:sz w:val="24"/>
          <w:szCs w:val="24"/>
        </w:rPr>
      </w:pPr>
      <w:r w:rsidRPr="00136B78">
        <w:rPr>
          <w:rFonts w:ascii="Times New Roman" w:hAnsi="Times New Roman" w:cs="Times New Roman"/>
          <w:sz w:val="24"/>
          <w:szCs w:val="24"/>
        </w:rPr>
        <w:t xml:space="preserve">The </w:t>
      </w:r>
      <w:r>
        <w:rPr>
          <w:rFonts w:ascii="Times New Roman" w:hAnsi="Times New Roman" w:cs="Times New Roman"/>
          <w:sz w:val="24"/>
          <w:szCs w:val="24"/>
        </w:rPr>
        <w:t xml:space="preserve">provisional 2019 </w:t>
      </w:r>
      <w:r w:rsidRPr="00136B78">
        <w:rPr>
          <w:rFonts w:ascii="Times New Roman" w:hAnsi="Times New Roman" w:cs="Times New Roman"/>
          <w:sz w:val="24"/>
          <w:szCs w:val="24"/>
        </w:rPr>
        <w:t xml:space="preserve">SAM distinguishes </w:t>
      </w:r>
      <w:r>
        <w:rPr>
          <w:rFonts w:ascii="Times New Roman" w:hAnsi="Times New Roman" w:cs="Times New Roman"/>
          <w:sz w:val="24"/>
          <w:szCs w:val="24"/>
        </w:rPr>
        <w:t xml:space="preserve">62 </w:t>
      </w:r>
      <w:r w:rsidRPr="00136B78">
        <w:rPr>
          <w:rFonts w:ascii="Times New Roman" w:hAnsi="Times New Roman" w:cs="Times New Roman"/>
          <w:sz w:val="24"/>
          <w:szCs w:val="24"/>
        </w:rPr>
        <w:t xml:space="preserve">‘activities’ (the entities that carry out production) and </w:t>
      </w:r>
      <w:r>
        <w:rPr>
          <w:rFonts w:ascii="Times New Roman" w:hAnsi="Times New Roman" w:cs="Times New Roman"/>
          <w:sz w:val="24"/>
          <w:szCs w:val="24"/>
        </w:rPr>
        <w:t>104</w:t>
      </w:r>
      <w:r w:rsidRPr="00136B78">
        <w:rPr>
          <w:rFonts w:ascii="Times New Roman" w:hAnsi="Times New Roman" w:cs="Times New Roman"/>
          <w:sz w:val="24"/>
          <w:szCs w:val="24"/>
        </w:rPr>
        <w:t xml:space="preserve">‘commodities’ (representing markets for goods and non-factor services). </w:t>
      </w:r>
      <w:r>
        <w:rPr>
          <w:rFonts w:ascii="Times New Roman" w:hAnsi="Times New Roman" w:cs="Times New Roman"/>
          <w:sz w:val="24"/>
          <w:szCs w:val="24"/>
        </w:rPr>
        <w:t xml:space="preserve">A list of activities and commodities as well as more detail on SAMs in general can be found in van Seventer et al, 2018. Labour market detail  is extracted from the 2018 Labour Market Dynamics data set (SSA, </w:t>
      </w:r>
      <w:r w:rsidR="0018361A">
        <w:rPr>
          <w:rFonts w:ascii="Times New Roman" w:hAnsi="Times New Roman" w:cs="Times New Roman"/>
          <w:sz w:val="24"/>
          <w:szCs w:val="24"/>
        </w:rPr>
        <w:t>2020)</w:t>
      </w:r>
      <w:r>
        <w:rPr>
          <w:rFonts w:ascii="Times New Roman" w:hAnsi="Times New Roman" w:cs="Times New Roman"/>
          <w:sz w:val="24"/>
          <w:szCs w:val="24"/>
        </w:rPr>
        <w:t xml:space="preserve"> </w:t>
      </w:r>
      <w:r w:rsidR="0018361A">
        <w:rPr>
          <w:rFonts w:ascii="Times New Roman" w:hAnsi="Times New Roman" w:cs="Times New Roman"/>
          <w:sz w:val="24"/>
          <w:szCs w:val="24"/>
        </w:rPr>
        <w:t>and disaggregates the single labour category of the SUTSAM into 4 categories by highest level of education attained. Household detail is derived from the 2015 Living Conditions Survey (SSA, 2017) and identifies expenditure deciles, with the highest household group split into five categories of 2%.</w:t>
      </w:r>
    </w:p>
    <w:p w14:paraId="72F58313" w14:textId="341494CF" w:rsidR="0018361A" w:rsidRPr="00136B78" w:rsidRDefault="0018361A" w:rsidP="007547C4">
      <w:pPr>
        <w:jc w:val="both"/>
        <w:rPr>
          <w:rFonts w:ascii="Times New Roman" w:hAnsi="Times New Roman" w:cs="Times New Roman"/>
          <w:sz w:val="24"/>
          <w:szCs w:val="24"/>
        </w:rPr>
        <w:sectPr w:rsidR="0018361A" w:rsidRPr="00136B78">
          <w:pgSz w:w="11906" w:h="16838"/>
          <w:pgMar w:top="1440" w:right="1440" w:bottom="1440" w:left="1440" w:header="708" w:footer="708" w:gutter="0"/>
          <w:cols w:space="708"/>
          <w:docGrid w:linePitch="360"/>
        </w:sectPr>
      </w:pPr>
    </w:p>
    <w:p w14:paraId="4FB2549B" w14:textId="2E4071B3" w:rsidR="00F0104E" w:rsidRPr="00136B78" w:rsidRDefault="00F0104E" w:rsidP="008D1ECC">
      <w:pPr>
        <w:spacing w:after="0"/>
        <w:jc w:val="both"/>
        <w:rPr>
          <w:rFonts w:ascii="Times New Roman" w:hAnsi="Times New Roman" w:cs="Times New Roman"/>
          <w:sz w:val="24"/>
          <w:szCs w:val="24"/>
        </w:rPr>
      </w:pPr>
      <w:r w:rsidRPr="00136B78">
        <w:rPr>
          <w:rFonts w:ascii="Times New Roman" w:hAnsi="Times New Roman" w:cs="Times New Roman"/>
          <w:sz w:val="24"/>
        </w:rPr>
        <w:lastRenderedPageBreak/>
        <w:t xml:space="preserve">Table 1: Basic structure of a </w:t>
      </w:r>
      <w:r w:rsidR="0011070A">
        <w:rPr>
          <w:rFonts w:ascii="Times New Roman" w:hAnsi="Times New Roman" w:cs="Times New Roman"/>
          <w:sz w:val="24"/>
        </w:rPr>
        <w:t xml:space="preserve">Provisional </w:t>
      </w:r>
      <w:r w:rsidR="00B63F81">
        <w:rPr>
          <w:rFonts w:ascii="Times New Roman" w:hAnsi="Times New Roman" w:cs="Times New Roman"/>
          <w:sz w:val="24"/>
        </w:rPr>
        <w:t>201</w:t>
      </w:r>
      <w:r w:rsidR="0011070A">
        <w:rPr>
          <w:rFonts w:ascii="Times New Roman" w:hAnsi="Times New Roman" w:cs="Times New Roman"/>
          <w:sz w:val="24"/>
        </w:rPr>
        <w:t>9</w:t>
      </w:r>
      <w:r w:rsidRPr="00136B78">
        <w:rPr>
          <w:rFonts w:ascii="Times New Roman" w:hAnsi="Times New Roman" w:cs="Times New Roman"/>
          <w:sz w:val="24"/>
        </w:rPr>
        <w:t xml:space="preserve"> SAM for South Africa</w:t>
      </w:r>
    </w:p>
    <w:tbl>
      <w:tblPr>
        <w:tblW w:w="0" w:type="auto"/>
        <w:tblLayout w:type="fixed"/>
        <w:tblLook w:val="04A0" w:firstRow="1" w:lastRow="0" w:firstColumn="1" w:lastColumn="0" w:noHBand="0" w:noVBand="1"/>
      </w:tblPr>
      <w:tblGrid>
        <w:gridCol w:w="936"/>
        <w:gridCol w:w="936"/>
        <w:gridCol w:w="936"/>
        <w:gridCol w:w="936"/>
        <w:gridCol w:w="936"/>
        <w:gridCol w:w="936"/>
        <w:gridCol w:w="936"/>
        <w:gridCol w:w="936"/>
        <w:gridCol w:w="936"/>
        <w:gridCol w:w="936"/>
        <w:gridCol w:w="936"/>
        <w:gridCol w:w="936"/>
        <w:gridCol w:w="936"/>
        <w:gridCol w:w="936"/>
        <w:gridCol w:w="936"/>
        <w:gridCol w:w="936"/>
      </w:tblGrid>
      <w:tr w:rsidR="00F0104E" w:rsidRPr="00136B78" w14:paraId="335B1E27" w14:textId="77777777" w:rsidTr="00430798">
        <w:trPr>
          <w:trHeight w:val="20"/>
        </w:trPr>
        <w:tc>
          <w:tcPr>
            <w:tcW w:w="936" w:type="dxa"/>
            <w:tcBorders>
              <w:top w:val="single" w:sz="4" w:space="0" w:color="auto"/>
              <w:left w:val="single" w:sz="4" w:space="0" w:color="auto"/>
              <w:bottom w:val="single" w:sz="4" w:space="0" w:color="auto"/>
              <w:right w:val="single" w:sz="4" w:space="0" w:color="auto"/>
            </w:tcBorders>
            <w:shd w:val="clear" w:color="000000" w:fill="C0C0C0"/>
            <w:noWrap/>
            <w:tcMar>
              <w:left w:w="0" w:type="dxa"/>
              <w:right w:w="0" w:type="dxa"/>
            </w:tcMar>
            <w:vAlign w:val="bottom"/>
            <w:hideMark/>
          </w:tcPr>
          <w:p w14:paraId="07649CF2"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39E5B33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Activities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3C1889B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Commodities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1467F15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Labour</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72A1A75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Capital</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3E9D723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Enterprises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3932CDF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Households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6D155D57" w14:textId="77777777" w:rsidR="00F0104E" w:rsidRPr="00136B78" w:rsidRDefault="00F0104E" w:rsidP="00F0104E">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Government </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67AACB2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activity taxes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1E40EE2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product taxes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3BFC936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 duties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63B086D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Income taxes</w:t>
            </w:r>
          </w:p>
        </w:tc>
        <w:tc>
          <w:tcPr>
            <w:tcW w:w="936" w:type="dxa"/>
            <w:tcBorders>
              <w:top w:val="single" w:sz="4" w:space="0" w:color="auto"/>
              <w:left w:val="nil"/>
              <w:bottom w:val="single" w:sz="4" w:space="0" w:color="auto"/>
              <w:right w:val="single" w:sz="4" w:space="0" w:color="auto"/>
            </w:tcBorders>
            <w:shd w:val="clear" w:color="000000" w:fill="C0C0C0"/>
            <w:tcMar>
              <w:left w:w="0" w:type="dxa"/>
              <w:right w:w="0" w:type="dxa"/>
            </w:tcMar>
            <w:vAlign w:val="center"/>
            <w:hideMark/>
          </w:tcPr>
          <w:p w14:paraId="0632334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Changes in inventories</w:t>
            </w:r>
          </w:p>
        </w:tc>
        <w:tc>
          <w:tcPr>
            <w:tcW w:w="936" w:type="dxa"/>
            <w:tcBorders>
              <w:top w:val="single" w:sz="4" w:space="0" w:color="auto"/>
              <w:left w:val="nil"/>
              <w:bottom w:val="single" w:sz="4" w:space="0" w:color="auto"/>
              <w:right w:val="single" w:sz="4" w:space="0" w:color="auto"/>
            </w:tcBorders>
            <w:shd w:val="clear" w:color="000000" w:fill="C0C0C0"/>
            <w:vAlign w:val="center"/>
            <w:hideMark/>
          </w:tcPr>
          <w:p w14:paraId="4EE5518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Accumulation</w:t>
            </w:r>
          </w:p>
        </w:tc>
        <w:tc>
          <w:tcPr>
            <w:tcW w:w="936" w:type="dxa"/>
            <w:tcBorders>
              <w:top w:val="single" w:sz="4" w:space="0" w:color="auto"/>
              <w:left w:val="nil"/>
              <w:bottom w:val="single" w:sz="4" w:space="0" w:color="auto"/>
              <w:right w:val="single" w:sz="4" w:space="0" w:color="auto"/>
            </w:tcBorders>
            <w:shd w:val="clear" w:color="000000" w:fill="C0C0C0"/>
            <w:vAlign w:val="center"/>
            <w:hideMark/>
          </w:tcPr>
          <w:p w14:paraId="4E76819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Rest of the world</w:t>
            </w:r>
          </w:p>
        </w:tc>
        <w:tc>
          <w:tcPr>
            <w:tcW w:w="936" w:type="dxa"/>
            <w:tcBorders>
              <w:top w:val="single" w:sz="4" w:space="0" w:color="auto"/>
              <w:left w:val="nil"/>
              <w:bottom w:val="single" w:sz="4" w:space="0" w:color="auto"/>
              <w:right w:val="single" w:sz="4" w:space="0" w:color="auto"/>
            </w:tcBorders>
            <w:shd w:val="clear" w:color="000000" w:fill="C0C0C0"/>
            <w:vAlign w:val="center"/>
            <w:hideMark/>
          </w:tcPr>
          <w:p w14:paraId="3357336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Total</w:t>
            </w:r>
          </w:p>
        </w:tc>
      </w:tr>
      <w:tr w:rsidR="00F0104E" w:rsidRPr="00136B78" w14:paraId="31AFFABF"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49A0990E"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Activities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11C949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07D2AE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Output of total domestic economy</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CE4267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A4FD7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F9DCF8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430029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0E0B87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8129ED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D64EC4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3CA67B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6FAC42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D440E1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6DD873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B98E9F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5453E61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output</w:t>
            </w:r>
          </w:p>
        </w:tc>
      </w:tr>
      <w:tr w:rsidR="00F0104E" w:rsidRPr="00136B78" w14:paraId="161E1CD6"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47332FCD"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Commodities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1BDB114" w14:textId="77777777" w:rsidR="00F0104E" w:rsidRPr="00136B78" w:rsidRDefault="00F0104E" w:rsidP="00F0104E">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Intermediate consumption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53F0B6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r w:rsidR="002710F9" w:rsidRPr="00136B78">
              <w:rPr>
                <w:rFonts w:ascii="Times New Roman" w:eastAsia="Times New Roman" w:hAnsi="Times New Roman" w:cs="Times New Roman"/>
                <w:color w:val="000000"/>
                <w:sz w:val="12"/>
                <w:szCs w:val="12"/>
                <w:lang w:eastAsia="en-NZ"/>
              </w:rPr>
              <w:t>Transactions Margins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EA6598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EC525F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C4F89F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26BC861" w14:textId="77777777" w:rsidR="00F0104E" w:rsidRPr="00136B78" w:rsidRDefault="00F0104E" w:rsidP="00EC1A33">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Final consumption expenditure by households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BF3054F" w14:textId="77777777" w:rsidR="00F0104E" w:rsidRPr="00136B78" w:rsidRDefault="00F0104E" w:rsidP="00EC1A33">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Final consumption expenditure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51F79E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39429F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61BF36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9549E9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E55C6B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 in inventories + residual item</w:t>
            </w:r>
          </w:p>
        </w:tc>
        <w:tc>
          <w:tcPr>
            <w:tcW w:w="936" w:type="dxa"/>
            <w:tcBorders>
              <w:top w:val="nil"/>
              <w:left w:val="nil"/>
              <w:bottom w:val="single" w:sz="4" w:space="0" w:color="auto"/>
              <w:right w:val="single" w:sz="4" w:space="0" w:color="auto"/>
            </w:tcBorders>
            <w:shd w:val="clear" w:color="auto" w:fill="auto"/>
            <w:vAlign w:val="center"/>
            <w:hideMark/>
          </w:tcPr>
          <w:p w14:paraId="0BB5914F" w14:textId="77777777" w:rsidR="00F0104E" w:rsidRPr="00136B78" w:rsidRDefault="00F0104E" w:rsidP="00EC1A33">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Gross fixed capital formation </w:t>
            </w:r>
          </w:p>
        </w:tc>
        <w:tc>
          <w:tcPr>
            <w:tcW w:w="936" w:type="dxa"/>
            <w:tcBorders>
              <w:top w:val="nil"/>
              <w:left w:val="nil"/>
              <w:bottom w:val="single" w:sz="4" w:space="0" w:color="auto"/>
              <w:right w:val="single" w:sz="4" w:space="0" w:color="auto"/>
            </w:tcBorders>
            <w:shd w:val="clear" w:color="auto" w:fill="auto"/>
            <w:vAlign w:val="center"/>
            <w:hideMark/>
          </w:tcPr>
          <w:p w14:paraId="4F943EF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Exports of goods &amp; services</w:t>
            </w:r>
          </w:p>
        </w:tc>
        <w:tc>
          <w:tcPr>
            <w:tcW w:w="936" w:type="dxa"/>
            <w:tcBorders>
              <w:top w:val="nil"/>
              <w:left w:val="nil"/>
              <w:bottom w:val="single" w:sz="4" w:space="0" w:color="auto"/>
              <w:right w:val="single" w:sz="4" w:space="0" w:color="auto"/>
            </w:tcBorders>
            <w:shd w:val="clear" w:color="auto" w:fill="auto"/>
            <w:vAlign w:val="center"/>
            <w:hideMark/>
          </w:tcPr>
          <w:p w14:paraId="05407D9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Total demand</w:t>
            </w:r>
          </w:p>
        </w:tc>
      </w:tr>
      <w:tr w:rsidR="00F0104E" w:rsidRPr="00136B78" w14:paraId="54FA28E9"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1C450C92"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Labour</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FFFF3D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Compensation of employees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93943E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4F00BB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FDD71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031CAB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13A0F1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B61CBF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1D95CD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ACBE68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B584A0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51D893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9271C6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C78EE6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665E1F6F" w14:textId="77777777" w:rsidR="00F0104E" w:rsidRPr="00136B78" w:rsidRDefault="00EC1A33" w:rsidP="00EC1A33">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Compensation</w:t>
            </w:r>
            <w:r w:rsidR="00F0104E" w:rsidRPr="00136B78">
              <w:rPr>
                <w:rFonts w:ascii="Times New Roman" w:eastAsia="Times New Roman" w:hAnsi="Times New Roman" w:cs="Times New Roman"/>
                <w:color w:val="000000"/>
                <w:sz w:val="12"/>
                <w:szCs w:val="12"/>
                <w:lang w:eastAsia="en-NZ"/>
              </w:rPr>
              <w:t xml:space="preserve"> </w:t>
            </w:r>
            <w:r w:rsidRPr="00136B78">
              <w:rPr>
                <w:rFonts w:ascii="Times New Roman" w:eastAsia="Times New Roman" w:hAnsi="Times New Roman" w:cs="Times New Roman"/>
                <w:color w:val="000000"/>
                <w:sz w:val="12"/>
                <w:szCs w:val="12"/>
                <w:lang w:eastAsia="en-NZ"/>
              </w:rPr>
              <w:t xml:space="preserve">SA </w:t>
            </w:r>
            <w:r w:rsidR="00F0104E" w:rsidRPr="00136B78">
              <w:rPr>
                <w:rFonts w:ascii="Times New Roman" w:eastAsia="Times New Roman" w:hAnsi="Times New Roman" w:cs="Times New Roman"/>
                <w:color w:val="000000"/>
                <w:sz w:val="12"/>
                <w:szCs w:val="12"/>
                <w:lang w:eastAsia="en-NZ"/>
              </w:rPr>
              <w:t xml:space="preserve">residents in </w:t>
            </w:r>
            <w:proofErr w:type="spellStart"/>
            <w:r w:rsidR="00F0104E"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vAlign w:val="center"/>
            <w:hideMark/>
          </w:tcPr>
          <w:p w14:paraId="43E8CC8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Labour income</w:t>
            </w:r>
          </w:p>
        </w:tc>
      </w:tr>
      <w:tr w:rsidR="00F0104E" w:rsidRPr="00136B78" w14:paraId="413D060D"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1C004764"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Capital</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1BF8B8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operating surplus + Depreciation</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C5805A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7DE4C3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61F6ED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EEC0E2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0E835D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66C8C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D32742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39F085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710859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FE0E4D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1B7EBC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7DD7C8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6FE055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r w:rsidR="000400A6" w:rsidRPr="00136B78">
              <w:rPr>
                <w:rFonts w:ascii="Times New Roman" w:eastAsia="Times New Roman" w:hAnsi="Times New Roman" w:cs="Times New Roman"/>
                <w:color w:val="000000"/>
                <w:sz w:val="12"/>
                <w:szCs w:val="12"/>
                <w:lang w:eastAsia="en-NZ"/>
              </w:rPr>
              <w:t xml:space="preserve">Property income paid: </w:t>
            </w:r>
            <w:proofErr w:type="spellStart"/>
            <w:r w:rsidR="000400A6"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vAlign w:val="center"/>
            <w:hideMark/>
          </w:tcPr>
          <w:p w14:paraId="7A20392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Capital income</w:t>
            </w:r>
          </w:p>
        </w:tc>
      </w:tr>
      <w:tr w:rsidR="00F0104E" w:rsidRPr="00136B78" w14:paraId="22163102" w14:textId="77777777" w:rsidTr="00CB4DE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5D1DF0D2"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Enterprises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0AC88C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608D22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B72E60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1F0704A" w14:textId="77777777" w:rsidR="00F0104E" w:rsidRPr="00136B78" w:rsidRDefault="00F0104E" w:rsidP="00ED1C0D">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operating surplus of corporations</w:t>
            </w:r>
            <w:r w:rsidR="000400A6" w:rsidRPr="00136B78">
              <w:rPr>
                <w:rFonts w:ascii="Times New Roman" w:eastAsia="Times New Roman" w:hAnsi="Times New Roman" w:cs="Times New Roman"/>
                <w:color w:val="000000"/>
                <w:sz w:val="12"/>
                <w:szCs w:val="12"/>
                <w:lang w:eastAsia="en-NZ"/>
              </w:rPr>
              <w:t xml:space="preserve">, adjusted for property income paid to </w:t>
            </w:r>
            <w:r w:rsidR="00ED1C0D" w:rsidRPr="00136B78">
              <w:rPr>
                <w:rFonts w:ascii="Times New Roman" w:eastAsia="Times New Roman" w:hAnsi="Times New Roman" w:cs="Times New Roman"/>
                <w:color w:val="000000"/>
                <w:sz w:val="12"/>
                <w:szCs w:val="12"/>
                <w:lang w:eastAsia="en-NZ"/>
              </w:rPr>
              <w:t>/</w:t>
            </w:r>
            <w:r w:rsidR="000400A6" w:rsidRPr="00136B78">
              <w:rPr>
                <w:rFonts w:ascii="Times New Roman" w:eastAsia="Times New Roman" w:hAnsi="Times New Roman" w:cs="Times New Roman"/>
                <w:color w:val="000000"/>
                <w:sz w:val="12"/>
                <w:szCs w:val="12"/>
                <w:lang w:eastAsia="en-NZ"/>
              </w:rPr>
              <w:t xml:space="preserve"> received from </w:t>
            </w:r>
            <w:proofErr w:type="spellStart"/>
            <w:r w:rsidR="000400A6"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010B27B" w14:textId="122DD40C" w:rsidR="00F0104E" w:rsidRPr="00136B78" w:rsidRDefault="009D6086" w:rsidP="00430798">
            <w:pPr>
              <w:spacing w:after="0" w:line="240" w:lineRule="auto"/>
              <w:jc w:val="center"/>
              <w:rPr>
                <w:rFonts w:ascii="Times New Roman" w:eastAsia="Times New Roman" w:hAnsi="Times New Roman" w:cs="Times New Roman"/>
                <w:color w:val="000000"/>
                <w:sz w:val="12"/>
                <w:szCs w:val="12"/>
                <w:lang w:eastAsia="en-NZ"/>
              </w:rPr>
            </w:pPr>
            <w:r>
              <w:rPr>
                <w:rFonts w:ascii="Times New Roman" w:eastAsia="Times New Roman" w:hAnsi="Times New Roman" w:cs="Times New Roman"/>
                <w:color w:val="000000"/>
                <w:sz w:val="12"/>
                <w:szCs w:val="12"/>
                <w:lang w:eastAsia="en-NZ"/>
              </w:rPr>
              <w:t xml:space="preserve">Net primary and secondary incomes received, incl. related to social (pension) contributions and non-life insurance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B9BEC3B" w14:textId="5B84BA2B" w:rsidR="00F0104E" w:rsidRPr="00136B78" w:rsidRDefault="00F0104E" w:rsidP="00EC1A33">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Property income paid: households + </w:t>
            </w:r>
            <w:r w:rsidR="009D6086">
              <w:rPr>
                <w:rFonts w:ascii="Times New Roman" w:eastAsia="Times New Roman" w:hAnsi="Times New Roman" w:cs="Times New Roman"/>
                <w:color w:val="000000"/>
                <w:sz w:val="12"/>
                <w:szCs w:val="12"/>
                <w:lang w:eastAsia="en-NZ"/>
              </w:rPr>
              <w:t xml:space="preserve">secondary, i.e., social (pension) contributions and </w:t>
            </w:r>
            <w:r w:rsidRPr="00136B78">
              <w:rPr>
                <w:rFonts w:ascii="Times New Roman" w:eastAsia="Times New Roman" w:hAnsi="Times New Roman" w:cs="Times New Roman"/>
                <w:color w:val="000000"/>
                <w:sz w:val="12"/>
                <w:szCs w:val="12"/>
                <w:lang w:eastAsia="en-NZ"/>
              </w:rPr>
              <w:t>non-life insurance premiums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7C25B36" w14:textId="69FB858D" w:rsidR="00F0104E" w:rsidRPr="00136B78" w:rsidRDefault="009D6086" w:rsidP="00430798">
            <w:pPr>
              <w:spacing w:after="0" w:line="240" w:lineRule="auto"/>
              <w:jc w:val="center"/>
              <w:rPr>
                <w:rFonts w:ascii="Times New Roman" w:eastAsia="Times New Roman" w:hAnsi="Times New Roman" w:cs="Times New Roman"/>
                <w:color w:val="000000"/>
                <w:sz w:val="12"/>
                <w:szCs w:val="12"/>
                <w:lang w:eastAsia="en-NZ"/>
              </w:rPr>
            </w:pPr>
            <w:r>
              <w:rPr>
                <w:rFonts w:ascii="Times New Roman" w:eastAsia="Times New Roman" w:hAnsi="Times New Roman" w:cs="Times New Roman"/>
                <w:color w:val="000000"/>
                <w:sz w:val="12"/>
                <w:szCs w:val="12"/>
                <w:lang w:eastAsia="en-NZ"/>
              </w:rPr>
              <w:t>P</w:t>
            </w:r>
            <w:r w:rsidR="00F0104E" w:rsidRPr="00136B78">
              <w:rPr>
                <w:rFonts w:ascii="Times New Roman" w:eastAsia="Times New Roman" w:hAnsi="Times New Roman" w:cs="Times New Roman"/>
                <w:color w:val="000000"/>
                <w:sz w:val="12"/>
                <w:szCs w:val="12"/>
                <w:lang w:eastAsia="en-NZ"/>
              </w:rPr>
              <w:t>roperty income paid: general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632274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D19574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0356D0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CA538C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97F245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DA1405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E2D5E2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p>
        </w:tc>
        <w:tc>
          <w:tcPr>
            <w:tcW w:w="936" w:type="dxa"/>
            <w:tcBorders>
              <w:top w:val="nil"/>
              <w:left w:val="nil"/>
              <w:bottom w:val="single" w:sz="4" w:space="0" w:color="auto"/>
              <w:right w:val="single" w:sz="4" w:space="0" w:color="auto"/>
            </w:tcBorders>
            <w:shd w:val="clear" w:color="auto" w:fill="auto"/>
            <w:vAlign w:val="center"/>
            <w:hideMark/>
          </w:tcPr>
          <w:p w14:paraId="1D8212C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Enterprise earnings</w:t>
            </w:r>
          </w:p>
        </w:tc>
      </w:tr>
      <w:tr w:rsidR="00F0104E" w:rsidRPr="00136B78" w14:paraId="67A6B639" w14:textId="77777777" w:rsidTr="00CB4DE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4862EAB9"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Households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5D3A29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312079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5BB4D8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Compensation of residents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D9939AF" w14:textId="77777777" w:rsidR="00F0104E" w:rsidRPr="00136B78" w:rsidRDefault="00F0104E" w:rsidP="00F0104E">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Gross operating surplus / mixed income of households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A46D707" w14:textId="445DE3CA" w:rsidR="00F0104E" w:rsidRPr="00136B78" w:rsidRDefault="00EC1A33" w:rsidP="00EC1A33">
            <w:pPr>
              <w:spacing w:after="0" w:line="240" w:lineRule="auto"/>
              <w:jc w:val="center"/>
              <w:rPr>
                <w:rFonts w:ascii="Times New Roman" w:eastAsia="Times New Roman" w:hAnsi="Times New Roman" w:cs="Times New Roman"/>
                <w:color w:val="000000"/>
                <w:sz w:val="12"/>
                <w:szCs w:val="12"/>
                <w:lang w:eastAsia="en-NZ"/>
              </w:rPr>
            </w:pPr>
            <w:proofErr w:type="spellStart"/>
            <w:r w:rsidRPr="00136B78">
              <w:rPr>
                <w:rFonts w:ascii="Times New Roman" w:eastAsia="Times New Roman" w:hAnsi="Times New Roman" w:cs="Times New Roman"/>
                <w:color w:val="000000"/>
                <w:sz w:val="12"/>
                <w:szCs w:val="12"/>
                <w:lang w:eastAsia="en-NZ"/>
              </w:rPr>
              <w:t>Misc</w:t>
            </w:r>
            <w:proofErr w:type="spellEnd"/>
            <w:r w:rsidR="00F0104E" w:rsidRPr="00136B78">
              <w:rPr>
                <w:rFonts w:ascii="Times New Roman" w:eastAsia="Times New Roman" w:hAnsi="Times New Roman" w:cs="Times New Roman"/>
                <w:color w:val="000000"/>
                <w:sz w:val="12"/>
                <w:szCs w:val="12"/>
                <w:lang w:eastAsia="en-NZ"/>
              </w:rPr>
              <w:t xml:space="preserve"> </w:t>
            </w:r>
            <w:r w:rsidR="00BE07B8">
              <w:rPr>
                <w:rFonts w:ascii="Times New Roman" w:eastAsia="Times New Roman" w:hAnsi="Times New Roman" w:cs="Times New Roman"/>
                <w:color w:val="000000"/>
                <w:sz w:val="12"/>
                <w:szCs w:val="12"/>
                <w:lang w:eastAsia="en-NZ"/>
              </w:rPr>
              <w:t xml:space="preserve">secondary income </w:t>
            </w:r>
            <w:r w:rsidR="00F0104E" w:rsidRPr="00136B78">
              <w:rPr>
                <w:rFonts w:ascii="Times New Roman" w:eastAsia="Times New Roman" w:hAnsi="Times New Roman" w:cs="Times New Roman"/>
                <w:color w:val="000000"/>
                <w:sz w:val="12"/>
                <w:szCs w:val="12"/>
                <w:lang w:eastAsia="en-NZ"/>
              </w:rPr>
              <w:t xml:space="preserve">transfers </w:t>
            </w:r>
            <w:r w:rsidR="00BE07B8">
              <w:rPr>
                <w:rFonts w:ascii="Times New Roman" w:eastAsia="Times New Roman" w:hAnsi="Times New Roman" w:cs="Times New Roman"/>
                <w:color w:val="000000"/>
                <w:sz w:val="12"/>
                <w:szCs w:val="12"/>
                <w:lang w:eastAsia="en-NZ"/>
              </w:rPr>
              <w:t>(</w:t>
            </w:r>
            <w:proofErr w:type="spellStart"/>
            <w:r w:rsidR="00BE07B8">
              <w:rPr>
                <w:rFonts w:ascii="Times New Roman" w:eastAsia="Times New Roman" w:hAnsi="Times New Roman" w:cs="Times New Roman"/>
                <w:color w:val="000000"/>
                <w:sz w:val="12"/>
                <w:szCs w:val="12"/>
                <w:lang w:eastAsia="en-NZ"/>
              </w:rPr>
              <w:t>incl</w:t>
            </w:r>
            <w:proofErr w:type="spellEnd"/>
            <w:r w:rsidR="00BE07B8">
              <w:rPr>
                <w:rFonts w:ascii="Times New Roman" w:eastAsia="Times New Roman" w:hAnsi="Times New Roman" w:cs="Times New Roman"/>
                <w:color w:val="000000"/>
                <w:sz w:val="12"/>
                <w:szCs w:val="12"/>
                <w:lang w:eastAsia="en-NZ"/>
              </w:rPr>
              <w:t xml:space="preserve"> </w:t>
            </w:r>
            <w:proofErr w:type="spellStart"/>
            <w:r w:rsidR="00BE07B8">
              <w:rPr>
                <w:rFonts w:ascii="Times New Roman" w:eastAsia="Times New Roman" w:hAnsi="Times New Roman" w:cs="Times New Roman"/>
                <w:color w:val="000000"/>
                <w:sz w:val="12"/>
                <w:szCs w:val="12"/>
                <w:lang w:eastAsia="en-NZ"/>
              </w:rPr>
              <w:t>priv</w:t>
            </w:r>
            <w:proofErr w:type="spellEnd"/>
            <w:r w:rsidR="00BE07B8">
              <w:rPr>
                <w:rFonts w:ascii="Times New Roman" w:eastAsia="Times New Roman" w:hAnsi="Times New Roman" w:cs="Times New Roman"/>
                <w:color w:val="000000"/>
                <w:sz w:val="12"/>
                <w:szCs w:val="12"/>
                <w:lang w:eastAsia="en-NZ"/>
              </w:rPr>
              <w:t xml:space="preserve"> pensions &amp; non-life insurance) </w:t>
            </w:r>
            <w:r w:rsidR="00F0104E" w:rsidRPr="00136B78">
              <w:rPr>
                <w:rFonts w:ascii="Times New Roman" w:eastAsia="Times New Roman" w:hAnsi="Times New Roman" w:cs="Times New Roman"/>
                <w:color w:val="000000"/>
                <w:sz w:val="12"/>
                <w:szCs w:val="12"/>
                <w:lang w:eastAsia="en-NZ"/>
              </w:rPr>
              <w:t>+ property income received</w:t>
            </w:r>
            <w:r w:rsidR="00BE07B8">
              <w:rPr>
                <w:rFonts w:ascii="Times New Roman" w:eastAsia="Times New Roman" w:hAnsi="Times New Roman" w:cs="Times New Roman"/>
                <w:color w:val="000000"/>
                <w:sz w:val="12"/>
                <w:szCs w:val="12"/>
                <w:lang w:eastAsia="en-NZ"/>
              </w:rPr>
              <w:t xml:space="preserve"> by</w:t>
            </w:r>
            <w:r w:rsidR="00F0104E" w:rsidRPr="00136B78">
              <w:rPr>
                <w:rFonts w:ascii="Times New Roman" w:eastAsia="Times New Roman" w:hAnsi="Times New Roman" w:cs="Times New Roman"/>
                <w:color w:val="000000"/>
                <w:sz w:val="12"/>
                <w:szCs w:val="12"/>
                <w:lang w:eastAsia="en-NZ"/>
              </w:rPr>
              <w:t xml:space="preserve"> households+ </w:t>
            </w:r>
            <w:proofErr w:type="spellStart"/>
            <w:r w:rsidRPr="00136B78">
              <w:rPr>
                <w:rFonts w:ascii="Times New Roman" w:eastAsia="Times New Roman" w:hAnsi="Times New Roman" w:cs="Times New Roman"/>
                <w:color w:val="000000"/>
                <w:sz w:val="12"/>
                <w:szCs w:val="12"/>
                <w:lang w:eastAsia="en-NZ"/>
              </w:rPr>
              <w:t>adj</w:t>
            </w:r>
            <w:r w:rsidR="00BE07B8">
              <w:rPr>
                <w:rFonts w:ascii="Times New Roman" w:eastAsia="Times New Roman" w:hAnsi="Times New Roman" w:cs="Times New Roman"/>
                <w:color w:val="000000"/>
                <w:sz w:val="12"/>
                <w:szCs w:val="12"/>
                <w:lang w:eastAsia="en-NZ"/>
              </w:rPr>
              <w:t>m</w:t>
            </w:r>
            <w:proofErr w:type="spellEnd"/>
            <w:r w:rsidR="00F0104E" w:rsidRPr="00136B78">
              <w:rPr>
                <w:rFonts w:ascii="Times New Roman" w:eastAsia="Times New Roman" w:hAnsi="Times New Roman" w:cs="Times New Roman"/>
                <w:color w:val="000000"/>
                <w:sz w:val="12"/>
                <w:szCs w:val="12"/>
                <w:lang w:eastAsia="en-NZ"/>
              </w:rPr>
              <w:t xml:space="preserve"> for change in pension fund </w:t>
            </w:r>
            <w:r w:rsidR="00BE07B8" w:rsidRPr="00136B78">
              <w:rPr>
                <w:rFonts w:ascii="Times New Roman" w:eastAsia="Times New Roman" w:hAnsi="Times New Roman" w:cs="Times New Roman"/>
                <w:color w:val="000000"/>
                <w:sz w:val="12"/>
                <w:szCs w:val="12"/>
                <w:lang w:eastAsia="en-NZ"/>
              </w:rPr>
              <w:t xml:space="preserve">net equity </w:t>
            </w:r>
            <w:r w:rsidR="00F0104E" w:rsidRPr="00136B78">
              <w:rPr>
                <w:rFonts w:ascii="Times New Roman" w:eastAsia="Times New Roman" w:hAnsi="Times New Roman" w:cs="Times New Roman"/>
                <w:color w:val="000000"/>
                <w:sz w:val="12"/>
                <w:szCs w:val="12"/>
                <w:lang w:eastAsia="en-NZ"/>
              </w:rPr>
              <w:t>reserves</w:t>
            </w:r>
            <w:r w:rsidR="00BE07B8">
              <w:rPr>
                <w:rFonts w:ascii="Times New Roman" w:eastAsia="Times New Roman" w:hAnsi="Times New Roman" w:cs="Times New Roman"/>
                <w:color w:val="000000"/>
                <w:sz w:val="12"/>
                <w:szCs w:val="12"/>
                <w:lang w:eastAsia="en-NZ"/>
              </w:rPr>
              <w:t xml:space="preserve">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AB3E2F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216D2C8" w14:textId="1677B7E7" w:rsidR="00F0104E" w:rsidRPr="00136B78" w:rsidRDefault="00EC1A33" w:rsidP="00F0104E">
            <w:pPr>
              <w:spacing w:after="0" w:line="240" w:lineRule="auto"/>
              <w:jc w:val="center"/>
              <w:rPr>
                <w:rFonts w:ascii="Times New Roman" w:eastAsia="Times New Roman" w:hAnsi="Times New Roman" w:cs="Times New Roman"/>
                <w:color w:val="000000"/>
                <w:sz w:val="12"/>
                <w:szCs w:val="12"/>
                <w:lang w:eastAsia="en-NZ"/>
              </w:rPr>
            </w:pPr>
            <w:proofErr w:type="spellStart"/>
            <w:r w:rsidRPr="00136B78">
              <w:rPr>
                <w:rFonts w:ascii="Times New Roman" w:eastAsia="Times New Roman" w:hAnsi="Times New Roman" w:cs="Times New Roman"/>
                <w:color w:val="000000"/>
                <w:sz w:val="12"/>
                <w:szCs w:val="12"/>
                <w:lang w:eastAsia="en-NZ"/>
              </w:rPr>
              <w:t>Misc</w:t>
            </w:r>
            <w:proofErr w:type="spellEnd"/>
            <w:r w:rsidR="00F0104E" w:rsidRPr="00136B78">
              <w:rPr>
                <w:rFonts w:ascii="Times New Roman" w:eastAsia="Times New Roman" w:hAnsi="Times New Roman" w:cs="Times New Roman"/>
                <w:color w:val="000000"/>
                <w:sz w:val="12"/>
                <w:szCs w:val="12"/>
                <w:lang w:eastAsia="en-NZ"/>
              </w:rPr>
              <w:t xml:space="preserve"> current transfers paid: general government + social benefits received</w:t>
            </w:r>
            <w:r w:rsidR="00C83000">
              <w:rPr>
                <w:rFonts w:ascii="Times New Roman" w:eastAsia="Times New Roman" w:hAnsi="Times New Roman" w:cs="Times New Roman"/>
                <w:color w:val="000000"/>
                <w:sz w:val="12"/>
                <w:szCs w:val="12"/>
                <w:lang w:eastAsia="en-NZ"/>
              </w:rPr>
              <w:t xml:space="preserve"> by</w:t>
            </w:r>
            <w:r w:rsidR="00F0104E" w:rsidRPr="00136B78">
              <w:rPr>
                <w:rFonts w:ascii="Times New Roman" w:eastAsia="Times New Roman" w:hAnsi="Times New Roman" w:cs="Times New Roman"/>
                <w:color w:val="000000"/>
                <w:sz w:val="12"/>
                <w:szCs w:val="12"/>
                <w:lang w:eastAsia="en-NZ"/>
              </w:rPr>
              <w:t xml:space="preserve"> households</w:t>
            </w:r>
            <w:r w:rsidR="00C83000">
              <w:rPr>
                <w:rFonts w:ascii="Times New Roman" w:eastAsia="Times New Roman" w:hAnsi="Times New Roman" w:cs="Times New Roman"/>
                <w:color w:val="000000"/>
                <w:sz w:val="12"/>
                <w:szCs w:val="12"/>
                <w:lang w:eastAsia="en-NZ"/>
              </w:rPr>
              <w:t xml:space="preserve"> (state pension, child support grant etc)</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0A10D3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D84A03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4024DE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773242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3FD85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75A92F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08C3D02A" w14:textId="77777777" w:rsidR="00F0104E" w:rsidRPr="00136B78" w:rsidRDefault="00EC1A33" w:rsidP="00430798">
            <w:pPr>
              <w:spacing w:after="0" w:line="240" w:lineRule="auto"/>
              <w:jc w:val="center"/>
              <w:rPr>
                <w:rFonts w:ascii="Times New Roman" w:eastAsia="Times New Roman" w:hAnsi="Times New Roman" w:cs="Times New Roman"/>
                <w:color w:val="000000"/>
                <w:sz w:val="12"/>
                <w:szCs w:val="12"/>
                <w:lang w:eastAsia="en-NZ"/>
              </w:rPr>
            </w:pPr>
            <w:proofErr w:type="spellStart"/>
            <w:r w:rsidRPr="00136B78">
              <w:rPr>
                <w:rFonts w:ascii="Times New Roman" w:eastAsia="Times New Roman" w:hAnsi="Times New Roman" w:cs="Times New Roman"/>
                <w:color w:val="000000"/>
                <w:sz w:val="12"/>
                <w:szCs w:val="12"/>
                <w:lang w:eastAsia="en-NZ"/>
              </w:rPr>
              <w:t>Misc</w:t>
            </w:r>
            <w:proofErr w:type="spellEnd"/>
            <w:r w:rsidR="00F0104E" w:rsidRPr="00136B78">
              <w:rPr>
                <w:rFonts w:ascii="Times New Roman" w:eastAsia="Times New Roman" w:hAnsi="Times New Roman" w:cs="Times New Roman"/>
                <w:color w:val="000000"/>
                <w:sz w:val="12"/>
                <w:szCs w:val="12"/>
                <w:lang w:eastAsia="en-NZ"/>
              </w:rPr>
              <w:t xml:space="preserve"> current transfers paid: </w:t>
            </w:r>
            <w:proofErr w:type="spellStart"/>
            <w:r w:rsidR="00F0104E"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vAlign w:val="center"/>
            <w:hideMark/>
          </w:tcPr>
          <w:p w14:paraId="5B159FF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Household earnings</w:t>
            </w:r>
          </w:p>
        </w:tc>
      </w:tr>
      <w:tr w:rsidR="00F0104E" w:rsidRPr="00136B78" w14:paraId="262DDBEE" w14:textId="77777777" w:rsidTr="00CB4DE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01A98D57"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Government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09FF3E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35CF90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0CB50F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2EF286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operating surplus of general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BEE6C49" w14:textId="022D2E20"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Social </w:t>
            </w:r>
            <w:r w:rsidR="00C83000">
              <w:rPr>
                <w:rFonts w:ascii="Times New Roman" w:eastAsia="Times New Roman" w:hAnsi="Times New Roman" w:cs="Times New Roman"/>
                <w:color w:val="000000"/>
                <w:sz w:val="12"/>
                <w:szCs w:val="12"/>
                <w:lang w:eastAsia="en-NZ"/>
              </w:rPr>
              <w:t>contributions</w:t>
            </w:r>
            <w:r w:rsidRPr="00136B78">
              <w:rPr>
                <w:rFonts w:ascii="Times New Roman" w:eastAsia="Times New Roman" w:hAnsi="Times New Roman" w:cs="Times New Roman"/>
                <w:color w:val="000000"/>
                <w:sz w:val="12"/>
                <w:szCs w:val="12"/>
                <w:lang w:eastAsia="en-NZ"/>
              </w:rPr>
              <w:t xml:space="preserve"> paid by corporations </w:t>
            </w:r>
            <w:r w:rsidR="00C83000">
              <w:rPr>
                <w:rFonts w:ascii="Times New Roman" w:eastAsia="Times New Roman" w:hAnsi="Times New Roman" w:cs="Times New Roman"/>
                <w:color w:val="000000"/>
                <w:sz w:val="12"/>
                <w:szCs w:val="12"/>
                <w:lang w:eastAsia="en-NZ"/>
              </w:rPr>
              <w:t xml:space="preserve">+ </w:t>
            </w:r>
            <w:r w:rsidRPr="00136B78">
              <w:rPr>
                <w:rFonts w:ascii="Times New Roman" w:eastAsia="Times New Roman" w:hAnsi="Times New Roman" w:cs="Times New Roman"/>
                <w:color w:val="000000"/>
                <w:sz w:val="12"/>
                <w:szCs w:val="12"/>
                <w:lang w:eastAsia="en-NZ"/>
              </w:rPr>
              <w:t>property income received</w:t>
            </w:r>
            <w:r w:rsidR="00495472">
              <w:rPr>
                <w:rFonts w:ascii="Times New Roman" w:eastAsia="Times New Roman" w:hAnsi="Times New Roman" w:cs="Times New Roman"/>
                <w:color w:val="000000"/>
                <w:sz w:val="12"/>
                <w:szCs w:val="12"/>
                <w:lang w:eastAsia="en-NZ"/>
              </w:rPr>
              <w:t xml:space="preserve"> by</w:t>
            </w:r>
            <w:r w:rsidRPr="00136B78">
              <w:rPr>
                <w:rFonts w:ascii="Times New Roman" w:eastAsia="Times New Roman" w:hAnsi="Times New Roman" w:cs="Times New Roman"/>
                <w:color w:val="000000"/>
                <w:sz w:val="12"/>
                <w:szCs w:val="12"/>
                <w:lang w:eastAsia="en-NZ"/>
              </w:rPr>
              <w:t xml:space="preserve"> </w:t>
            </w:r>
            <w:r w:rsidR="00C83000">
              <w:rPr>
                <w:rFonts w:ascii="Times New Roman" w:eastAsia="Times New Roman" w:hAnsi="Times New Roman" w:cs="Times New Roman"/>
                <w:color w:val="000000"/>
                <w:sz w:val="12"/>
                <w:szCs w:val="12"/>
                <w:lang w:eastAsia="en-NZ"/>
              </w:rPr>
              <w:t>g</w:t>
            </w:r>
            <w:r w:rsidRPr="00136B78">
              <w:rPr>
                <w:rFonts w:ascii="Times New Roman" w:eastAsia="Times New Roman" w:hAnsi="Times New Roman" w:cs="Times New Roman"/>
                <w:color w:val="000000"/>
                <w:sz w:val="12"/>
                <w:szCs w:val="12"/>
                <w:lang w:eastAsia="en-NZ"/>
              </w:rPr>
              <w:t>eneral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4BCF713" w14:textId="6A5F28EF" w:rsidR="00F0104E" w:rsidRPr="00136B78" w:rsidRDefault="00EC1A33" w:rsidP="00430798">
            <w:pPr>
              <w:spacing w:after="0" w:line="240" w:lineRule="auto"/>
              <w:jc w:val="center"/>
              <w:rPr>
                <w:rFonts w:ascii="Times New Roman" w:eastAsia="Times New Roman" w:hAnsi="Times New Roman" w:cs="Times New Roman"/>
                <w:color w:val="000000"/>
                <w:sz w:val="12"/>
                <w:szCs w:val="12"/>
                <w:lang w:eastAsia="en-NZ"/>
              </w:rPr>
            </w:pPr>
            <w:proofErr w:type="spellStart"/>
            <w:r w:rsidRPr="00136B78">
              <w:rPr>
                <w:rFonts w:ascii="Times New Roman" w:eastAsia="Times New Roman" w:hAnsi="Times New Roman" w:cs="Times New Roman"/>
                <w:color w:val="000000"/>
                <w:sz w:val="12"/>
                <w:szCs w:val="12"/>
                <w:lang w:eastAsia="en-NZ"/>
              </w:rPr>
              <w:t>Misc</w:t>
            </w:r>
            <w:proofErr w:type="spellEnd"/>
            <w:r w:rsidR="00F0104E" w:rsidRPr="00136B78">
              <w:rPr>
                <w:rFonts w:ascii="Times New Roman" w:eastAsia="Times New Roman" w:hAnsi="Times New Roman" w:cs="Times New Roman"/>
                <w:color w:val="000000"/>
                <w:sz w:val="12"/>
                <w:szCs w:val="12"/>
                <w:lang w:eastAsia="en-NZ"/>
              </w:rPr>
              <w:t xml:space="preserve"> transfers received</w:t>
            </w:r>
            <w:r w:rsidR="00C83000">
              <w:rPr>
                <w:rFonts w:ascii="Times New Roman" w:eastAsia="Times New Roman" w:hAnsi="Times New Roman" w:cs="Times New Roman"/>
                <w:color w:val="000000"/>
                <w:sz w:val="12"/>
                <w:szCs w:val="12"/>
                <w:lang w:eastAsia="en-NZ"/>
              </w:rPr>
              <w:t xml:space="preserve"> by</w:t>
            </w:r>
            <w:r w:rsidR="00F0104E" w:rsidRPr="00136B78">
              <w:rPr>
                <w:rFonts w:ascii="Times New Roman" w:eastAsia="Times New Roman" w:hAnsi="Times New Roman" w:cs="Times New Roman"/>
                <w:color w:val="000000"/>
                <w:sz w:val="12"/>
                <w:szCs w:val="12"/>
                <w:lang w:eastAsia="en-NZ"/>
              </w:rPr>
              <w:t xml:space="preserve"> general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05F637A" w14:textId="5F0A94CA"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678156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other taxes on production in all industries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7DA520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taxes on products - 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D89E48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E11174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Current taxes on income and wealth</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0B647D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BF00A6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42CB194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Current international co-operation paid: </w:t>
            </w:r>
            <w:proofErr w:type="spellStart"/>
            <w:r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vAlign w:val="center"/>
            <w:hideMark/>
          </w:tcPr>
          <w:p w14:paraId="0496BF1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Government receipts</w:t>
            </w:r>
          </w:p>
        </w:tc>
      </w:tr>
      <w:tr w:rsidR="00F0104E" w:rsidRPr="00136B78" w14:paraId="0362A615"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485AF5A1"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activity taxes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48DF5D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other taxes on production in all industries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51DC0A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173B3C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EC5E57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8FFE05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B4E3D9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39E082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0AC67E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11B2D0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A9A9DF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8ABBAD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F2BB25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A6533D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7823AD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A17F01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other taxes on production in all industries</w:t>
            </w:r>
          </w:p>
        </w:tc>
      </w:tr>
      <w:tr w:rsidR="00F0104E" w:rsidRPr="00136B78" w14:paraId="0EF2FE32"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7A8A33B0"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product taxes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2EDF2C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D86ADD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taxes on products - 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2C878E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FD4428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D0885B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AFD929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CECB88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06F72B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E91FE9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1E02A8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FCCC18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D2855B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3F6E38C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02862E8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0B29B0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taxes on products - import duties</w:t>
            </w:r>
          </w:p>
        </w:tc>
      </w:tr>
      <w:tr w:rsidR="00F0104E" w:rsidRPr="00136B78" w14:paraId="729240C0"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1B0E7EB0"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61ED41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7BB725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D1F24D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ED60C4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4A1B90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B4485C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ECD18A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D36C39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8F9347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B5DB7A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55C65E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4BD302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58ECD94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15755F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5E8A169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 duties</w:t>
            </w:r>
          </w:p>
        </w:tc>
      </w:tr>
      <w:tr w:rsidR="00F0104E" w:rsidRPr="00136B78" w14:paraId="58921BC2"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6FCAFD09"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Income taxes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95A22B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1F2248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170911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67BA40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0509E0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Current taxes on income and wealth paid by corporations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FCC15B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Current taxes on income and wealth of households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369E1C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007500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3961A5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07DA13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E9DE55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A73FCD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0EB7BF5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3A3524E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3D5B51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Current taxes on income and wealth</w:t>
            </w:r>
          </w:p>
        </w:tc>
      </w:tr>
      <w:tr w:rsidR="00F0104E" w:rsidRPr="00136B78" w14:paraId="58D40F39"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783FD5D6"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Changes in inventories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3FB765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0F6D9C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90D13F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5C3A37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D625FD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204D9D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F25A8E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2CD8EAA"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2E70D6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4FA668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53B829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70E7E6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7214063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 in inventories + residual item</w:t>
            </w:r>
          </w:p>
        </w:tc>
        <w:tc>
          <w:tcPr>
            <w:tcW w:w="936" w:type="dxa"/>
            <w:tcBorders>
              <w:top w:val="nil"/>
              <w:left w:val="nil"/>
              <w:bottom w:val="single" w:sz="4" w:space="0" w:color="auto"/>
              <w:right w:val="single" w:sz="4" w:space="0" w:color="auto"/>
            </w:tcBorders>
            <w:shd w:val="clear" w:color="auto" w:fill="auto"/>
            <w:vAlign w:val="center"/>
            <w:hideMark/>
          </w:tcPr>
          <w:p w14:paraId="053E584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43CE350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 in inventories + residual item</w:t>
            </w:r>
          </w:p>
        </w:tc>
      </w:tr>
      <w:tr w:rsidR="00F0104E" w:rsidRPr="00136B78" w14:paraId="1DAC4459" w14:textId="77777777" w:rsidTr="00385B29">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5A58EFD2"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Accumulation</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0F53DA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B4A2A5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48530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CA62F8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E7AFF4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Residual: corporations + Gross saving of corporations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FA106F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Residual: households and NPISHs + Gross saving of households and NPISHs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F94EB0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saving of General government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F0A29E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3F6C7D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D5CF75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289B10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7592D0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0320B34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88A161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Current external balance: </w:t>
            </w:r>
            <w:proofErr w:type="spellStart"/>
            <w:r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vAlign w:val="center"/>
            <w:hideMark/>
          </w:tcPr>
          <w:p w14:paraId="047F2B49"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Savings</w:t>
            </w:r>
          </w:p>
        </w:tc>
      </w:tr>
      <w:tr w:rsidR="00F0104E" w:rsidRPr="00136B78" w14:paraId="32FD3463"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74C6BFFA"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Rest of the world</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7BFDC2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66C664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Imports of goods &amp; services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9D9E6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Compensation of South African employees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4D25D4A" w14:textId="77777777" w:rsidR="00F0104E" w:rsidRPr="00136B78" w:rsidRDefault="000400A6"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Property income received: </w:t>
            </w:r>
            <w:proofErr w:type="spellStart"/>
            <w:r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551962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5F95D50" w14:textId="77777777" w:rsidR="00F0104E" w:rsidRPr="00136B78" w:rsidRDefault="00EC1A33" w:rsidP="00430798">
            <w:pPr>
              <w:spacing w:after="0" w:line="240" w:lineRule="auto"/>
              <w:jc w:val="center"/>
              <w:rPr>
                <w:rFonts w:ascii="Times New Roman" w:eastAsia="Times New Roman" w:hAnsi="Times New Roman" w:cs="Times New Roman"/>
                <w:color w:val="000000"/>
                <w:sz w:val="12"/>
                <w:szCs w:val="12"/>
                <w:lang w:eastAsia="en-NZ"/>
              </w:rPr>
            </w:pPr>
            <w:proofErr w:type="spellStart"/>
            <w:r w:rsidRPr="00136B78">
              <w:rPr>
                <w:rFonts w:ascii="Times New Roman" w:eastAsia="Times New Roman" w:hAnsi="Times New Roman" w:cs="Times New Roman"/>
                <w:color w:val="000000"/>
                <w:sz w:val="12"/>
                <w:szCs w:val="12"/>
                <w:lang w:eastAsia="en-NZ"/>
              </w:rPr>
              <w:t>Misc</w:t>
            </w:r>
            <w:proofErr w:type="spellEnd"/>
            <w:r w:rsidR="00F0104E" w:rsidRPr="00136B78">
              <w:rPr>
                <w:rFonts w:ascii="Times New Roman" w:eastAsia="Times New Roman" w:hAnsi="Times New Roman" w:cs="Times New Roman"/>
                <w:color w:val="000000"/>
                <w:sz w:val="12"/>
                <w:szCs w:val="12"/>
                <w:lang w:eastAsia="en-NZ"/>
              </w:rPr>
              <w:t xml:space="preserve"> current transfers received: </w:t>
            </w:r>
            <w:proofErr w:type="spellStart"/>
            <w:r w:rsidR="00F0104E"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A7D7A1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xml:space="preserve">Current international co-operation received: </w:t>
            </w:r>
            <w:proofErr w:type="spellStart"/>
            <w:r w:rsidRPr="00136B78">
              <w:rPr>
                <w:rFonts w:ascii="Times New Roman" w:eastAsia="Times New Roman" w:hAnsi="Times New Roman" w:cs="Times New Roman"/>
                <w:color w:val="000000"/>
                <w:sz w:val="12"/>
                <w:szCs w:val="12"/>
                <w:lang w:eastAsia="en-NZ"/>
              </w:rPr>
              <w:t>RoW</w:t>
            </w:r>
            <w:proofErr w:type="spellEnd"/>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AC093E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8F6C17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D689CB8"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150F1F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95EA61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F1747C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2B2A7631"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c>
          <w:tcPr>
            <w:tcW w:w="936" w:type="dxa"/>
            <w:tcBorders>
              <w:top w:val="nil"/>
              <w:left w:val="nil"/>
              <w:bottom w:val="single" w:sz="4" w:space="0" w:color="auto"/>
              <w:right w:val="single" w:sz="4" w:space="0" w:color="auto"/>
            </w:tcBorders>
            <w:shd w:val="clear" w:color="auto" w:fill="auto"/>
            <w:vAlign w:val="center"/>
            <w:hideMark/>
          </w:tcPr>
          <w:p w14:paraId="1704ECCD"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Foreign exchange outflows</w:t>
            </w:r>
          </w:p>
        </w:tc>
      </w:tr>
      <w:tr w:rsidR="00F0104E" w:rsidRPr="00136B78" w14:paraId="3B736349" w14:textId="77777777" w:rsidTr="00430798">
        <w:trPr>
          <w:trHeight w:val="20"/>
        </w:trPr>
        <w:tc>
          <w:tcPr>
            <w:tcW w:w="936" w:type="dxa"/>
            <w:tcBorders>
              <w:top w:val="nil"/>
              <w:left w:val="single" w:sz="4" w:space="0" w:color="auto"/>
              <w:bottom w:val="single" w:sz="4" w:space="0" w:color="auto"/>
              <w:right w:val="single" w:sz="4" w:space="0" w:color="auto"/>
            </w:tcBorders>
            <w:shd w:val="clear" w:color="000000" w:fill="C0C0C0"/>
            <w:tcMar>
              <w:left w:w="0" w:type="dxa"/>
              <w:right w:w="0" w:type="dxa"/>
            </w:tcMar>
            <w:vAlign w:val="center"/>
            <w:hideMark/>
          </w:tcPr>
          <w:p w14:paraId="36CF917B" w14:textId="77777777" w:rsidR="00F0104E" w:rsidRPr="00136B78" w:rsidRDefault="00F0104E" w:rsidP="00430798">
            <w:pPr>
              <w:spacing w:after="0" w:line="240" w:lineRule="auto"/>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Total</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40CFB84"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output</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119DD02"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Total Supply</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840585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Distribution of labour income</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4789C77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Distribution of capital income</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BB4F89F"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Enterprise outlays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8B29293"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Household outlays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5ADEEB0"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Government outlays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CAAB53E"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other taxes on production in all industries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BF80D8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Net taxes on products - 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62BAD37"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Taxes on international trade and transactions: Import duties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4A0E13B"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Current taxes on income and wealth paid by corporations + current taxes on income and wealth of households</w:t>
            </w:r>
          </w:p>
        </w:tc>
        <w:tc>
          <w:tcPr>
            <w:tcW w:w="93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AED94D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Change in inventories + residual item</w:t>
            </w:r>
          </w:p>
        </w:tc>
        <w:tc>
          <w:tcPr>
            <w:tcW w:w="936" w:type="dxa"/>
            <w:tcBorders>
              <w:top w:val="nil"/>
              <w:left w:val="nil"/>
              <w:bottom w:val="single" w:sz="4" w:space="0" w:color="auto"/>
              <w:right w:val="single" w:sz="4" w:space="0" w:color="auto"/>
            </w:tcBorders>
            <w:shd w:val="clear" w:color="auto" w:fill="auto"/>
            <w:vAlign w:val="center"/>
            <w:hideMark/>
          </w:tcPr>
          <w:p w14:paraId="6774A2A5"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Gross fixed capital formation (investment) + change in inventories + residual item</w:t>
            </w:r>
          </w:p>
        </w:tc>
        <w:tc>
          <w:tcPr>
            <w:tcW w:w="936" w:type="dxa"/>
            <w:tcBorders>
              <w:top w:val="nil"/>
              <w:left w:val="nil"/>
              <w:bottom w:val="single" w:sz="4" w:space="0" w:color="auto"/>
              <w:right w:val="single" w:sz="4" w:space="0" w:color="auto"/>
            </w:tcBorders>
            <w:shd w:val="clear" w:color="auto" w:fill="auto"/>
            <w:vAlign w:val="center"/>
            <w:hideMark/>
          </w:tcPr>
          <w:p w14:paraId="00909546"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Foreign exchange inflow</w:t>
            </w:r>
          </w:p>
        </w:tc>
        <w:tc>
          <w:tcPr>
            <w:tcW w:w="936" w:type="dxa"/>
            <w:tcBorders>
              <w:top w:val="nil"/>
              <w:left w:val="nil"/>
              <w:bottom w:val="single" w:sz="4" w:space="0" w:color="auto"/>
              <w:right w:val="single" w:sz="4" w:space="0" w:color="auto"/>
            </w:tcBorders>
            <w:shd w:val="clear" w:color="auto" w:fill="auto"/>
            <w:vAlign w:val="center"/>
            <w:hideMark/>
          </w:tcPr>
          <w:p w14:paraId="45BB3F2C" w14:textId="77777777" w:rsidR="00F0104E" w:rsidRPr="00136B78" w:rsidRDefault="00F0104E" w:rsidP="00430798">
            <w:pPr>
              <w:spacing w:after="0" w:line="240" w:lineRule="auto"/>
              <w:jc w:val="center"/>
              <w:rPr>
                <w:rFonts w:ascii="Times New Roman" w:eastAsia="Times New Roman" w:hAnsi="Times New Roman" w:cs="Times New Roman"/>
                <w:color w:val="000000"/>
                <w:sz w:val="12"/>
                <w:szCs w:val="12"/>
                <w:lang w:eastAsia="en-NZ"/>
              </w:rPr>
            </w:pPr>
            <w:r w:rsidRPr="00136B78">
              <w:rPr>
                <w:rFonts w:ascii="Times New Roman" w:eastAsia="Times New Roman" w:hAnsi="Times New Roman" w:cs="Times New Roman"/>
                <w:color w:val="000000"/>
                <w:sz w:val="12"/>
                <w:szCs w:val="12"/>
                <w:lang w:eastAsia="en-NZ"/>
              </w:rPr>
              <w:t> </w:t>
            </w:r>
          </w:p>
        </w:tc>
      </w:tr>
    </w:tbl>
    <w:p w14:paraId="54B4C6D4" w14:textId="687C053E" w:rsidR="00F0104E" w:rsidRPr="00227772" w:rsidRDefault="00294AFB" w:rsidP="007547C4">
      <w:pPr>
        <w:jc w:val="both"/>
        <w:rPr>
          <w:rFonts w:ascii="Times New Roman" w:hAnsi="Times New Roman" w:cs="Times New Roman"/>
          <w:i/>
          <w:sz w:val="20"/>
          <w:szCs w:val="20"/>
        </w:rPr>
      </w:pPr>
      <w:r w:rsidRPr="00227772">
        <w:rPr>
          <w:rFonts w:ascii="Times New Roman" w:hAnsi="Times New Roman" w:cs="Times New Roman"/>
          <w:i/>
          <w:sz w:val="20"/>
          <w:szCs w:val="20"/>
        </w:rPr>
        <w:t xml:space="preserve">Source: own </w:t>
      </w:r>
      <w:r w:rsidR="00227772" w:rsidRPr="00227772">
        <w:rPr>
          <w:rFonts w:ascii="Times New Roman" w:hAnsi="Times New Roman" w:cs="Times New Roman"/>
          <w:i/>
          <w:sz w:val="20"/>
          <w:szCs w:val="20"/>
        </w:rPr>
        <w:t>descriptions and labels</w:t>
      </w:r>
    </w:p>
    <w:p w14:paraId="2A3C1E4E" w14:textId="32FF9F6F" w:rsidR="00294AFB" w:rsidRPr="00136B78" w:rsidRDefault="00294AFB" w:rsidP="007547C4">
      <w:pPr>
        <w:jc w:val="both"/>
        <w:rPr>
          <w:rFonts w:ascii="Times New Roman" w:hAnsi="Times New Roman" w:cs="Times New Roman"/>
          <w:sz w:val="24"/>
          <w:szCs w:val="24"/>
        </w:rPr>
        <w:sectPr w:rsidR="00294AFB" w:rsidRPr="00136B78" w:rsidSect="00294AFB">
          <w:pgSz w:w="16838" w:h="11906" w:orient="landscape"/>
          <w:pgMar w:top="567" w:right="720" w:bottom="567" w:left="720" w:header="709" w:footer="709" w:gutter="0"/>
          <w:cols w:space="708"/>
          <w:docGrid w:linePitch="360"/>
        </w:sectPr>
      </w:pPr>
    </w:p>
    <w:p w14:paraId="065D4645" w14:textId="73354CE6" w:rsidR="00385B29" w:rsidRDefault="00385B29" w:rsidP="008D1ECC">
      <w:pPr>
        <w:spacing w:after="0"/>
        <w:jc w:val="both"/>
        <w:rPr>
          <w:rFonts w:ascii="Times New Roman" w:hAnsi="Times New Roman" w:cs="Times New Roman"/>
          <w:sz w:val="24"/>
          <w:szCs w:val="24"/>
        </w:rPr>
      </w:pPr>
      <w:r w:rsidRPr="00136B78">
        <w:rPr>
          <w:rFonts w:ascii="Times New Roman" w:hAnsi="Times New Roman" w:cs="Times New Roman"/>
          <w:sz w:val="24"/>
        </w:rPr>
        <w:lastRenderedPageBreak/>
        <w:t xml:space="preserve">Table 2: </w:t>
      </w:r>
      <w:r>
        <w:rPr>
          <w:rFonts w:ascii="Times New Roman" w:hAnsi="Times New Roman" w:cs="Times New Roman"/>
          <w:sz w:val="24"/>
        </w:rPr>
        <w:t xml:space="preserve">A </w:t>
      </w:r>
      <w:r w:rsidRPr="00136B78">
        <w:rPr>
          <w:rFonts w:ascii="Times New Roman" w:hAnsi="Times New Roman" w:cs="Times New Roman"/>
          <w:sz w:val="24"/>
        </w:rPr>
        <w:t>201</w:t>
      </w:r>
      <w:r w:rsidR="0011070A">
        <w:rPr>
          <w:rFonts w:ascii="Times New Roman" w:hAnsi="Times New Roman" w:cs="Times New Roman"/>
          <w:sz w:val="24"/>
        </w:rPr>
        <w:t>9</w:t>
      </w:r>
      <w:r w:rsidRPr="00136B78">
        <w:rPr>
          <w:rFonts w:ascii="Times New Roman" w:hAnsi="Times New Roman" w:cs="Times New Roman"/>
          <w:sz w:val="24"/>
        </w:rPr>
        <w:t xml:space="preserve"> Macro SAM for South Africa (Billions of Rands)</w:t>
      </w:r>
    </w:p>
    <w:tbl>
      <w:tblPr>
        <w:tblW w:w="15077" w:type="dxa"/>
        <w:tblInd w:w="-185" w:type="dxa"/>
        <w:tblLook w:val="04A0" w:firstRow="1" w:lastRow="0" w:firstColumn="1" w:lastColumn="0" w:noHBand="0" w:noVBand="1"/>
      </w:tblPr>
      <w:tblGrid>
        <w:gridCol w:w="1265"/>
        <w:gridCol w:w="928"/>
        <w:gridCol w:w="1054"/>
        <w:gridCol w:w="928"/>
        <w:gridCol w:w="928"/>
        <w:gridCol w:w="928"/>
        <w:gridCol w:w="957"/>
        <w:gridCol w:w="1015"/>
        <w:gridCol w:w="764"/>
        <w:gridCol w:w="795"/>
        <w:gridCol w:w="764"/>
        <w:gridCol w:w="795"/>
        <w:gridCol w:w="925"/>
        <w:gridCol w:w="1086"/>
        <w:gridCol w:w="928"/>
        <w:gridCol w:w="1017"/>
      </w:tblGrid>
      <w:tr w:rsidR="00385B29" w:rsidRPr="00136B78" w14:paraId="55D7069C" w14:textId="77777777" w:rsidTr="00CB4DE8">
        <w:trPr>
          <w:trHeight w:val="432"/>
        </w:trPr>
        <w:tc>
          <w:tcPr>
            <w:tcW w:w="126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35D8116" w14:textId="77777777" w:rsidR="00385B29" w:rsidRPr="00136B78" w:rsidRDefault="00385B29" w:rsidP="00D20477">
            <w:pPr>
              <w:spacing w:after="0"/>
              <w:jc w:val="center"/>
              <w:rPr>
                <w:rFonts w:ascii="Times New Roman" w:hAnsi="Times New Roman" w:cs="Times New Roman"/>
                <w:color w:val="000000"/>
                <w:sz w:val="16"/>
                <w:szCs w:val="14"/>
              </w:rPr>
            </w:pPr>
          </w:p>
        </w:tc>
        <w:tc>
          <w:tcPr>
            <w:tcW w:w="928" w:type="dxa"/>
            <w:tcBorders>
              <w:top w:val="single" w:sz="4" w:space="0" w:color="auto"/>
              <w:left w:val="nil"/>
              <w:bottom w:val="single" w:sz="4" w:space="0" w:color="auto"/>
              <w:right w:val="single" w:sz="4" w:space="0" w:color="auto"/>
            </w:tcBorders>
            <w:shd w:val="clear" w:color="000000" w:fill="C0C0C0"/>
            <w:vAlign w:val="center"/>
            <w:hideMark/>
          </w:tcPr>
          <w:p w14:paraId="752DEF6C"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Activi</w:t>
            </w:r>
            <w:proofErr w:type="spellEnd"/>
            <w:r w:rsidRPr="00136B78">
              <w:rPr>
                <w:rFonts w:ascii="Times New Roman" w:hAnsi="Times New Roman" w:cs="Times New Roman"/>
                <w:color w:val="000000"/>
                <w:sz w:val="16"/>
                <w:szCs w:val="14"/>
              </w:rPr>
              <w:t>-</w:t>
            </w:r>
          </w:p>
          <w:p w14:paraId="7E46F88B"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ties</w:t>
            </w:r>
          </w:p>
        </w:tc>
        <w:tc>
          <w:tcPr>
            <w:tcW w:w="1054" w:type="dxa"/>
            <w:tcBorders>
              <w:top w:val="single" w:sz="4" w:space="0" w:color="auto"/>
              <w:left w:val="nil"/>
              <w:bottom w:val="single" w:sz="4" w:space="0" w:color="auto"/>
              <w:right w:val="single" w:sz="4" w:space="0" w:color="auto"/>
            </w:tcBorders>
            <w:shd w:val="clear" w:color="000000" w:fill="C0C0C0"/>
            <w:vAlign w:val="center"/>
            <w:hideMark/>
          </w:tcPr>
          <w:p w14:paraId="03B9E582"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Commodi</w:t>
            </w:r>
            <w:proofErr w:type="spellEnd"/>
            <w:r w:rsidRPr="00136B78">
              <w:rPr>
                <w:rFonts w:ascii="Times New Roman" w:hAnsi="Times New Roman" w:cs="Times New Roman"/>
                <w:color w:val="000000"/>
                <w:sz w:val="16"/>
                <w:szCs w:val="14"/>
              </w:rPr>
              <w:t>-</w:t>
            </w:r>
          </w:p>
          <w:p w14:paraId="0DA66D31"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ties</w:t>
            </w:r>
          </w:p>
        </w:tc>
        <w:tc>
          <w:tcPr>
            <w:tcW w:w="928" w:type="dxa"/>
            <w:tcBorders>
              <w:top w:val="single" w:sz="4" w:space="0" w:color="auto"/>
              <w:left w:val="nil"/>
              <w:bottom w:val="single" w:sz="4" w:space="0" w:color="auto"/>
              <w:right w:val="single" w:sz="4" w:space="0" w:color="auto"/>
            </w:tcBorders>
            <w:shd w:val="clear" w:color="000000" w:fill="C0C0C0"/>
            <w:vAlign w:val="center"/>
            <w:hideMark/>
          </w:tcPr>
          <w:p w14:paraId="44B7B6C9"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Labour</w:t>
            </w:r>
          </w:p>
        </w:tc>
        <w:tc>
          <w:tcPr>
            <w:tcW w:w="928" w:type="dxa"/>
            <w:tcBorders>
              <w:top w:val="single" w:sz="4" w:space="0" w:color="auto"/>
              <w:left w:val="nil"/>
              <w:bottom w:val="single" w:sz="4" w:space="0" w:color="auto"/>
              <w:right w:val="single" w:sz="4" w:space="0" w:color="auto"/>
            </w:tcBorders>
            <w:shd w:val="clear" w:color="000000" w:fill="C0C0C0"/>
            <w:vAlign w:val="center"/>
            <w:hideMark/>
          </w:tcPr>
          <w:p w14:paraId="56EC0985"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Capital</w:t>
            </w:r>
          </w:p>
        </w:tc>
        <w:tc>
          <w:tcPr>
            <w:tcW w:w="928" w:type="dxa"/>
            <w:tcBorders>
              <w:top w:val="single" w:sz="4" w:space="0" w:color="auto"/>
              <w:left w:val="nil"/>
              <w:bottom w:val="single" w:sz="4" w:space="0" w:color="auto"/>
              <w:right w:val="single" w:sz="4" w:space="0" w:color="auto"/>
            </w:tcBorders>
            <w:shd w:val="clear" w:color="000000" w:fill="C0C0C0"/>
            <w:vAlign w:val="center"/>
            <w:hideMark/>
          </w:tcPr>
          <w:p w14:paraId="38361E9D"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Enter-</w:t>
            </w:r>
          </w:p>
          <w:p w14:paraId="0F414B13"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prises</w:t>
            </w:r>
          </w:p>
        </w:tc>
        <w:tc>
          <w:tcPr>
            <w:tcW w:w="957" w:type="dxa"/>
            <w:tcBorders>
              <w:top w:val="single" w:sz="4" w:space="0" w:color="auto"/>
              <w:left w:val="nil"/>
              <w:bottom w:val="single" w:sz="4" w:space="0" w:color="auto"/>
              <w:right w:val="single" w:sz="4" w:space="0" w:color="auto"/>
            </w:tcBorders>
            <w:shd w:val="clear" w:color="000000" w:fill="C0C0C0"/>
            <w:vAlign w:val="center"/>
            <w:hideMark/>
          </w:tcPr>
          <w:p w14:paraId="56E9C9CE"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House-</w:t>
            </w:r>
          </w:p>
          <w:p w14:paraId="61EFBCA0"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holds</w:t>
            </w:r>
          </w:p>
        </w:tc>
        <w:tc>
          <w:tcPr>
            <w:tcW w:w="1015" w:type="dxa"/>
            <w:tcBorders>
              <w:top w:val="single" w:sz="4" w:space="0" w:color="auto"/>
              <w:left w:val="nil"/>
              <w:bottom w:val="single" w:sz="4" w:space="0" w:color="auto"/>
              <w:right w:val="single" w:sz="4" w:space="0" w:color="auto"/>
            </w:tcBorders>
            <w:shd w:val="clear" w:color="000000" w:fill="C0C0C0"/>
            <w:vAlign w:val="center"/>
            <w:hideMark/>
          </w:tcPr>
          <w:p w14:paraId="45242954"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Govern-</w:t>
            </w:r>
          </w:p>
          <w:p w14:paraId="1752683D"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ment</w:t>
            </w:r>
            <w:proofErr w:type="spellEnd"/>
          </w:p>
        </w:tc>
        <w:tc>
          <w:tcPr>
            <w:tcW w:w="764" w:type="dxa"/>
            <w:tcBorders>
              <w:top w:val="single" w:sz="4" w:space="0" w:color="auto"/>
              <w:left w:val="nil"/>
              <w:bottom w:val="single" w:sz="4" w:space="0" w:color="auto"/>
              <w:right w:val="single" w:sz="4" w:space="0" w:color="auto"/>
            </w:tcBorders>
            <w:shd w:val="clear" w:color="000000" w:fill="C0C0C0"/>
            <w:vAlign w:val="center"/>
            <w:hideMark/>
          </w:tcPr>
          <w:p w14:paraId="4F75B524"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Net activity taxes</w:t>
            </w:r>
          </w:p>
        </w:tc>
        <w:tc>
          <w:tcPr>
            <w:tcW w:w="795" w:type="dxa"/>
            <w:tcBorders>
              <w:top w:val="single" w:sz="4" w:space="0" w:color="auto"/>
              <w:left w:val="nil"/>
              <w:bottom w:val="single" w:sz="4" w:space="0" w:color="auto"/>
              <w:right w:val="single" w:sz="4" w:space="0" w:color="auto"/>
            </w:tcBorders>
            <w:shd w:val="clear" w:color="000000" w:fill="C0C0C0"/>
            <w:vAlign w:val="center"/>
            <w:hideMark/>
          </w:tcPr>
          <w:p w14:paraId="71B2FCC4"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Net product taxes</w:t>
            </w:r>
          </w:p>
        </w:tc>
        <w:tc>
          <w:tcPr>
            <w:tcW w:w="764" w:type="dxa"/>
            <w:tcBorders>
              <w:top w:val="single" w:sz="4" w:space="0" w:color="auto"/>
              <w:left w:val="nil"/>
              <w:bottom w:val="single" w:sz="4" w:space="0" w:color="auto"/>
              <w:right w:val="single" w:sz="4" w:space="0" w:color="auto"/>
            </w:tcBorders>
            <w:shd w:val="clear" w:color="000000" w:fill="C0C0C0"/>
            <w:vAlign w:val="center"/>
            <w:hideMark/>
          </w:tcPr>
          <w:p w14:paraId="7A97F179"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Import duties</w:t>
            </w:r>
          </w:p>
        </w:tc>
        <w:tc>
          <w:tcPr>
            <w:tcW w:w="795" w:type="dxa"/>
            <w:tcBorders>
              <w:top w:val="single" w:sz="4" w:space="0" w:color="auto"/>
              <w:left w:val="nil"/>
              <w:bottom w:val="single" w:sz="4" w:space="0" w:color="auto"/>
              <w:right w:val="single" w:sz="4" w:space="0" w:color="auto"/>
            </w:tcBorders>
            <w:shd w:val="clear" w:color="000000" w:fill="C0C0C0"/>
            <w:vAlign w:val="center"/>
            <w:hideMark/>
          </w:tcPr>
          <w:p w14:paraId="32179BFB"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Income taxes</w:t>
            </w:r>
          </w:p>
        </w:tc>
        <w:tc>
          <w:tcPr>
            <w:tcW w:w="925" w:type="dxa"/>
            <w:tcBorders>
              <w:top w:val="single" w:sz="4" w:space="0" w:color="auto"/>
              <w:left w:val="nil"/>
              <w:bottom w:val="single" w:sz="4" w:space="0" w:color="auto"/>
              <w:right w:val="single" w:sz="4" w:space="0" w:color="auto"/>
            </w:tcBorders>
            <w:shd w:val="clear" w:color="000000" w:fill="C0C0C0"/>
            <w:vAlign w:val="center"/>
            <w:hideMark/>
          </w:tcPr>
          <w:p w14:paraId="4EC7AAC0"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Changes in invent-</w:t>
            </w:r>
          </w:p>
          <w:p w14:paraId="5CEE54ED"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tories</w:t>
            </w:r>
            <w:proofErr w:type="spellEnd"/>
          </w:p>
        </w:tc>
        <w:tc>
          <w:tcPr>
            <w:tcW w:w="1086" w:type="dxa"/>
            <w:tcBorders>
              <w:top w:val="single" w:sz="4" w:space="0" w:color="auto"/>
              <w:left w:val="nil"/>
              <w:bottom w:val="single" w:sz="4" w:space="0" w:color="auto"/>
              <w:right w:val="single" w:sz="4" w:space="0" w:color="auto"/>
            </w:tcBorders>
            <w:shd w:val="clear" w:color="000000" w:fill="C0C0C0"/>
            <w:vAlign w:val="center"/>
            <w:hideMark/>
          </w:tcPr>
          <w:p w14:paraId="3E3CE562"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Accumu</w:t>
            </w:r>
            <w:proofErr w:type="spellEnd"/>
            <w:r w:rsidRPr="00136B78">
              <w:rPr>
                <w:rFonts w:ascii="Times New Roman" w:hAnsi="Times New Roman" w:cs="Times New Roman"/>
                <w:color w:val="000000"/>
                <w:sz w:val="16"/>
                <w:szCs w:val="14"/>
              </w:rPr>
              <w:t>-</w:t>
            </w:r>
          </w:p>
          <w:p w14:paraId="4138BFE9" w14:textId="77777777" w:rsidR="00385B29" w:rsidRPr="00136B78" w:rsidRDefault="00385B29" w:rsidP="00D20477">
            <w:pPr>
              <w:spacing w:after="0"/>
              <w:jc w:val="center"/>
              <w:rPr>
                <w:rFonts w:ascii="Times New Roman" w:hAnsi="Times New Roman" w:cs="Times New Roman"/>
                <w:color w:val="000000"/>
                <w:sz w:val="16"/>
                <w:szCs w:val="14"/>
              </w:rPr>
            </w:pPr>
            <w:proofErr w:type="spellStart"/>
            <w:r w:rsidRPr="00136B78">
              <w:rPr>
                <w:rFonts w:ascii="Times New Roman" w:hAnsi="Times New Roman" w:cs="Times New Roman"/>
                <w:color w:val="000000"/>
                <w:sz w:val="16"/>
                <w:szCs w:val="14"/>
              </w:rPr>
              <w:t>lation</w:t>
            </w:r>
            <w:proofErr w:type="spellEnd"/>
          </w:p>
        </w:tc>
        <w:tc>
          <w:tcPr>
            <w:tcW w:w="928" w:type="dxa"/>
            <w:tcBorders>
              <w:top w:val="single" w:sz="4" w:space="0" w:color="auto"/>
              <w:left w:val="nil"/>
              <w:bottom w:val="single" w:sz="4" w:space="0" w:color="auto"/>
              <w:right w:val="single" w:sz="4" w:space="0" w:color="auto"/>
            </w:tcBorders>
            <w:shd w:val="clear" w:color="000000" w:fill="C0C0C0"/>
            <w:vAlign w:val="center"/>
            <w:hideMark/>
          </w:tcPr>
          <w:p w14:paraId="39272948" w14:textId="77777777" w:rsidR="00385B29" w:rsidRPr="00136B78" w:rsidRDefault="00385B29" w:rsidP="00D20477">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Rest of the world</w:t>
            </w:r>
          </w:p>
        </w:tc>
        <w:tc>
          <w:tcPr>
            <w:tcW w:w="1017" w:type="dxa"/>
            <w:tcBorders>
              <w:top w:val="single" w:sz="4" w:space="0" w:color="auto"/>
              <w:left w:val="nil"/>
              <w:bottom w:val="single" w:sz="4" w:space="0" w:color="auto"/>
              <w:right w:val="single" w:sz="4" w:space="0" w:color="auto"/>
            </w:tcBorders>
            <w:shd w:val="clear" w:color="000000" w:fill="C0C0C0"/>
            <w:vAlign w:val="center"/>
            <w:hideMark/>
          </w:tcPr>
          <w:p w14:paraId="2E678E9E" w14:textId="77777777" w:rsidR="00385B29" w:rsidRPr="00136B78" w:rsidRDefault="00385B29" w:rsidP="00D20477">
            <w:pPr>
              <w:spacing w:after="0"/>
              <w:jc w:val="center"/>
              <w:rPr>
                <w:rFonts w:ascii="Times New Roman" w:hAnsi="Times New Roman" w:cs="Times New Roman"/>
                <w:b/>
                <w:color w:val="000000"/>
                <w:sz w:val="16"/>
                <w:szCs w:val="14"/>
              </w:rPr>
            </w:pPr>
            <w:r w:rsidRPr="00136B78">
              <w:rPr>
                <w:rFonts w:ascii="Times New Roman" w:hAnsi="Times New Roman" w:cs="Times New Roman"/>
                <w:b/>
                <w:color w:val="000000"/>
                <w:sz w:val="16"/>
                <w:szCs w:val="14"/>
              </w:rPr>
              <w:t>Total</w:t>
            </w:r>
          </w:p>
        </w:tc>
      </w:tr>
      <w:tr w:rsidR="00CB4DE8" w:rsidRPr="00136B78" w14:paraId="04BEFEDC"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352565E4"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Activities</w:t>
            </w:r>
          </w:p>
        </w:tc>
        <w:tc>
          <w:tcPr>
            <w:tcW w:w="928" w:type="dxa"/>
            <w:tcBorders>
              <w:top w:val="nil"/>
              <w:left w:val="nil"/>
              <w:bottom w:val="single" w:sz="4" w:space="0" w:color="auto"/>
              <w:right w:val="single" w:sz="4" w:space="0" w:color="auto"/>
            </w:tcBorders>
            <w:shd w:val="clear" w:color="auto" w:fill="auto"/>
            <w:noWrap/>
            <w:vAlign w:val="center"/>
            <w:hideMark/>
          </w:tcPr>
          <w:p w14:paraId="76C29FC9" w14:textId="3F4FCBF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2378D88F" w14:textId="4D58399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9,732</w:t>
            </w:r>
          </w:p>
        </w:tc>
        <w:tc>
          <w:tcPr>
            <w:tcW w:w="928" w:type="dxa"/>
            <w:tcBorders>
              <w:top w:val="nil"/>
              <w:left w:val="nil"/>
              <w:bottom w:val="single" w:sz="4" w:space="0" w:color="auto"/>
              <w:right w:val="single" w:sz="4" w:space="0" w:color="auto"/>
            </w:tcBorders>
            <w:shd w:val="clear" w:color="auto" w:fill="auto"/>
            <w:noWrap/>
            <w:vAlign w:val="center"/>
            <w:hideMark/>
          </w:tcPr>
          <w:p w14:paraId="6E18A736" w14:textId="4CA6672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2D3A479" w14:textId="26CFB1A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C59987D" w14:textId="08DE80B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243BC7C8" w14:textId="5AFD101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246C0B5D" w14:textId="39606A1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5FFCC21B" w14:textId="42D23B8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EAF5F0B" w14:textId="1643C2E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28DE3603" w14:textId="4099E01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6FCAE53B" w14:textId="6A3735C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55C907F6" w14:textId="63165E6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C434834" w14:textId="6C30196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C35B294" w14:textId="0C4ADCD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1310C0BE" w14:textId="51D1EF8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9,732</w:t>
            </w:r>
          </w:p>
        </w:tc>
      </w:tr>
      <w:tr w:rsidR="00CB4DE8" w:rsidRPr="00136B78" w14:paraId="2EEDCE03"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2E43FC7D"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Commodities</w:t>
            </w:r>
          </w:p>
        </w:tc>
        <w:tc>
          <w:tcPr>
            <w:tcW w:w="928" w:type="dxa"/>
            <w:tcBorders>
              <w:top w:val="nil"/>
              <w:left w:val="nil"/>
              <w:bottom w:val="single" w:sz="4" w:space="0" w:color="auto"/>
              <w:right w:val="single" w:sz="4" w:space="0" w:color="auto"/>
            </w:tcBorders>
            <w:shd w:val="clear" w:color="auto" w:fill="auto"/>
            <w:noWrap/>
            <w:vAlign w:val="center"/>
            <w:hideMark/>
          </w:tcPr>
          <w:p w14:paraId="013A1497" w14:textId="5EFBEA5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5,208</w:t>
            </w:r>
          </w:p>
        </w:tc>
        <w:tc>
          <w:tcPr>
            <w:tcW w:w="1054" w:type="dxa"/>
            <w:tcBorders>
              <w:top w:val="nil"/>
              <w:left w:val="nil"/>
              <w:bottom w:val="single" w:sz="4" w:space="0" w:color="auto"/>
              <w:right w:val="single" w:sz="4" w:space="0" w:color="auto"/>
            </w:tcBorders>
            <w:shd w:val="clear" w:color="auto" w:fill="auto"/>
            <w:noWrap/>
            <w:vAlign w:val="center"/>
            <w:hideMark/>
          </w:tcPr>
          <w:p w14:paraId="2C349BC8" w14:textId="015954B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949009A" w14:textId="5B1291F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00A8FB17" w14:textId="7275B89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DB542D9" w14:textId="29388A8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5DD26017" w14:textId="0BE8517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3,059</w:t>
            </w:r>
          </w:p>
        </w:tc>
        <w:tc>
          <w:tcPr>
            <w:tcW w:w="1015" w:type="dxa"/>
            <w:tcBorders>
              <w:top w:val="nil"/>
              <w:left w:val="nil"/>
              <w:bottom w:val="single" w:sz="4" w:space="0" w:color="auto"/>
              <w:right w:val="single" w:sz="4" w:space="0" w:color="auto"/>
            </w:tcBorders>
            <w:shd w:val="clear" w:color="auto" w:fill="auto"/>
            <w:noWrap/>
            <w:vAlign w:val="center"/>
            <w:hideMark/>
          </w:tcPr>
          <w:p w14:paraId="6ABD2EE4" w14:textId="2E3E2DF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1,081</w:t>
            </w:r>
          </w:p>
        </w:tc>
        <w:tc>
          <w:tcPr>
            <w:tcW w:w="764" w:type="dxa"/>
            <w:tcBorders>
              <w:top w:val="nil"/>
              <w:left w:val="nil"/>
              <w:bottom w:val="single" w:sz="4" w:space="0" w:color="auto"/>
              <w:right w:val="single" w:sz="4" w:space="0" w:color="auto"/>
            </w:tcBorders>
            <w:shd w:val="clear" w:color="auto" w:fill="auto"/>
            <w:noWrap/>
            <w:vAlign w:val="center"/>
            <w:hideMark/>
          </w:tcPr>
          <w:p w14:paraId="76BCC72D" w14:textId="2276D3C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43320E32" w14:textId="43A7016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72576FF3" w14:textId="78ECFE1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1F6EAAAD" w14:textId="36DDA5D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739669D0" w14:textId="1431C3A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3</w:t>
            </w:r>
          </w:p>
        </w:tc>
        <w:tc>
          <w:tcPr>
            <w:tcW w:w="1086" w:type="dxa"/>
            <w:tcBorders>
              <w:top w:val="nil"/>
              <w:left w:val="nil"/>
              <w:bottom w:val="single" w:sz="4" w:space="0" w:color="auto"/>
              <w:right w:val="single" w:sz="4" w:space="0" w:color="auto"/>
            </w:tcBorders>
            <w:shd w:val="clear" w:color="auto" w:fill="auto"/>
            <w:noWrap/>
            <w:vAlign w:val="center"/>
            <w:hideMark/>
          </w:tcPr>
          <w:p w14:paraId="6C664EE4" w14:textId="008F3E3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909</w:t>
            </w:r>
          </w:p>
        </w:tc>
        <w:tc>
          <w:tcPr>
            <w:tcW w:w="928" w:type="dxa"/>
            <w:tcBorders>
              <w:top w:val="nil"/>
              <w:left w:val="nil"/>
              <w:bottom w:val="single" w:sz="4" w:space="0" w:color="auto"/>
              <w:right w:val="single" w:sz="4" w:space="0" w:color="auto"/>
            </w:tcBorders>
            <w:shd w:val="clear" w:color="auto" w:fill="auto"/>
            <w:noWrap/>
            <w:vAlign w:val="center"/>
            <w:hideMark/>
          </w:tcPr>
          <w:p w14:paraId="2BED6442" w14:textId="70BA8D9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1,516</w:t>
            </w:r>
          </w:p>
        </w:tc>
        <w:tc>
          <w:tcPr>
            <w:tcW w:w="1017" w:type="dxa"/>
            <w:tcBorders>
              <w:top w:val="nil"/>
              <w:left w:val="nil"/>
              <w:bottom w:val="single" w:sz="4" w:space="0" w:color="auto"/>
              <w:right w:val="single" w:sz="4" w:space="0" w:color="auto"/>
            </w:tcBorders>
            <w:shd w:val="clear" w:color="auto" w:fill="auto"/>
            <w:noWrap/>
            <w:vAlign w:val="center"/>
            <w:hideMark/>
          </w:tcPr>
          <w:p w14:paraId="4D2C1350" w14:textId="332E740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11,776</w:t>
            </w:r>
          </w:p>
        </w:tc>
      </w:tr>
      <w:tr w:rsidR="00CB4DE8" w:rsidRPr="00136B78" w14:paraId="7DB402AF"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74051CC8"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Labour</w:t>
            </w:r>
          </w:p>
        </w:tc>
        <w:tc>
          <w:tcPr>
            <w:tcW w:w="928" w:type="dxa"/>
            <w:tcBorders>
              <w:top w:val="nil"/>
              <w:left w:val="nil"/>
              <w:bottom w:val="single" w:sz="4" w:space="0" w:color="auto"/>
              <w:right w:val="single" w:sz="4" w:space="0" w:color="auto"/>
            </w:tcBorders>
            <w:shd w:val="clear" w:color="auto" w:fill="auto"/>
            <w:noWrap/>
            <w:vAlign w:val="center"/>
            <w:hideMark/>
          </w:tcPr>
          <w:p w14:paraId="032E20BE" w14:textId="5FFF7DB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2,419</w:t>
            </w:r>
          </w:p>
        </w:tc>
        <w:tc>
          <w:tcPr>
            <w:tcW w:w="1054" w:type="dxa"/>
            <w:tcBorders>
              <w:top w:val="nil"/>
              <w:left w:val="nil"/>
              <w:bottom w:val="single" w:sz="4" w:space="0" w:color="auto"/>
              <w:right w:val="single" w:sz="4" w:space="0" w:color="auto"/>
            </w:tcBorders>
            <w:shd w:val="clear" w:color="auto" w:fill="auto"/>
            <w:noWrap/>
            <w:vAlign w:val="center"/>
            <w:hideMark/>
          </w:tcPr>
          <w:p w14:paraId="1BAAC4B6" w14:textId="678601D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014929A1" w14:textId="1B0239D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ECEAFBF" w14:textId="3F722D5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0A391D50" w14:textId="1A4372C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4C264CDF" w14:textId="2897DB6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745FD370" w14:textId="64C9738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1B3F5405" w14:textId="1F6121B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6786FFAF" w14:textId="6C56202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410BBB6F" w14:textId="3F1C290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A226983" w14:textId="365E8F2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1536BEC7" w14:textId="64A6284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70419941" w14:textId="556306B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1FA13EF6" w14:textId="23A8630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13</w:t>
            </w:r>
          </w:p>
        </w:tc>
        <w:tc>
          <w:tcPr>
            <w:tcW w:w="1017" w:type="dxa"/>
            <w:tcBorders>
              <w:top w:val="nil"/>
              <w:left w:val="nil"/>
              <w:bottom w:val="single" w:sz="4" w:space="0" w:color="auto"/>
              <w:right w:val="single" w:sz="4" w:space="0" w:color="auto"/>
            </w:tcBorders>
            <w:shd w:val="clear" w:color="auto" w:fill="auto"/>
            <w:noWrap/>
            <w:vAlign w:val="center"/>
            <w:hideMark/>
          </w:tcPr>
          <w:p w14:paraId="07F93006" w14:textId="351308A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2,431</w:t>
            </w:r>
          </w:p>
        </w:tc>
      </w:tr>
      <w:tr w:rsidR="00CB4DE8" w:rsidRPr="00136B78" w14:paraId="4973008D"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7DD7EFBA"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Capital</w:t>
            </w:r>
          </w:p>
        </w:tc>
        <w:tc>
          <w:tcPr>
            <w:tcW w:w="928" w:type="dxa"/>
            <w:tcBorders>
              <w:top w:val="nil"/>
              <w:left w:val="nil"/>
              <w:bottom w:val="single" w:sz="4" w:space="0" w:color="auto"/>
              <w:right w:val="single" w:sz="4" w:space="0" w:color="auto"/>
            </w:tcBorders>
            <w:shd w:val="clear" w:color="auto" w:fill="auto"/>
            <w:noWrap/>
            <w:vAlign w:val="center"/>
            <w:hideMark/>
          </w:tcPr>
          <w:p w14:paraId="6014B206" w14:textId="2A93A79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2,010</w:t>
            </w:r>
          </w:p>
        </w:tc>
        <w:tc>
          <w:tcPr>
            <w:tcW w:w="1054" w:type="dxa"/>
            <w:tcBorders>
              <w:top w:val="nil"/>
              <w:left w:val="nil"/>
              <w:bottom w:val="single" w:sz="4" w:space="0" w:color="auto"/>
              <w:right w:val="single" w:sz="4" w:space="0" w:color="auto"/>
            </w:tcBorders>
            <w:shd w:val="clear" w:color="auto" w:fill="auto"/>
            <w:noWrap/>
            <w:vAlign w:val="center"/>
            <w:hideMark/>
          </w:tcPr>
          <w:p w14:paraId="14FE68F9" w14:textId="7D91A54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F0DD54C" w14:textId="577F331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0BCB154" w14:textId="45D7FB8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1EBD2EE" w14:textId="09D8714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7F07F87B" w14:textId="4F7DD24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6FD488FB" w14:textId="28F9F8A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47980097" w14:textId="18C5750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2D5B80FD" w14:textId="6A27CDF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2A704579" w14:textId="14151B3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30260B73" w14:textId="08C2572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3E92021C" w14:textId="2295B61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0267C305" w14:textId="6477DBD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1B137EF" w14:textId="0D8D544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104</w:t>
            </w:r>
          </w:p>
        </w:tc>
        <w:tc>
          <w:tcPr>
            <w:tcW w:w="1017" w:type="dxa"/>
            <w:tcBorders>
              <w:top w:val="nil"/>
              <w:left w:val="nil"/>
              <w:bottom w:val="single" w:sz="4" w:space="0" w:color="auto"/>
              <w:right w:val="single" w:sz="4" w:space="0" w:color="auto"/>
            </w:tcBorders>
            <w:shd w:val="clear" w:color="auto" w:fill="auto"/>
            <w:noWrap/>
            <w:vAlign w:val="center"/>
            <w:hideMark/>
          </w:tcPr>
          <w:p w14:paraId="66BBB09A" w14:textId="07E85A4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2,114</w:t>
            </w:r>
          </w:p>
        </w:tc>
      </w:tr>
      <w:tr w:rsidR="00CB4DE8" w:rsidRPr="00136B78" w14:paraId="352086AB"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5BE8FDAF"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Enterprises</w:t>
            </w:r>
          </w:p>
        </w:tc>
        <w:tc>
          <w:tcPr>
            <w:tcW w:w="928" w:type="dxa"/>
            <w:tcBorders>
              <w:top w:val="nil"/>
              <w:left w:val="nil"/>
              <w:bottom w:val="single" w:sz="4" w:space="0" w:color="auto"/>
              <w:right w:val="single" w:sz="4" w:space="0" w:color="auto"/>
            </w:tcBorders>
            <w:shd w:val="clear" w:color="auto" w:fill="auto"/>
            <w:noWrap/>
            <w:vAlign w:val="center"/>
            <w:hideMark/>
          </w:tcPr>
          <w:p w14:paraId="145901F6" w14:textId="77DC765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35ACF69C" w14:textId="5FB5C86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77D9A02" w14:textId="5BD7223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88A28AD" w14:textId="61A232B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1,097</w:t>
            </w:r>
          </w:p>
        </w:tc>
        <w:tc>
          <w:tcPr>
            <w:tcW w:w="928" w:type="dxa"/>
            <w:tcBorders>
              <w:top w:val="nil"/>
              <w:left w:val="nil"/>
              <w:bottom w:val="single" w:sz="4" w:space="0" w:color="auto"/>
              <w:right w:val="single" w:sz="4" w:space="0" w:color="auto"/>
            </w:tcBorders>
            <w:shd w:val="clear" w:color="auto" w:fill="auto"/>
            <w:noWrap/>
            <w:vAlign w:val="center"/>
            <w:hideMark/>
          </w:tcPr>
          <w:p w14:paraId="2747488B" w14:textId="086FDB6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567</w:t>
            </w:r>
          </w:p>
        </w:tc>
        <w:tc>
          <w:tcPr>
            <w:tcW w:w="957" w:type="dxa"/>
            <w:tcBorders>
              <w:top w:val="nil"/>
              <w:left w:val="nil"/>
              <w:bottom w:val="single" w:sz="4" w:space="0" w:color="auto"/>
              <w:right w:val="single" w:sz="4" w:space="0" w:color="auto"/>
            </w:tcBorders>
            <w:shd w:val="clear" w:color="auto" w:fill="auto"/>
            <w:noWrap/>
            <w:vAlign w:val="center"/>
            <w:hideMark/>
          </w:tcPr>
          <w:p w14:paraId="74B6D236" w14:textId="32EE2C5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727</w:t>
            </w:r>
          </w:p>
        </w:tc>
        <w:tc>
          <w:tcPr>
            <w:tcW w:w="1015" w:type="dxa"/>
            <w:tcBorders>
              <w:top w:val="nil"/>
              <w:left w:val="nil"/>
              <w:bottom w:val="single" w:sz="4" w:space="0" w:color="auto"/>
              <w:right w:val="single" w:sz="4" w:space="0" w:color="auto"/>
            </w:tcBorders>
            <w:shd w:val="clear" w:color="auto" w:fill="auto"/>
            <w:noWrap/>
            <w:vAlign w:val="center"/>
            <w:hideMark/>
          </w:tcPr>
          <w:p w14:paraId="24AB5A07" w14:textId="66069C1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237</w:t>
            </w:r>
          </w:p>
        </w:tc>
        <w:tc>
          <w:tcPr>
            <w:tcW w:w="764" w:type="dxa"/>
            <w:tcBorders>
              <w:top w:val="nil"/>
              <w:left w:val="nil"/>
              <w:bottom w:val="single" w:sz="4" w:space="0" w:color="auto"/>
              <w:right w:val="single" w:sz="4" w:space="0" w:color="auto"/>
            </w:tcBorders>
            <w:shd w:val="clear" w:color="auto" w:fill="auto"/>
            <w:noWrap/>
            <w:vAlign w:val="center"/>
            <w:hideMark/>
          </w:tcPr>
          <w:p w14:paraId="5CA9947C" w14:textId="269F28E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0B23FFF" w14:textId="42F0D3C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014E0982" w14:textId="2BF9331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29CF7B0C" w14:textId="1228C86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17B04564" w14:textId="419BE35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6062DDFD" w14:textId="146E547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BEB0E23" w14:textId="67ABC98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138A20FF" w14:textId="0CB0847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2,628</w:t>
            </w:r>
          </w:p>
        </w:tc>
      </w:tr>
      <w:tr w:rsidR="00CB4DE8" w:rsidRPr="00136B78" w14:paraId="55A6D6AC"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3BDB1228"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Households</w:t>
            </w:r>
          </w:p>
        </w:tc>
        <w:tc>
          <w:tcPr>
            <w:tcW w:w="928" w:type="dxa"/>
            <w:tcBorders>
              <w:top w:val="nil"/>
              <w:left w:val="nil"/>
              <w:bottom w:val="single" w:sz="4" w:space="0" w:color="auto"/>
              <w:right w:val="single" w:sz="4" w:space="0" w:color="auto"/>
            </w:tcBorders>
            <w:shd w:val="clear" w:color="auto" w:fill="auto"/>
            <w:noWrap/>
            <w:vAlign w:val="center"/>
            <w:hideMark/>
          </w:tcPr>
          <w:p w14:paraId="5E545FAC" w14:textId="6AD6621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65E72CD6" w14:textId="3D7E8B5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0B00866" w14:textId="3029BB0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2,416</w:t>
            </w:r>
          </w:p>
        </w:tc>
        <w:tc>
          <w:tcPr>
            <w:tcW w:w="928" w:type="dxa"/>
            <w:tcBorders>
              <w:top w:val="nil"/>
              <w:left w:val="nil"/>
              <w:bottom w:val="single" w:sz="4" w:space="0" w:color="auto"/>
              <w:right w:val="single" w:sz="4" w:space="0" w:color="auto"/>
            </w:tcBorders>
            <w:shd w:val="clear" w:color="auto" w:fill="auto"/>
            <w:noWrap/>
            <w:vAlign w:val="center"/>
            <w:hideMark/>
          </w:tcPr>
          <w:p w14:paraId="2C3F1828" w14:textId="1F05DCF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664</w:t>
            </w:r>
          </w:p>
        </w:tc>
        <w:tc>
          <w:tcPr>
            <w:tcW w:w="928" w:type="dxa"/>
            <w:tcBorders>
              <w:top w:val="nil"/>
              <w:left w:val="nil"/>
              <w:bottom w:val="single" w:sz="4" w:space="0" w:color="auto"/>
              <w:right w:val="single" w:sz="4" w:space="0" w:color="auto"/>
            </w:tcBorders>
            <w:shd w:val="clear" w:color="auto" w:fill="auto"/>
            <w:noWrap/>
            <w:vAlign w:val="center"/>
            <w:hideMark/>
          </w:tcPr>
          <w:p w14:paraId="0B8E8DFA" w14:textId="572DBA7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1,037</w:t>
            </w:r>
          </w:p>
        </w:tc>
        <w:tc>
          <w:tcPr>
            <w:tcW w:w="957" w:type="dxa"/>
            <w:tcBorders>
              <w:top w:val="nil"/>
              <w:left w:val="nil"/>
              <w:bottom w:val="single" w:sz="4" w:space="0" w:color="auto"/>
              <w:right w:val="single" w:sz="4" w:space="0" w:color="auto"/>
            </w:tcBorders>
            <w:shd w:val="clear" w:color="auto" w:fill="auto"/>
            <w:noWrap/>
            <w:vAlign w:val="center"/>
            <w:hideMark/>
          </w:tcPr>
          <w:p w14:paraId="76E96252" w14:textId="1057002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726DCDF6" w14:textId="719CB8B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275</w:t>
            </w:r>
          </w:p>
        </w:tc>
        <w:tc>
          <w:tcPr>
            <w:tcW w:w="764" w:type="dxa"/>
            <w:tcBorders>
              <w:top w:val="nil"/>
              <w:left w:val="nil"/>
              <w:bottom w:val="single" w:sz="4" w:space="0" w:color="auto"/>
              <w:right w:val="single" w:sz="4" w:space="0" w:color="auto"/>
            </w:tcBorders>
            <w:shd w:val="clear" w:color="auto" w:fill="auto"/>
            <w:noWrap/>
            <w:vAlign w:val="center"/>
            <w:hideMark/>
          </w:tcPr>
          <w:p w14:paraId="79833F0A" w14:textId="2466416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3B165965" w14:textId="01E8FEC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63704DC8" w14:textId="62835F7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6664E68B" w14:textId="64F1B75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47ED4A1F" w14:textId="2813590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7541691D" w14:textId="094C166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96A8647" w14:textId="02D6953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26</w:t>
            </w:r>
          </w:p>
        </w:tc>
        <w:tc>
          <w:tcPr>
            <w:tcW w:w="1017" w:type="dxa"/>
            <w:tcBorders>
              <w:top w:val="nil"/>
              <w:left w:val="nil"/>
              <w:bottom w:val="single" w:sz="4" w:space="0" w:color="auto"/>
              <w:right w:val="single" w:sz="4" w:space="0" w:color="auto"/>
            </w:tcBorders>
            <w:shd w:val="clear" w:color="auto" w:fill="auto"/>
            <w:noWrap/>
            <w:vAlign w:val="center"/>
            <w:hideMark/>
          </w:tcPr>
          <w:p w14:paraId="36AE3EAA" w14:textId="775F4B4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4,418</w:t>
            </w:r>
          </w:p>
        </w:tc>
      </w:tr>
      <w:tr w:rsidR="00CB4DE8" w:rsidRPr="00136B78" w14:paraId="4E7164CB"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7C86794B"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Government</w:t>
            </w:r>
          </w:p>
        </w:tc>
        <w:tc>
          <w:tcPr>
            <w:tcW w:w="928" w:type="dxa"/>
            <w:tcBorders>
              <w:top w:val="nil"/>
              <w:left w:val="nil"/>
              <w:bottom w:val="single" w:sz="4" w:space="0" w:color="auto"/>
              <w:right w:val="single" w:sz="4" w:space="0" w:color="auto"/>
            </w:tcBorders>
            <w:shd w:val="clear" w:color="auto" w:fill="auto"/>
            <w:noWrap/>
            <w:vAlign w:val="center"/>
            <w:hideMark/>
          </w:tcPr>
          <w:p w14:paraId="4DE83944" w14:textId="1DD7ED5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60E9CBD4" w14:textId="7FB8D08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043D73F6" w14:textId="7024FED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4966614" w14:textId="3749A31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108</w:t>
            </w:r>
          </w:p>
        </w:tc>
        <w:tc>
          <w:tcPr>
            <w:tcW w:w="928" w:type="dxa"/>
            <w:tcBorders>
              <w:top w:val="nil"/>
              <w:left w:val="nil"/>
              <w:bottom w:val="single" w:sz="4" w:space="0" w:color="auto"/>
              <w:right w:val="single" w:sz="4" w:space="0" w:color="auto"/>
            </w:tcBorders>
            <w:shd w:val="clear" w:color="auto" w:fill="auto"/>
            <w:noWrap/>
            <w:vAlign w:val="center"/>
            <w:hideMark/>
          </w:tcPr>
          <w:p w14:paraId="58D6F291" w14:textId="30AEA54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77</w:t>
            </w:r>
          </w:p>
        </w:tc>
        <w:tc>
          <w:tcPr>
            <w:tcW w:w="957" w:type="dxa"/>
            <w:tcBorders>
              <w:top w:val="nil"/>
              <w:left w:val="nil"/>
              <w:bottom w:val="single" w:sz="4" w:space="0" w:color="auto"/>
              <w:right w:val="single" w:sz="4" w:space="0" w:color="auto"/>
            </w:tcBorders>
            <w:shd w:val="clear" w:color="auto" w:fill="auto"/>
            <w:noWrap/>
            <w:vAlign w:val="center"/>
            <w:hideMark/>
          </w:tcPr>
          <w:p w14:paraId="492494B1" w14:textId="19C3133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13</w:t>
            </w:r>
          </w:p>
        </w:tc>
        <w:tc>
          <w:tcPr>
            <w:tcW w:w="1015" w:type="dxa"/>
            <w:tcBorders>
              <w:top w:val="nil"/>
              <w:left w:val="nil"/>
              <w:bottom w:val="single" w:sz="4" w:space="0" w:color="auto"/>
              <w:right w:val="single" w:sz="4" w:space="0" w:color="auto"/>
            </w:tcBorders>
            <w:shd w:val="clear" w:color="auto" w:fill="auto"/>
            <w:noWrap/>
            <w:vAlign w:val="center"/>
            <w:hideMark/>
          </w:tcPr>
          <w:p w14:paraId="1B693959" w14:textId="6BC3F57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2EC9C627" w14:textId="4858FAF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95</w:t>
            </w:r>
          </w:p>
        </w:tc>
        <w:tc>
          <w:tcPr>
            <w:tcW w:w="795" w:type="dxa"/>
            <w:tcBorders>
              <w:top w:val="nil"/>
              <w:left w:val="nil"/>
              <w:bottom w:val="single" w:sz="4" w:space="0" w:color="auto"/>
              <w:right w:val="single" w:sz="4" w:space="0" w:color="auto"/>
            </w:tcBorders>
            <w:shd w:val="clear" w:color="auto" w:fill="auto"/>
            <w:noWrap/>
            <w:vAlign w:val="center"/>
            <w:hideMark/>
          </w:tcPr>
          <w:p w14:paraId="0DC39033" w14:textId="1172426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498</w:t>
            </w:r>
          </w:p>
        </w:tc>
        <w:tc>
          <w:tcPr>
            <w:tcW w:w="764" w:type="dxa"/>
            <w:tcBorders>
              <w:top w:val="nil"/>
              <w:left w:val="nil"/>
              <w:bottom w:val="single" w:sz="4" w:space="0" w:color="auto"/>
              <w:right w:val="single" w:sz="4" w:space="0" w:color="auto"/>
            </w:tcBorders>
            <w:shd w:val="clear" w:color="auto" w:fill="auto"/>
            <w:noWrap/>
            <w:vAlign w:val="center"/>
            <w:hideMark/>
          </w:tcPr>
          <w:p w14:paraId="227FB9B0" w14:textId="0CCF7F3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56</w:t>
            </w:r>
          </w:p>
        </w:tc>
        <w:tc>
          <w:tcPr>
            <w:tcW w:w="795" w:type="dxa"/>
            <w:tcBorders>
              <w:top w:val="nil"/>
              <w:left w:val="nil"/>
              <w:bottom w:val="single" w:sz="4" w:space="0" w:color="auto"/>
              <w:right w:val="single" w:sz="4" w:space="0" w:color="auto"/>
            </w:tcBorders>
            <w:shd w:val="clear" w:color="auto" w:fill="auto"/>
            <w:noWrap/>
            <w:vAlign w:val="center"/>
            <w:hideMark/>
          </w:tcPr>
          <w:p w14:paraId="19036184" w14:textId="6F10648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783</w:t>
            </w:r>
          </w:p>
        </w:tc>
        <w:tc>
          <w:tcPr>
            <w:tcW w:w="925" w:type="dxa"/>
            <w:tcBorders>
              <w:top w:val="nil"/>
              <w:left w:val="nil"/>
              <w:bottom w:val="single" w:sz="4" w:space="0" w:color="auto"/>
              <w:right w:val="single" w:sz="4" w:space="0" w:color="auto"/>
            </w:tcBorders>
            <w:shd w:val="clear" w:color="auto" w:fill="auto"/>
            <w:noWrap/>
            <w:vAlign w:val="center"/>
            <w:hideMark/>
          </w:tcPr>
          <w:p w14:paraId="31C0D0DB" w14:textId="62EDCEB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4D193B79" w14:textId="581FE82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C0B6999" w14:textId="27B16F5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w:t>
            </w:r>
          </w:p>
        </w:tc>
        <w:tc>
          <w:tcPr>
            <w:tcW w:w="1017" w:type="dxa"/>
            <w:tcBorders>
              <w:top w:val="nil"/>
              <w:left w:val="nil"/>
              <w:bottom w:val="single" w:sz="4" w:space="0" w:color="auto"/>
              <w:right w:val="single" w:sz="4" w:space="0" w:color="auto"/>
            </w:tcBorders>
            <w:shd w:val="clear" w:color="auto" w:fill="auto"/>
            <w:noWrap/>
            <w:vAlign w:val="center"/>
            <w:hideMark/>
          </w:tcPr>
          <w:p w14:paraId="3CDEE7DA" w14:textId="5BE6E2D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1,631</w:t>
            </w:r>
          </w:p>
        </w:tc>
      </w:tr>
      <w:tr w:rsidR="00CB4DE8" w:rsidRPr="00136B78" w14:paraId="1D91A1A7"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6F34AE56"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Net activity taxes</w:t>
            </w:r>
          </w:p>
        </w:tc>
        <w:tc>
          <w:tcPr>
            <w:tcW w:w="928" w:type="dxa"/>
            <w:tcBorders>
              <w:top w:val="nil"/>
              <w:left w:val="nil"/>
              <w:bottom w:val="single" w:sz="4" w:space="0" w:color="auto"/>
              <w:right w:val="single" w:sz="4" w:space="0" w:color="auto"/>
            </w:tcBorders>
            <w:shd w:val="clear" w:color="auto" w:fill="auto"/>
            <w:noWrap/>
            <w:vAlign w:val="center"/>
            <w:hideMark/>
          </w:tcPr>
          <w:p w14:paraId="53111D57" w14:textId="4C2800C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95</w:t>
            </w:r>
          </w:p>
        </w:tc>
        <w:tc>
          <w:tcPr>
            <w:tcW w:w="1054" w:type="dxa"/>
            <w:tcBorders>
              <w:top w:val="nil"/>
              <w:left w:val="nil"/>
              <w:bottom w:val="single" w:sz="4" w:space="0" w:color="auto"/>
              <w:right w:val="single" w:sz="4" w:space="0" w:color="auto"/>
            </w:tcBorders>
            <w:shd w:val="clear" w:color="auto" w:fill="auto"/>
            <w:noWrap/>
            <w:vAlign w:val="center"/>
            <w:hideMark/>
          </w:tcPr>
          <w:p w14:paraId="529F756F" w14:textId="35B1ABA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A691391" w14:textId="7C1300B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C207F43" w14:textId="000EEDD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5BF0229" w14:textId="57C6C25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4BC2AA0C" w14:textId="7F1A8C1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06026F52" w14:textId="387E8D2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267551EA" w14:textId="69F9EFC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DD44F87" w14:textId="3471751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54FBDFDC" w14:textId="7FA7047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5DC7D176" w14:textId="45626F9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55BB9433" w14:textId="6C60D0F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8315DCB" w14:textId="593CB7D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8E7F27D" w14:textId="0966A57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354E72AA" w14:textId="57F9878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95</w:t>
            </w:r>
          </w:p>
        </w:tc>
      </w:tr>
      <w:tr w:rsidR="00CB4DE8" w:rsidRPr="00136B78" w14:paraId="6EEB2DED"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76F3387D"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Net product taxes</w:t>
            </w:r>
          </w:p>
        </w:tc>
        <w:tc>
          <w:tcPr>
            <w:tcW w:w="928" w:type="dxa"/>
            <w:tcBorders>
              <w:top w:val="nil"/>
              <w:left w:val="nil"/>
              <w:bottom w:val="single" w:sz="4" w:space="0" w:color="auto"/>
              <w:right w:val="single" w:sz="4" w:space="0" w:color="auto"/>
            </w:tcBorders>
            <w:shd w:val="clear" w:color="auto" w:fill="auto"/>
            <w:noWrap/>
            <w:vAlign w:val="center"/>
            <w:hideMark/>
          </w:tcPr>
          <w:p w14:paraId="6BCB15C8" w14:textId="1AD1037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690F9BF4" w14:textId="39EFAAC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498</w:t>
            </w:r>
          </w:p>
        </w:tc>
        <w:tc>
          <w:tcPr>
            <w:tcW w:w="928" w:type="dxa"/>
            <w:tcBorders>
              <w:top w:val="nil"/>
              <w:left w:val="nil"/>
              <w:bottom w:val="single" w:sz="4" w:space="0" w:color="auto"/>
              <w:right w:val="single" w:sz="4" w:space="0" w:color="auto"/>
            </w:tcBorders>
            <w:shd w:val="clear" w:color="auto" w:fill="auto"/>
            <w:noWrap/>
            <w:vAlign w:val="center"/>
            <w:hideMark/>
          </w:tcPr>
          <w:p w14:paraId="16DEDB0D" w14:textId="3A76AE2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E863B6A" w14:textId="76046B5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EA24C76" w14:textId="229763B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335C4DEB" w14:textId="24D84AD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7725FE5E" w14:textId="18BC66F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079C5FBA" w14:textId="0EC6B61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1511148D" w14:textId="7843AE0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4B4E1E9E" w14:textId="5778F69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0EF9727C" w14:textId="569834C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12A9C5C8" w14:textId="282C914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6154F1E" w14:textId="50CF11D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A88F3FC" w14:textId="32ED0B6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0304EC55" w14:textId="78F7728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498</w:t>
            </w:r>
          </w:p>
        </w:tc>
      </w:tr>
      <w:tr w:rsidR="00CB4DE8" w:rsidRPr="00136B78" w14:paraId="369B3891"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4F4DCE04"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Import duties</w:t>
            </w:r>
          </w:p>
        </w:tc>
        <w:tc>
          <w:tcPr>
            <w:tcW w:w="928" w:type="dxa"/>
            <w:tcBorders>
              <w:top w:val="nil"/>
              <w:left w:val="nil"/>
              <w:bottom w:val="single" w:sz="4" w:space="0" w:color="auto"/>
              <w:right w:val="single" w:sz="4" w:space="0" w:color="auto"/>
            </w:tcBorders>
            <w:shd w:val="clear" w:color="auto" w:fill="auto"/>
            <w:noWrap/>
            <w:vAlign w:val="center"/>
            <w:hideMark/>
          </w:tcPr>
          <w:p w14:paraId="76E55607" w14:textId="47F07FA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57223DEE" w14:textId="04EA0E9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56</w:t>
            </w:r>
          </w:p>
        </w:tc>
        <w:tc>
          <w:tcPr>
            <w:tcW w:w="928" w:type="dxa"/>
            <w:tcBorders>
              <w:top w:val="nil"/>
              <w:left w:val="nil"/>
              <w:bottom w:val="single" w:sz="4" w:space="0" w:color="auto"/>
              <w:right w:val="single" w:sz="4" w:space="0" w:color="auto"/>
            </w:tcBorders>
            <w:shd w:val="clear" w:color="auto" w:fill="auto"/>
            <w:noWrap/>
            <w:vAlign w:val="center"/>
            <w:hideMark/>
          </w:tcPr>
          <w:p w14:paraId="57AEC92C" w14:textId="223E9D4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7688488" w14:textId="5724B89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2FB156A9" w14:textId="36CB104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41565189" w14:textId="273BC12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2782BAD4" w14:textId="3A6D640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5D462A7C" w14:textId="11A28A1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67D8BE39" w14:textId="2397E39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01066F1F" w14:textId="1502751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6EE1A6A4" w14:textId="1A52C26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61C2CC20" w14:textId="73F8DB7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091DD83F" w14:textId="2D0802E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8FD9C96" w14:textId="2763307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146D0D12" w14:textId="69716BA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56</w:t>
            </w:r>
          </w:p>
        </w:tc>
      </w:tr>
      <w:tr w:rsidR="00CB4DE8" w:rsidRPr="00136B78" w14:paraId="7B87CAC3"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7BD5E206"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Income taxes</w:t>
            </w:r>
          </w:p>
        </w:tc>
        <w:tc>
          <w:tcPr>
            <w:tcW w:w="928" w:type="dxa"/>
            <w:tcBorders>
              <w:top w:val="nil"/>
              <w:left w:val="nil"/>
              <w:bottom w:val="single" w:sz="4" w:space="0" w:color="auto"/>
              <w:right w:val="single" w:sz="4" w:space="0" w:color="auto"/>
            </w:tcBorders>
            <w:shd w:val="clear" w:color="auto" w:fill="auto"/>
            <w:noWrap/>
            <w:vAlign w:val="center"/>
            <w:hideMark/>
          </w:tcPr>
          <w:p w14:paraId="574CE7BB" w14:textId="3F3BEC1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3C62CBF9" w14:textId="78DD02F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537DD89" w14:textId="51C700E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B3A8E96" w14:textId="5A79F1C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07CE4B6" w14:textId="3A5939B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247</w:t>
            </w:r>
          </w:p>
        </w:tc>
        <w:tc>
          <w:tcPr>
            <w:tcW w:w="957" w:type="dxa"/>
            <w:tcBorders>
              <w:top w:val="nil"/>
              <w:left w:val="nil"/>
              <w:bottom w:val="single" w:sz="4" w:space="0" w:color="auto"/>
              <w:right w:val="single" w:sz="4" w:space="0" w:color="auto"/>
            </w:tcBorders>
            <w:shd w:val="clear" w:color="auto" w:fill="auto"/>
            <w:noWrap/>
            <w:vAlign w:val="center"/>
            <w:hideMark/>
          </w:tcPr>
          <w:p w14:paraId="625EFA40" w14:textId="025EEA5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537</w:t>
            </w:r>
          </w:p>
        </w:tc>
        <w:tc>
          <w:tcPr>
            <w:tcW w:w="1015" w:type="dxa"/>
            <w:tcBorders>
              <w:top w:val="nil"/>
              <w:left w:val="nil"/>
              <w:bottom w:val="single" w:sz="4" w:space="0" w:color="auto"/>
              <w:right w:val="single" w:sz="4" w:space="0" w:color="auto"/>
            </w:tcBorders>
            <w:shd w:val="clear" w:color="auto" w:fill="auto"/>
            <w:noWrap/>
            <w:vAlign w:val="center"/>
            <w:hideMark/>
          </w:tcPr>
          <w:p w14:paraId="70B344CF" w14:textId="0E4FFEE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2863B80E" w14:textId="2DF2460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1498B87F" w14:textId="427532D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41EA9795" w14:textId="252B3F37"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5FC618DA" w14:textId="0724D8C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4DB44859" w14:textId="2B9E16A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848606A" w14:textId="6AD8BB6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2BA7936F" w14:textId="1799F5A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56CFC365" w14:textId="0A3179A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783</w:t>
            </w:r>
          </w:p>
        </w:tc>
      </w:tr>
      <w:tr w:rsidR="00CB4DE8" w:rsidRPr="00136B78" w14:paraId="34F13B9D"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237A8936"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Changes in inventories</w:t>
            </w:r>
          </w:p>
        </w:tc>
        <w:tc>
          <w:tcPr>
            <w:tcW w:w="928" w:type="dxa"/>
            <w:tcBorders>
              <w:top w:val="nil"/>
              <w:left w:val="nil"/>
              <w:bottom w:val="single" w:sz="4" w:space="0" w:color="auto"/>
              <w:right w:val="single" w:sz="4" w:space="0" w:color="auto"/>
            </w:tcBorders>
            <w:shd w:val="clear" w:color="auto" w:fill="auto"/>
            <w:noWrap/>
            <w:vAlign w:val="center"/>
            <w:hideMark/>
          </w:tcPr>
          <w:p w14:paraId="2EEEA586" w14:textId="2714346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1450D568" w14:textId="4D2B83F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7C17B472" w14:textId="1971D90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4726610" w14:textId="3F9F633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23C235FA" w14:textId="60AD287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6C9D7A34" w14:textId="6DF72D8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5" w:type="dxa"/>
            <w:tcBorders>
              <w:top w:val="nil"/>
              <w:left w:val="nil"/>
              <w:bottom w:val="single" w:sz="4" w:space="0" w:color="auto"/>
              <w:right w:val="single" w:sz="4" w:space="0" w:color="auto"/>
            </w:tcBorders>
            <w:shd w:val="clear" w:color="auto" w:fill="auto"/>
            <w:noWrap/>
            <w:vAlign w:val="center"/>
            <w:hideMark/>
          </w:tcPr>
          <w:p w14:paraId="70661A8B" w14:textId="3E99B5D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181537DE" w14:textId="29E2867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010CEC63" w14:textId="724DA9B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67D52FEF" w14:textId="2874E8E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89CD6D6" w14:textId="2818103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33EAD471" w14:textId="3E337C4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52E4C0E7" w14:textId="2782042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3</w:t>
            </w:r>
          </w:p>
        </w:tc>
        <w:tc>
          <w:tcPr>
            <w:tcW w:w="928" w:type="dxa"/>
            <w:tcBorders>
              <w:top w:val="nil"/>
              <w:left w:val="nil"/>
              <w:bottom w:val="single" w:sz="4" w:space="0" w:color="auto"/>
              <w:right w:val="single" w:sz="4" w:space="0" w:color="auto"/>
            </w:tcBorders>
            <w:shd w:val="clear" w:color="auto" w:fill="auto"/>
            <w:noWrap/>
            <w:vAlign w:val="center"/>
            <w:hideMark/>
          </w:tcPr>
          <w:p w14:paraId="2CC92D32" w14:textId="41E6746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3CD79162" w14:textId="76CA881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3</w:t>
            </w:r>
          </w:p>
        </w:tc>
      </w:tr>
      <w:tr w:rsidR="00CB4DE8" w:rsidRPr="00136B78" w14:paraId="023DA74A"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2588B5CD"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Accumulation</w:t>
            </w:r>
          </w:p>
        </w:tc>
        <w:tc>
          <w:tcPr>
            <w:tcW w:w="928" w:type="dxa"/>
            <w:tcBorders>
              <w:top w:val="nil"/>
              <w:left w:val="nil"/>
              <w:bottom w:val="single" w:sz="4" w:space="0" w:color="auto"/>
              <w:right w:val="single" w:sz="4" w:space="0" w:color="auto"/>
            </w:tcBorders>
            <w:shd w:val="clear" w:color="auto" w:fill="auto"/>
            <w:noWrap/>
            <w:vAlign w:val="center"/>
            <w:hideMark/>
          </w:tcPr>
          <w:p w14:paraId="08B3430E" w14:textId="52D33DB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602031CC" w14:textId="0CF4207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4E234469" w14:textId="0C8DBCB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3A04602A" w14:textId="348E53C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4E9F3F0" w14:textId="1D60FAF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701</w:t>
            </w:r>
          </w:p>
        </w:tc>
        <w:tc>
          <w:tcPr>
            <w:tcW w:w="957" w:type="dxa"/>
            <w:tcBorders>
              <w:top w:val="nil"/>
              <w:left w:val="nil"/>
              <w:bottom w:val="single" w:sz="4" w:space="0" w:color="auto"/>
              <w:right w:val="single" w:sz="4" w:space="0" w:color="auto"/>
            </w:tcBorders>
            <w:shd w:val="clear" w:color="auto" w:fill="auto"/>
            <w:noWrap/>
            <w:vAlign w:val="center"/>
            <w:hideMark/>
          </w:tcPr>
          <w:p w14:paraId="2E401F5F" w14:textId="7B43F46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70</w:t>
            </w:r>
          </w:p>
        </w:tc>
        <w:tc>
          <w:tcPr>
            <w:tcW w:w="1015" w:type="dxa"/>
            <w:tcBorders>
              <w:top w:val="nil"/>
              <w:left w:val="nil"/>
              <w:bottom w:val="single" w:sz="4" w:space="0" w:color="auto"/>
              <w:right w:val="single" w:sz="4" w:space="0" w:color="auto"/>
            </w:tcBorders>
            <w:shd w:val="clear" w:color="auto" w:fill="auto"/>
            <w:noWrap/>
            <w:vAlign w:val="center"/>
            <w:hideMark/>
          </w:tcPr>
          <w:p w14:paraId="6D00498A" w14:textId="146D011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-12</w:t>
            </w:r>
          </w:p>
        </w:tc>
        <w:tc>
          <w:tcPr>
            <w:tcW w:w="764" w:type="dxa"/>
            <w:tcBorders>
              <w:top w:val="nil"/>
              <w:left w:val="nil"/>
              <w:bottom w:val="single" w:sz="4" w:space="0" w:color="auto"/>
              <w:right w:val="single" w:sz="4" w:space="0" w:color="auto"/>
            </w:tcBorders>
            <w:shd w:val="clear" w:color="auto" w:fill="auto"/>
            <w:noWrap/>
            <w:vAlign w:val="center"/>
            <w:hideMark/>
          </w:tcPr>
          <w:p w14:paraId="3F121EA8" w14:textId="34CE93A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352EDFAF" w14:textId="740393D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62480F71" w14:textId="484C341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01855E36" w14:textId="2E782A9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747BF044" w14:textId="53074FA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51BD58D0" w14:textId="5A86ACB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68050F88" w14:textId="5B0258B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153</w:t>
            </w:r>
          </w:p>
        </w:tc>
        <w:tc>
          <w:tcPr>
            <w:tcW w:w="1017" w:type="dxa"/>
            <w:tcBorders>
              <w:top w:val="nil"/>
              <w:left w:val="nil"/>
              <w:bottom w:val="single" w:sz="4" w:space="0" w:color="auto"/>
              <w:right w:val="single" w:sz="4" w:space="0" w:color="auto"/>
            </w:tcBorders>
            <w:shd w:val="clear" w:color="auto" w:fill="auto"/>
            <w:noWrap/>
            <w:vAlign w:val="center"/>
            <w:hideMark/>
          </w:tcPr>
          <w:p w14:paraId="2531CACB" w14:textId="3780C13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912</w:t>
            </w:r>
          </w:p>
        </w:tc>
      </w:tr>
      <w:tr w:rsidR="00CB4DE8" w:rsidRPr="00136B78" w14:paraId="521DF8BB"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124777AF" w14:textId="77777777" w:rsidR="00CB4DE8" w:rsidRPr="00136B78" w:rsidRDefault="00CB4DE8" w:rsidP="00CB4DE8">
            <w:pPr>
              <w:spacing w:after="0"/>
              <w:jc w:val="center"/>
              <w:rPr>
                <w:rFonts w:ascii="Times New Roman" w:hAnsi="Times New Roman" w:cs="Times New Roman"/>
                <w:color w:val="000000"/>
                <w:sz w:val="16"/>
                <w:szCs w:val="14"/>
              </w:rPr>
            </w:pPr>
            <w:r w:rsidRPr="00136B78">
              <w:rPr>
                <w:rFonts w:ascii="Times New Roman" w:hAnsi="Times New Roman" w:cs="Times New Roman"/>
                <w:color w:val="000000"/>
                <w:sz w:val="16"/>
                <w:szCs w:val="14"/>
              </w:rPr>
              <w:t>Rest of the world</w:t>
            </w:r>
          </w:p>
        </w:tc>
        <w:tc>
          <w:tcPr>
            <w:tcW w:w="928" w:type="dxa"/>
            <w:tcBorders>
              <w:top w:val="nil"/>
              <w:left w:val="nil"/>
              <w:bottom w:val="single" w:sz="4" w:space="0" w:color="auto"/>
              <w:right w:val="single" w:sz="4" w:space="0" w:color="auto"/>
            </w:tcBorders>
            <w:shd w:val="clear" w:color="auto" w:fill="auto"/>
            <w:noWrap/>
            <w:vAlign w:val="center"/>
            <w:hideMark/>
          </w:tcPr>
          <w:p w14:paraId="5AC73816" w14:textId="61806E6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54" w:type="dxa"/>
            <w:tcBorders>
              <w:top w:val="nil"/>
              <w:left w:val="nil"/>
              <w:bottom w:val="single" w:sz="4" w:space="0" w:color="auto"/>
              <w:right w:val="single" w:sz="4" w:space="0" w:color="auto"/>
            </w:tcBorders>
            <w:shd w:val="clear" w:color="auto" w:fill="auto"/>
            <w:noWrap/>
            <w:vAlign w:val="center"/>
            <w:hideMark/>
          </w:tcPr>
          <w:p w14:paraId="27BF87B9" w14:textId="229CC14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1,490</w:t>
            </w:r>
          </w:p>
        </w:tc>
        <w:tc>
          <w:tcPr>
            <w:tcW w:w="928" w:type="dxa"/>
            <w:tcBorders>
              <w:top w:val="nil"/>
              <w:left w:val="nil"/>
              <w:bottom w:val="single" w:sz="4" w:space="0" w:color="auto"/>
              <w:right w:val="single" w:sz="4" w:space="0" w:color="auto"/>
            </w:tcBorders>
            <w:shd w:val="clear" w:color="auto" w:fill="auto"/>
            <w:noWrap/>
            <w:vAlign w:val="center"/>
            <w:hideMark/>
          </w:tcPr>
          <w:p w14:paraId="79C694FA" w14:textId="5A9D330B"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15</w:t>
            </w:r>
          </w:p>
        </w:tc>
        <w:tc>
          <w:tcPr>
            <w:tcW w:w="928" w:type="dxa"/>
            <w:tcBorders>
              <w:top w:val="nil"/>
              <w:left w:val="nil"/>
              <w:bottom w:val="single" w:sz="4" w:space="0" w:color="auto"/>
              <w:right w:val="single" w:sz="4" w:space="0" w:color="auto"/>
            </w:tcBorders>
            <w:shd w:val="clear" w:color="auto" w:fill="auto"/>
            <w:noWrap/>
            <w:vAlign w:val="center"/>
            <w:hideMark/>
          </w:tcPr>
          <w:p w14:paraId="524E33AE" w14:textId="56D5179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245</w:t>
            </w:r>
          </w:p>
        </w:tc>
        <w:tc>
          <w:tcPr>
            <w:tcW w:w="928" w:type="dxa"/>
            <w:tcBorders>
              <w:top w:val="nil"/>
              <w:left w:val="nil"/>
              <w:bottom w:val="single" w:sz="4" w:space="0" w:color="auto"/>
              <w:right w:val="single" w:sz="4" w:space="0" w:color="auto"/>
            </w:tcBorders>
            <w:shd w:val="clear" w:color="auto" w:fill="auto"/>
            <w:noWrap/>
            <w:vAlign w:val="center"/>
            <w:hideMark/>
          </w:tcPr>
          <w:p w14:paraId="1D21739A" w14:textId="47F80E2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center"/>
            <w:hideMark/>
          </w:tcPr>
          <w:p w14:paraId="275CA92C" w14:textId="432D9BB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13</w:t>
            </w:r>
          </w:p>
        </w:tc>
        <w:tc>
          <w:tcPr>
            <w:tcW w:w="1015" w:type="dxa"/>
            <w:tcBorders>
              <w:top w:val="nil"/>
              <w:left w:val="nil"/>
              <w:bottom w:val="single" w:sz="4" w:space="0" w:color="auto"/>
              <w:right w:val="single" w:sz="4" w:space="0" w:color="auto"/>
            </w:tcBorders>
            <w:shd w:val="clear" w:color="auto" w:fill="auto"/>
            <w:noWrap/>
            <w:vAlign w:val="center"/>
            <w:hideMark/>
          </w:tcPr>
          <w:p w14:paraId="28D2C8BD" w14:textId="68078BB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50</w:t>
            </w:r>
          </w:p>
        </w:tc>
        <w:tc>
          <w:tcPr>
            <w:tcW w:w="764" w:type="dxa"/>
            <w:tcBorders>
              <w:top w:val="nil"/>
              <w:left w:val="nil"/>
              <w:bottom w:val="single" w:sz="4" w:space="0" w:color="auto"/>
              <w:right w:val="single" w:sz="4" w:space="0" w:color="auto"/>
            </w:tcBorders>
            <w:shd w:val="clear" w:color="auto" w:fill="auto"/>
            <w:noWrap/>
            <w:vAlign w:val="center"/>
            <w:hideMark/>
          </w:tcPr>
          <w:p w14:paraId="396BC6A3" w14:textId="04885AA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6B03C18" w14:textId="7E0A8AB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64" w:type="dxa"/>
            <w:tcBorders>
              <w:top w:val="nil"/>
              <w:left w:val="nil"/>
              <w:bottom w:val="single" w:sz="4" w:space="0" w:color="auto"/>
              <w:right w:val="single" w:sz="4" w:space="0" w:color="auto"/>
            </w:tcBorders>
            <w:shd w:val="clear" w:color="auto" w:fill="auto"/>
            <w:noWrap/>
            <w:vAlign w:val="center"/>
            <w:hideMark/>
          </w:tcPr>
          <w:p w14:paraId="61FE5F99" w14:textId="7578645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14:paraId="76A66C96" w14:textId="26AE8A78"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69A0A7EE" w14:textId="1102D2D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535755F6" w14:textId="34606E1C"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928" w:type="dxa"/>
            <w:tcBorders>
              <w:top w:val="nil"/>
              <w:left w:val="nil"/>
              <w:bottom w:val="single" w:sz="4" w:space="0" w:color="auto"/>
              <w:right w:val="single" w:sz="4" w:space="0" w:color="auto"/>
            </w:tcBorders>
            <w:shd w:val="clear" w:color="auto" w:fill="auto"/>
            <w:noWrap/>
            <w:vAlign w:val="center"/>
            <w:hideMark/>
          </w:tcPr>
          <w:p w14:paraId="5889ABE9" w14:textId="726CEB61"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c>
          <w:tcPr>
            <w:tcW w:w="1017" w:type="dxa"/>
            <w:tcBorders>
              <w:top w:val="nil"/>
              <w:left w:val="nil"/>
              <w:bottom w:val="single" w:sz="4" w:space="0" w:color="auto"/>
              <w:right w:val="single" w:sz="4" w:space="0" w:color="auto"/>
            </w:tcBorders>
            <w:shd w:val="clear" w:color="auto" w:fill="auto"/>
            <w:noWrap/>
            <w:vAlign w:val="center"/>
            <w:hideMark/>
          </w:tcPr>
          <w:p w14:paraId="3494F8EA" w14:textId="20136D4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1,813</w:t>
            </w:r>
          </w:p>
        </w:tc>
      </w:tr>
      <w:tr w:rsidR="00CB4DE8" w:rsidRPr="00136B78" w14:paraId="3571F826" w14:textId="77777777" w:rsidTr="00CB4DE8">
        <w:trPr>
          <w:trHeight w:val="432"/>
        </w:trPr>
        <w:tc>
          <w:tcPr>
            <w:tcW w:w="1265" w:type="dxa"/>
            <w:tcBorders>
              <w:top w:val="nil"/>
              <w:left w:val="single" w:sz="4" w:space="0" w:color="auto"/>
              <w:bottom w:val="single" w:sz="4" w:space="0" w:color="auto"/>
              <w:right w:val="single" w:sz="4" w:space="0" w:color="auto"/>
            </w:tcBorders>
            <w:shd w:val="clear" w:color="000000" w:fill="C0C0C0"/>
            <w:vAlign w:val="center"/>
            <w:hideMark/>
          </w:tcPr>
          <w:p w14:paraId="62DC01F6" w14:textId="77777777" w:rsidR="00CB4DE8" w:rsidRPr="00136B78" w:rsidRDefault="00CB4DE8" w:rsidP="00CB4DE8">
            <w:pPr>
              <w:spacing w:after="0"/>
              <w:jc w:val="center"/>
              <w:rPr>
                <w:rFonts w:ascii="Times New Roman" w:hAnsi="Times New Roman" w:cs="Times New Roman"/>
                <w:b/>
                <w:color w:val="000000"/>
                <w:sz w:val="16"/>
                <w:szCs w:val="14"/>
              </w:rPr>
            </w:pPr>
            <w:r w:rsidRPr="00136B78">
              <w:rPr>
                <w:rFonts w:ascii="Times New Roman" w:hAnsi="Times New Roman" w:cs="Times New Roman"/>
                <w:b/>
                <w:color w:val="000000"/>
                <w:sz w:val="16"/>
                <w:szCs w:val="14"/>
              </w:rPr>
              <w:t>Total</w:t>
            </w:r>
          </w:p>
        </w:tc>
        <w:tc>
          <w:tcPr>
            <w:tcW w:w="928" w:type="dxa"/>
            <w:tcBorders>
              <w:top w:val="nil"/>
              <w:left w:val="nil"/>
              <w:bottom w:val="single" w:sz="4" w:space="0" w:color="auto"/>
              <w:right w:val="single" w:sz="4" w:space="0" w:color="auto"/>
            </w:tcBorders>
            <w:shd w:val="clear" w:color="auto" w:fill="auto"/>
            <w:noWrap/>
            <w:vAlign w:val="center"/>
            <w:hideMark/>
          </w:tcPr>
          <w:p w14:paraId="2D442704" w14:textId="1F4416B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9,732</w:t>
            </w:r>
          </w:p>
        </w:tc>
        <w:tc>
          <w:tcPr>
            <w:tcW w:w="1054" w:type="dxa"/>
            <w:tcBorders>
              <w:top w:val="nil"/>
              <w:left w:val="nil"/>
              <w:bottom w:val="single" w:sz="4" w:space="0" w:color="auto"/>
              <w:right w:val="single" w:sz="4" w:space="0" w:color="auto"/>
            </w:tcBorders>
            <w:shd w:val="clear" w:color="auto" w:fill="auto"/>
            <w:noWrap/>
            <w:vAlign w:val="center"/>
            <w:hideMark/>
          </w:tcPr>
          <w:p w14:paraId="2A998677" w14:textId="272EFBE5"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11,776</w:t>
            </w:r>
          </w:p>
        </w:tc>
        <w:tc>
          <w:tcPr>
            <w:tcW w:w="928" w:type="dxa"/>
            <w:tcBorders>
              <w:top w:val="nil"/>
              <w:left w:val="nil"/>
              <w:bottom w:val="single" w:sz="4" w:space="0" w:color="auto"/>
              <w:right w:val="single" w:sz="4" w:space="0" w:color="auto"/>
            </w:tcBorders>
            <w:shd w:val="clear" w:color="auto" w:fill="auto"/>
            <w:noWrap/>
            <w:vAlign w:val="center"/>
            <w:hideMark/>
          </w:tcPr>
          <w:p w14:paraId="5EC85E0B" w14:textId="30BF795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2,431</w:t>
            </w:r>
          </w:p>
        </w:tc>
        <w:tc>
          <w:tcPr>
            <w:tcW w:w="928" w:type="dxa"/>
            <w:tcBorders>
              <w:top w:val="nil"/>
              <w:left w:val="nil"/>
              <w:bottom w:val="single" w:sz="4" w:space="0" w:color="auto"/>
              <w:right w:val="single" w:sz="4" w:space="0" w:color="auto"/>
            </w:tcBorders>
            <w:shd w:val="clear" w:color="auto" w:fill="auto"/>
            <w:noWrap/>
            <w:vAlign w:val="center"/>
            <w:hideMark/>
          </w:tcPr>
          <w:p w14:paraId="47CCAB88" w14:textId="5C76F736"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2,114</w:t>
            </w:r>
          </w:p>
        </w:tc>
        <w:tc>
          <w:tcPr>
            <w:tcW w:w="928" w:type="dxa"/>
            <w:tcBorders>
              <w:top w:val="nil"/>
              <w:left w:val="nil"/>
              <w:bottom w:val="single" w:sz="4" w:space="0" w:color="auto"/>
              <w:right w:val="single" w:sz="4" w:space="0" w:color="auto"/>
            </w:tcBorders>
            <w:shd w:val="clear" w:color="auto" w:fill="auto"/>
            <w:noWrap/>
            <w:vAlign w:val="center"/>
            <w:hideMark/>
          </w:tcPr>
          <w:p w14:paraId="11DD4A97" w14:textId="4622E094"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2,628</w:t>
            </w:r>
          </w:p>
        </w:tc>
        <w:tc>
          <w:tcPr>
            <w:tcW w:w="957" w:type="dxa"/>
            <w:tcBorders>
              <w:top w:val="nil"/>
              <w:left w:val="nil"/>
              <w:bottom w:val="single" w:sz="4" w:space="0" w:color="auto"/>
              <w:right w:val="single" w:sz="4" w:space="0" w:color="auto"/>
            </w:tcBorders>
            <w:shd w:val="clear" w:color="auto" w:fill="auto"/>
            <w:noWrap/>
            <w:vAlign w:val="center"/>
            <w:hideMark/>
          </w:tcPr>
          <w:p w14:paraId="71832F96" w14:textId="1AF153C0"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4,418</w:t>
            </w:r>
          </w:p>
        </w:tc>
        <w:tc>
          <w:tcPr>
            <w:tcW w:w="1015" w:type="dxa"/>
            <w:tcBorders>
              <w:top w:val="nil"/>
              <w:left w:val="nil"/>
              <w:bottom w:val="single" w:sz="4" w:space="0" w:color="auto"/>
              <w:right w:val="single" w:sz="4" w:space="0" w:color="auto"/>
            </w:tcBorders>
            <w:shd w:val="clear" w:color="auto" w:fill="auto"/>
            <w:noWrap/>
            <w:vAlign w:val="center"/>
            <w:hideMark/>
          </w:tcPr>
          <w:p w14:paraId="50C57830" w14:textId="619B2EB2"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1,631</w:t>
            </w:r>
          </w:p>
        </w:tc>
        <w:tc>
          <w:tcPr>
            <w:tcW w:w="764" w:type="dxa"/>
            <w:tcBorders>
              <w:top w:val="nil"/>
              <w:left w:val="nil"/>
              <w:bottom w:val="single" w:sz="4" w:space="0" w:color="auto"/>
              <w:right w:val="single" w:sz="4" w:space="0" w:color="auto"/>
            </w:tcBorders>
            <w:shd w:val="clear" w:color="auto" w:fill="auto"/>
            <w:noWrap/>
            <w:vAlign w:val="center"/>
            <w:hideMark/>
          </w:tcPr>
          <w:p w14:paraId="42A0BC74" w14:textId="5E1E3C2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95</w:t>
            </w:r>
          </w:p>
        </w:tc>
        <w:tc>
          <w:tcPr>
            <w:tcW w:w="795" w:type="dxa"/>
            <w:tcBorders>
              <w:top w:val="nil"/>
              <w:left w:val="nil"/>
              <w:bottom w:val="single" w:sz="4" w:space="0" w:color="auto"/>
              <w:right w:val="single" w:sz="4" w:space="0" w:color="auto"/>
            </w:tcBorders>
            <w:shd w:val="clear" w:color="auto" w:fill="auto"/>
            <w:noWrap/>
            <w:vAlign w:val="center"/>
            <w:hideMark/>
          </w:tcPr>
          <w:p w14:paraId="2B6A8103" w14:textId="411F6533"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498</w:t>
            </w:r>
          </w:p>
        </w:tc>
        <w:tc>
          <w:tcPr>
            <w:tcW w:w="764" w:type="dxa"/>
            <w:tcBorders>
              <w:top w:val="nil"/>
              <w:left w:val="nil"/>
              <w:bottom w:val="single" w:sz="4" w:space="0" w:color="auto"/>
              <w:right w:val="single" w:sz="4" w:space="0" w:color="auto"/>
            </w:tcBorders>
            <w:shd w:val="clear" w:color="auto" w:fill="auto"/>
            <w:noWrap/>
            <w:vAlign w:val="center"/>
            <w:hideMark/>
          </w:tcPr>
          <w:p w14:paraId="2FE425E2" w14:textId="250AEB3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56</w:t>
            </w:r>
          </w:p>
        </w:tc>
        <w:tc>
          <w:tcPr>
            <w:tcW w:w="795" w:type="dxa"/>
            <w:tcBorders>
              <w:top w:val="nil"/>
              <w:left w:val="nil"/>
              <w:bottom w:val="single" w:sz="4" w:space="0" w:color="auto"/>
              <w:right w:val="single" w:sz="4" w:space="0" w:color="auto"/>
            </w:tcBorders>
            <w:shd w:val="clear" w:color="auto" w:fill="auto"/>
            <w:noWrap/>
            <w:vAlign w:val="center"/>
            <w:hideMark/>
          </w:tcPr>
          <w:p w14:paraId="5E8E281D" w14:textId="3932AE8E"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783</w:t>
            </w:r>
          </w:p>
        </w:tc>
        <w:tc>
          <w:tcPr>
            <w:tcW w:w="925" w:type="dxa"/>
            <w:tcBorders>
              <w:top w:val="nil"/>
              <w:left w:val="nil"/>
              <w:bottom w:val="single" w:sz="4" w:space="0" w:color="auto"/>
              <w:right w:val="single" w:sz="4" w:space="0" w:color="auto"/>
            </w:tcBorders>
            <w:shd w:val="clear" w:color="auto" w:fill="auto"/>
            <w:noWrap/>
            <w:vAlign w:val="center"/>
            <w:hideMark/>
          </w:tcPr>
          <w:p w14:paraId="0EA5D8A6" w14:textId="2DB7F61D"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3</w:t>
            </w:r>
          </w:p>
        </w:tc>
        <w:tc>
          <w:tcPr>
            <w:tcW w:w="1086" w:type="dxa"/>
            <w:tcBorders>
              <w:top w:val="nil"/>
              <w:left w:val="nil"/>
              <w:bottom w:val="single" w:sz="4" w:space="0" w:color="auto"/>
              <w:right w:val="single" w:sz="4" w:space="0" w:color="auto"/>
            </w:tcBorders>
            <w:shd w:val="clear" w:color="auto" w:fill="auto"/>
            <w:noWrap/>
            <w:vAlign w:val="center"/>
            <w:hideMark/>
          </w:tcPr>
          <w:p w14:paraId="0B75124D" w14:textId="3D338BCA"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912</w:t>
            </w:r>
          </w:p>
        </w:tc>
        <w:tc>
          <w:tcPr>
            <w:tcW w:w="928" w:type="dxa"/>
            <w:tcBorders>
              <w:top w:val="nil"/>
              <w:left w:val="nil"/>
              <w:bottom w:val="single" w:sz="4" w:space="0" w:color="auto"/>
              <w:right w:val="single" w:sz="4" w:space="0" w:color="auto"/>
            </w:tcBorders>
            <w:shd w:val="clear" w:color="auto" w:fill="auto"/>
            <w:noWrap/>
            <w:vAlign w:val="center"/>
            <w:hideMark/>
          </w:tcPr>
          <w:p w14:paraId="254BDE14" w14:textId="3076821F"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1,813</w:t>
            </w:r>
          </w:p>
        </w:tc>
        <w:tc>
          <w:tcPr>
            <w:tcW w:w="1017" w:type="dxa"/>
            <w:tcBorders>
              <w:top w:val="nil"/>
              <w:left w:val="nil"/>
              <w:bottom w:val="single" w:sz="4" w:space="0" w:color="auto"/>
              <w:right w:val="single" w:sz="4" w:space="0" w:color="auto"/>
            </w:tcBorders>
            <w:shd w:val="clear" w:color="auto" w:fill="auto"/>
            <w:noWrap/>
            <w:vAlign w:val="center"/>
            <w:hideMark/>
          </w:tcPr>
          <w:p w14:paraId="6A937164" w14:textId="4D6AB069" w:rsidR="00CB4DE8" w:rsidRPr="00CB4DE8" w:rsidRDefault="00CB4DE8" w:rsidP="00CB4DE8">
            <w:pPr>
              <w:spacing w:after="0"/>
              <w:jc w:val="center"/>
              <w:rPr>
                <w:rFonts w:ascii="Arial" w:hAnsi="Arial" w:cs="Arial"/>
                <w:color w:val="000000"/>
                <w:sz w:val="16"/>
                <w:szCs w:val="16"/>
              </w:rPr>
            </w:pPr>
            <w:r w:rsidRPr="00CB4DE8">
              <w:rPr>
                <w:rFonts w:ascii="Arial" w:hAnsi="Arial" w:cs="Arial"/>
                <w:color w:val="000000"/>
                <w:sz w:val="16"/>
                <w:szCs w:val="16"/>
              </w:rPr>
              <w:t> </w:t>
            </w:r>
          </w:p>
        </w:tc>
      </w:tr>
    </w:tbl>
    <w:p w14:paraId="398A1CF5" w14:textId="446BCA51" w:rsidR="00227772" w:rsidRPr="00F5324D" w:rsidRDefault="00227772" w:rsidP="008059D8">
      <w:pPr>
        <w:jc w:val="both"/>
        <w:rPr>
          <w:rFonts w:ascii="Times New Roman" w:hAnsi="Times New Roman" w:cs="Times New Roman"/>
          <w:i/>
          <w:sz w:val="24"/>
          <w:szCs w:val="24"/>
        </w:rPr>
        <w:sectPr w:rsidR="00227772" w:rsidRPr="00F5324D" w:rsidSect="00385B29">
          <w:pgSz w:w="16838" w:h="11906" w:orient="landscape"/>
          <w:pgMar w:top="720" w:right="720" w:bottom="720" w:left="720" w:header="708" w:footer="708" w:gutter="0"/>
          <w:cols w:space="708"/>
          <w:docGrid w:linePitch="360"/>
        </w:sectPr>
      </w:pPr>
      <w:r w:rsidRPr="00F5324D">
        <w:rPr>
          <w:rFonts w:ascii="Times New Roman" w:hAnsi="Times New Roman" w:cs="Times New Roman"/>
          <w:i/>
          <w:sz w:val="20"/>
          <w:szCs w:val="24"/>
        </w:rPr>
        <w:t xml:space="preserve">Source: own </w:t>
      </w:r>
      <w:r w:rsidR="00CB4DE8">
        <w:rPr>
          <w:rFonts w:ascii="Times New Roman" w:hAnsi="Times New Roman" w:cs="Times New Roman"/>
          <w:i/>
          <w:sz w:val="20"/>
          <w:szCs w:val="24"/>
        </w:rPr>
        <w:t>compilation</w:t>
      </w:r>
      <w:r w:rsidRPr="00F5324D">
        <w:rPr>
          <w:rFonts w:ascii="Times New Roman" w:hAnsi="Times New Roman" w:cs="Times New Roman"/>
          <w:i/>
          <w:sz w:val="20"/>
          <w:szCs w:val="24"/>
        </w:rPr>
        <w:t xml:space="preserve"> of South Africa’s National Accounts from the </w:t>
      </w:r>
      <w:r w:rsidR="00F5324D" w:rsidRPr="00F5324D">
        <w:rPr>
          <w:rFonts w:ascii="Times New Roman" w:hAnsi="Times New Roman" w:cs="Times New Roman"/>
          <w:i/>
          <w:sz w:val="20"/>
          <w:szCs w:val="24"/>
        </w:rPr>
        <w:t xml:space="preserve">SARB Quarterly Bulletin, </w:t>
      </w:r>
      <w:r w:rsidR="00886F95">
        <w:rPr>
          <w:rFonts w:ascii="Times New Roman" w:hAnsi="Times New Roman" w:cs="Times New Roman"/>
          <w:i/>
          <w:sz w:val="20"/>
          <w:szCs w:val="24"/>
        </w:rPr>
        <w:t>Sept</w:t>
      </w:r>
      <w:r w:rsidR="00CB4DE8">
        <w:rPr>
          <w:rFonts w:ascii="Times New Roman" w:hAnsi="Times New Roman" w:cs="Times New Roman"/>
          <w:i/>
          <w:sz w:val="20"/>
          <w:szCs w:val="24"/>
        </w:rPr>
        <w:t xml:space="preserve"> 2020</w:t>
      </w:r>
    </w:p>
    <w:p w14:paraId="520F7A05" w14:textId="5E975B28" w:rsidR="00BC1DFC" w:rsidRDefault="002710F9" w:rsidP="002710F9">
      <w:pPr>
        <w:rPr>
          <w:rFonts w:ascii="Times New Roman" w:hAnsi="Times New Roman" w:cs="Times New Roman"/>
          <w:sz w:val="24"/>
          <w:szCs w:val="24"/>
        </w:rPr>
      </w:pPr>
      <w:r w:rsidRPr="00136B78">
        <w:rPr>
          <w:rFonts w:ascii="Times New Roman" w:hAnsi="Times New Roman" w:cs="Times New Roman"/>
          <w:sz w:val="24"/>
          <w:szCs w:val="24"/>
        </w:rPr>
        <w:lastRenderedPageBreak/>
        <w:t xml:space="preserve">The macro SAM shown in Table 2 is an aggregation of the </w:t>
      </w:r>
      <w:r w:rsidR="00B05D9D">
        <w:rPr>
          <w:rFonts w:ascii="Times New Roman" w:hAnsi="Times New Roman" w:cs="Times New Roman"/>
          <w:sz w:val="24"/>
          <w:szCs w:val="24"/>
        </w:rPr>
        <w:t xml:space="preserve">micro </w:t>
      </w:r>
      <w:r w:rsidRPr="00136B78">
        <w:rPr>
          <w:rFonts w:ascii="Times New Roman" w:hAnsi="Times New Roman" w:cs="Times New Roman"/>
          <w:sz w:val="24"/>
          <w:szCs w:val="24"/>
        </w:rPr>
        <w:t xml:space="preserve">SAM. This section explains how each macro SAM entry is derived and </w:t>
      </w:r>
      <w:r w:rsidR="00A3052F">
        <w:rPr>
          <w:rFonts w:ascii="Times New Roman" w:hAnsi="Times New Roman" w:cs="Times New Roman"/>
          <w:sz w:val="24"/>
          <w:szCs w:val="24"/>
        </w:rPr>
        <w:t xml:space="preserve">broadly how, where necessary, it is </w:t>
      </w:r>
      <w:r w:rsidRPr="00136B78">
        <w:rPr>
          <w:rFonts w:ascii="Times New Roman" w:hAnsi="Times New Roman" w:cs="Times New Roman"/>
          <w:sz w:val="24"/>
          <w:szCs w:val="24"/>
        </w:rPr>
        <w:t xml:space="preserve">disaggregated to arrive at the </w:t>
      </w:r>
      <w:r w:rsidR="00A3052F">
        <w:rPr>
          <w:rFonts w:ascii="Times New Roman" w:hAnsi="Times New Roman" w:cs="Times New Roman"/>
          <w:sz w:val="24"/>
          <w:szCs w:val="24"/>
        </w:rPr>
        <w:t>unbalanced</w:t>
      </w:r>
      <w:r w:rsidRPr="00136B78">
        <w:rPr>
          <w:rFonts w:ascii="Times New Roman" w:hAnsi="Times New Roman" w:cs="Times New Roman"/>
          <w:sz w:val="24"/>
          <w:szCs w:val="24"/>
        </w:rPr>
        <w:t xml:space="preserve"> </w:t>
      </w:r>
      <w:r w:rsidR="009F3B76">
        <w:rPr>
          <w:rFonts w:ascii="Times New Roman" w:hAnsi="Times New Roman" w:cs="Times New Roman"/>
          <w:sz w:val="24"/>
          <w:szCs w:val="24"/>
        </w:rPr>
        <w:t xml:space="preserve">prior </w:t>
      </w:r>
      <w:r w:rsidRPr="00136B78">
        <w:rPr>
          <w:rFonts w:ascii="Times New Roman" w:hAnsi="Times New Roman" w:cs="Times New Roman"/>
          <w:sz w:val="24"/>
          <w:szCs w:val="24"/>
        </w:rPr>
        <w:t>micro SAM</w:t>
      </w:r>
      <w:r w:rsidR="00BF70BC">
        <w:rPr>
          <w:rFonts w:ascii="Times New Roman" w:hAnsi="Times New Roman" w:cs="Times New Roman"/>
          <w:sz w:val="24"/>
          <w:szCs w:val="24"/>
        </w:rPr>
        <w:t xml:space="preserve">. </w:t>
      </w:r>
      <w:r w:rsidRPr="00136B78">
        <w:rPr>
          <w:rFonts w:ascii="Times New Roman" w:hAnsi="Times New Roman" w:cs="Times New Roman"/>
          <w:sz w:val="24"/>
          <w:szCs w:val="24"/>
        </w:rPr>
        <w:t xml:space="preserve">The notation for SAM entries is (row, column) and the values are in billions of </w:t>
      </w:r>
      <w:r w:rsidR="00B63F81">
        <w:rPr>
          <w:rFonts w:ascii="Times New Roman" w:hAnsi="Times New Roman" w:cs="Times New Roman"/>
          <w:sz w:val="24"/>
          <w:szCs w:val="24"/>
        </w:rPr>
        <w:t>201</w:t>
      </w:r>
      <w:r w:rsidR="00B05D9D">
        <w:rPr>
          <w:rFonts w:ascii="Times New Roman" w:hAnsi="Times New Roman" w:cs="Times New Roman"/>
          <w:sz w:val="24"/>
          <w:szCs w:val="24"/>
        </w:rPr>
        <w:t>9</w:t>
      </w:r>
      <w:r w:rsidRPr="00136B78">
        <w:rPr>
          <w:rFonts w:ascii="Times New Roman" w:hAnsi="Times New Roman" w:cs="Times New Roman"/>
          <w:sz w:val="24"/>
          <w:szCs w:val="24"/>
        </w:rPr>
        <w:t xml:space="preserve"> South African Rand. </w:t>
      </w:r>
      <w:r w:rsidR="00136B78">
        <w:rPr>
          <w:rFonts w:ascii="Times New Roman" w:hAnsi="Times New Roman" w:cs="Times New Roman"/>
          <w:sz w:val="24"/>
          <w:szCs w:val="24"/>
        </w:rPr>
        <w:t>KBP refers to the SARB series of National Accounts in their Quarterly Bulletin</w:t>
      </w:r>
      <w:r w:rsidR="000E5809">
        <w:rPr>
          <w:rFonts w:ascii="Times New Roman" w:hAnsi="Times New Roman" w:cs="Times New Roman"/>
          <w:sz w:val="24"/>
          <w:szCs w:val="24"/>
        </w:rPr>
        <w:t xml:space="preserve"> of the South African Reserve Bank</w:t>
      </w:r>
      <w:r w:rsidR="00136B78">
        <w:rPr>
          <w:rFonts w:ascii="Times New Roman" w:hAnsi="Times New Roman" w:cs="Times New Roman"/>
          <w:sz w:val="24"/>
          <w:szCs w:val="24"/>
        </w:rPr>
        <w:t xml:space="preserve">. </w:t>
      </w:r>
      <w:bookmarkStart w:id="1" w:name="_Ref53821458"/>
      <w:r w:rsidR="00DE6DC3">
        <w:rPr>
          <w:rStyle w:val="FootnoteReference"/>
          <w:rFonts w:ascii="Times New Roman" w:hAnsi="Times New Roman" w:cs="Times New Roman"/>
          <w:sz w:val="24"/>
          <w:szCs w:val="24"/>
        </w:rPr>
        <w:footnoteReference w:id="1"/>
      </w:r>
      <w:bookmarkEnd w:id="1"/>
    </w:p>
    <w:tbl>
      <w:tblPr>
        <w:tblW w:w="9090" w:type="dxa"/>
        <w:tblLook w:val="04A0" w:firstRow="1" w:lastRow="0" w:firstColumn="1" w:lastColumn="0" w:noHBand="0" w:noVBand="1"/>
      </w:tblPr>
      <w:tblGrid>
        <w:gridCol w:w="897"/>
        <w:gridCol w:w="8193"/>
      </w:tblGrid>
      <w:tr w:rsidR="002E1B98" w:rsidRPr="008A61A3" w14:paraId="5FCF8BF0" w14:textId="77777777" w:rsidTr="002E1B98">
        <w:trPr>
          <w:trHeight w:val="20"/>
        </w:trPr>
        <w:tc>
          <w:tcPr>
            <w:tcW w:w="897" w:type="dxa"/>
            <w:tcBorders>
              <w:top w:val="nil"/>
              <w:left w:val="nil"/>
              <w:bottom w:val="nil"/>
              <w:right w:val="nil"/>
            </w:tcBorders>
            <w:shd w:val="clear" w:color="auto" w:fill="auto"/>
            <w:noWrap/>
            <w:vAlign w:val="bottom"/>
            <w:hideMark/>
          </w:tcPr>
          <w:p w14:paraId="49D64B6B" w14:textId="7639DA7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roofErr w:type="spellStart"/>
            <w:r w:rsidRPr="002E1B98">
              <w:rPr>
                <w:rFonts w:ascii="Times New Roman" w:hAnsi="Times New Roman" w:cs="Times New Roman"/>
                <w:color w:val="000000"/>
                <w:sz w:val="20"/>
                <w:szCs w:val="20"/>
              </w:rPr>
              <w:t>i</w:t>
            </w:r>
            <w:proofErr w:type="spellEnd"/>
          </w:p>
        </w:tc>
        <w:tc>
          <w:tcPr>
            <w:tcW w:w="8193" w:type="dxa"/>
            <w:tcBorders>
              <w:top w:val="nil"/>
              <w:left w:val="nil"/>
              <w:bottom w:val="nil"/>
              <w:right w:val="nil"/>
            </w:tcBorders>
            <w:shd w:val="clear" w:color="auto" w:fill="auto"/>
            <w:vAlign w:val="bottom"/>
            <w:hideMark/>
          </w:tcPr>
          <w:p w14:paraId="3D18144C" w14:textId="14E5B6E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Commodities,Activities</w:t>
            </w:r>
            <w:proofErr w:type="spellEnd"/>
            <w:r w:rsidRPr="002E1B98">
              <w:rPr>
                <w:rFonts w:ascii="Times New Roman" w:hAnsi="Times New Roman" w:cs="Times New Roman"/>
                <w:color w:val="000000"/>
                <w:sz w:val="20"/>
                <w:szCs w:val="20"/>
              </w:rPr>
              <w:t>)…Rb5,208</w:t>
            </w:r>
          </w:p>
        </w:tc>
      </w:tr>
      <w:tr w:rsidR="002E1B98" w:rsidRPr="008A61A3" w14:paraId="35E1773C" w14:textId="77777777" w:rsidTr="002E1B98">
        <w:trPr>
          <w:trHeight w:val="20"/>
        </w:trPr>
        <w:tc>
          <w:tcPr>
            <w:tcW w:w="897" w:type="dxa"/>
            <w:tcBorders>
              <w:top w:val="nil"/>
              <w:left w:val="nil"/>
              <w:bottom w:val="nil"/>
              <w:right w:val="nil"/>
            </w:tcBorders>
            <w:shd w:val="clear" w:color="auto" w:fill="auto"/>
            <w:noWrap/>
            <w:vAlign w:val="bottom"/>
            <w:hideMark/>
          </w:tcPr>
          <w:p w14:paraId="38385858"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4A1FFDC" w14:textId="5C991D3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KBP6871J: Production account: Intermediate consumption of total domestic economy. Total (sum of all) intermediate inputs are initially disaggregated across activities identified in the SAM according to shares in the 2017 UT. For each activity identified in the SAM, the ratio of total intermediates to GDP at basic prices is derived from the 2017 UT. This is multiplied with matching 2019 values of GDP that aggregate up 1 digit  National Accounts'  higher level control totals using disaggregation shares from the UT. Adjustment has been made for difference in treatment of informal sector GDP between the 1 digit activity National Accounts measure and the UT. Intermediate inputs are subsequently disaggregated across commodities according to its shares for each activity based on the SSA Use Table (UT).</w:t>
            </w:r>
          </w:p>
        </w:tc>
      </w:tr>
      <w:tr w:rsidR="002E1B98" w:rsidRPr="008A61A3" w14:paraId="545C3219" w14:textId="77777777" w:rsidTr="002E1B98">
        <w:trPr>
          <w:trHeight w:val="20"/>
        </w:trPr>
        <w:tc>
          <w:tcPr>
            <w:tcW w:w="897" w:type="dxa"/>
            <w:tcBorders>
              <w:top w:val="nil"/>
              <w:left w:val="nil"/>
              <w:bottom w:val="nil"/>
              <w:right w:val="nil"/>
            </w:tcBorders>
            <w:shd w:val="clear" w:color="auto" w:fill="auto"/>
            <w:noWrap/>
            <w:vAlign w:val="bottom"/>
            <w:hideMark/>
          </w:tcPr>
          <w:p w14:paraId="25A80A3F" w14:textId="06A0FD8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ii</w:t>
            </w:r>
          </w:p>
        </w:tc>
        <w:tc>
          <w:tcPr>
            <w:tcW w:w="8193" w:type="dxa"/>
            <w:tcBorders>
              <w:top w:val="nil"/>
              <w:left w:val="nil"/>
              <w:bottom w:val="nil"/>
              <w:right w:val="nil"/>
            </w:tcBorders>
            <w:shd w:val="clear" w:color="auto" w:fill="auto"/>
            <w:vAlign w:val="bottom"/>
            <w:hideMark/>
          </w:tcPr>
          <w:p w14:paraId="3A9DD75F" w14:textId="0442A02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Labour,Activities</w:t>
            </w:r>
            <w:proofErr w:type="spellEnd"/>
            <w:r w:rsidRPr="002E1B98">
              <w:rPr>
                <w:rFonts w:ascii="Times New Roman" w:hAnsi="Times New Roman" w:cs="Times New Roman"/>
                <w:color w:val="000000"/>
                <w:sz w:val="20"/>
                <w:szCs w:val="20"/>
              </w:rPr>
              <w:t>)…Rb2,419</w:t>
            </w:r>
          </w:p>
        </w:tc>
      </w:tr>
      <w:tr w:rsidR="002E1B98" w:rsidRPr="008A61A3" w14:paraId="08B1A477" w14:textId="77777777" w:rsidTr="002E1B98">
        <w:trPr>
          <w:trHeight w:val="20"/>
        </w:trPr>
        <w:tc>
          <w:tcPr>
            <w:tcW w:w="897" w:type="dxa"/>
            <w:tcBorders>
              <w:top w:val="nil"/>
              <w:left w:val="nil"/>
              <w:bottom w:val="nil"/>
              <w:right w:val="nil"/>
            </w:tcBorders>
            <w:shd w:val="clear" w:color="auto" w:fill="auto"/>
            <w:noWrap/>
            <w:vAlign w:val="bottom"/>
            <w:hideMark/>
          </w:tcPr>
          <w:p w14:paraId="6FFADA12"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58CE173" w14:textId="167892B5"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KBP6000J: Compensation of employees. Total labour income is disaggregated across activities according to shares in the 2017 UT. For each activity identified in the SAM, the labour income share in GDP at basic prices is derived from the 2017 UT. This is multiplied with matching 2019 GDP values that aggregate up 1 digit  National Accounts' higher level control totals by using disaggregation shares from the 2017 UT. Adjustment has been made for difference in treatment of informal sector GDP between the 1 digit activity National Accounts measure and the UT. Labour income is subsequently split across four educational groups:</w:t>
            </w:r>
          </w:p>
        </w:tc>
      </w:tr>
      <w:tr w:rsidR="002E1B98" w:rsidRPr="008A61A3" w14:paraId="7ECACBC7" w14:textId="77777777" w:rsidTr="007B5B84">
        <w:trPr>
          <w:trHeight w:val="20"/>
        </w:trPr>
        <w:tc>
          <w:tcPr>
            <w:tcW w:w="897" w:type="dxa"/>
            <w:tcBorders>
              <w:top w:val="nil"/>
              <w:left w:val="nil"/>
              <w:bottom w:val="nil"/>
              <w:right w:val="nil"/>
            </w:tcBorders>
            <w:shd w:val="clear" w:color="auto" w:fill="auto"/>
            <w:noWrap/>
            <w:vAlign w:val="bottom"/>
            <w:hideMark/>
          </w:tcPr>
          <w:p w14:paraId="21FF18BD"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center"/>
            <w:hideMark/>
          </w:tcPr>
          <w:p w14:paraId="5264C447" w14:textId="79FD5EF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‘primary” refers to workers with some or no primary schooling, i.e., grades 1-7</w:t>
            </w:r>
          </w:p>
        </w:tc>
      </w:tr>
      <w:tr w:rsidR="002E1B98" w:rsidRPr="008A61A3" w14:paraId="2A7B7A67" w14:textId="77777777" w:rsidTr="007B5B84">
        <w:trPr>
          <w:trHeight w:val="20"/>
        </w:trPr>
        <w:tc>
          <w:tcPr>
            <w:tcW w:w="897" w:type="dxa"/>
            <w:tcBorders>
              <w:top w:val="nil"/>
              <w:left w:val="nil"/>
              <w:bottom w:val="nil"/>
              <w:right w:val="nil"/>
            </w:tcBorders>
            <w:shd w:val="clear" w:color="auto" w:fill="auto"/>
            <w:noWrap/>
            <w:vAlign w:val="bottom"/>
            <w:hideMark/>
          </w:tcPr>
          <w:p w14:paraId="44F89864" w14:textId="77777777" w:rsidR="002E1B98" w:rsidRPr="002E1B98" w:rsidRDefault="002E1B98" w:rsidP="002E1B98">
            <w:pPr>
              <w:spacing w:after="0" w:line="240" w:lineRule="auto"/>
              <w:ind w:firstLineChars="200" w:firstLine="480"/>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center"/>
            <w:hideMark/>
          </w:tcPr>
          <w:p w14:paraId="0FFAFAFD" w14:textId="5BE703D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“middle” includes workers who have completed grade 10</w:t>
            </w:r>
          </w:p>
        </w:tc>
      </w:tr>
      <w:tr w:rsidR="002E1B98" w:rsidRPr="008A61A3" w14:paraId="7106CE56" w14:textId="77777777" w:rsidTr="007B5B84">
        <w:trPr>
          <w:trHeight w:val="20"/>
        </w:trPr>
        <w:tc>
          <w:tcPr>
            <w:tcW w:w="897" w:type="dxa"/>
            <w:tcBorders>
              <w:top w:val="nil"/>
              <w:left w:val="nil"/>
              <w:bottom w:val="nil"/>
              <w:right w:val="nil"/>
            </w:tcBorders>
            <w:shd w:val="clear" w:color="auto" w:fill="auto"/>
            <w:noWrap/>
            <w:vAlign w:val="bottom"/>
            <w:hideMark/>
          </w:tcPr>
          <w:p w14:paraId="5E1387A0" w14:textId="77777777" w:rsidR="002E1B98" w:rsidRPr="002E1B98" w:rsidRDefault="002E1B98" w:rsidP="002E1B98">
            <w:pPr>
              <w:spacing w:after="0" w:line="240" w:lineRule="auto"/>
              <w:ind w:firstLineChars="200" w:firstLine="480"/>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center"/>
            <w:hideMark/>
          </w:tcPr>
          <w:p w14:paraId="2E46E688" w14:textId="193F30A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“secondary” includes workers who have completed grade 12</w:t>
            </w:r>
          </w:p>
        </w:tc>
      </w:tr>
      <w:tr w:rsidR="002E1B98" w:rsidRPr="008A61A3" w14:paraId="0BC06F5D" w14:textId="77777777" w:rsidTr="007B5B84">
        <w:trPr>
          <w:trHeight w:val="20"/>
        </w:trPr>
        <w:tc>
          <w:tcPr>
            <w:tcW w:w="897" w:type="dxa"/>
            <w:tcBorders>
              <w:top w:val="nil"/>
              <w:left w:val="nil"/>
              <w:bottom w:val="nil"/>
              <w:right w:val="nil"/>
            </w:tcBorders>
            <w:shd w:val="clear" w:color="auto" w:fill="auto"/>
            <w:noWrap/>
            <w:vAlign w:val="bottom"/>
            <w:hideMark/>
          </w:tcPr>
          <w:p w14:paraId="2D26BEC4" w14:textId="77777777" w:rsidR="002E1B98" w:rsidRPr="002E1B98" w:rsidRDefault="002E1B98" w:rsidP="002E1B98">
            <w:pPr>
              <w:spacing w:after="0" w:line="240" w:lineRule="auto"/>
              <w:ind w:firstLineChars="200" w:firstLine="480"/>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center"/>
            <w:hideMark/>
          </w:tcPr>
          <w:p w14:paraId="4271330E" w14:textId="7998583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“tertiary” includes workers who have at least some post-secondary or higher education.</w:t>
            </w:r>
          </w:p>
        </w:tc>
      </w:tr>
      <w:tr w:rsidR="002E1B98" w:rsidRPr="008A61A3" w14:paraId="397F98A4" w14:textId="77777777" w:rsidTr="007B5B84">
        <w:trPr>
          <w:trHeight w:val="20"/>
        </w:trPr>
        <w:tc>
          <w:tcPr>
            <w:tcW w:w="897" w:type="dxa"/>
            <w:tcBorders>
              <w:top w:val="nil"/>
              <w:left w:val="nil"/>
              <w:bottom w:val="nil"/>
              <w:right w:val="nil"/>
            </w:tcBorders>
            <w:shd w:val="clear" w:color="auto" w:fill="auto"/>
            <w:noWrap/>
            <w:vAlign w:val="bottom"/>
            <w:hideMark/>
          </w:tcPr>
          <w:p w14:paraId="707CFD00" w14:textId="77777777" w:rsidR="002E1B98" w:rsidRPr="002E1B98" w:rsidRDefault="002E1B98" w:rsidP="002E1B98">
            <w:pPr>
              <w:spacing w:after="0" w:line="240" w:lineRule="auto"/>
              <w:ind w:firstLineChars="200" w:firstLine="480"/>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center"/>
            <w:hideMark/>
          </w:tcPr>
          <w:p w14:paraId="0602EE60" w14:textId="48F5590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Workers’ compensation is drawn from the 2012 Labour Force Survey (LFS) (</w:t>
            </w:r>
            <w:proofErr w:type="spellStart"/>
            <w:r w:rsidRPr="002E1B98">
              <w:rPr>
                <w:rFonts w:ascii="Times New Roman" w:hAnsi="Times New Roman" w:cs="Times New Roman"/>
                <w:color w:val="000000"/>
                <w:sz w:val="20"/>
                <w:szCs w:val="20"/>
              </w:rPr>
              <w:t>StatsSA</w:t>
            </w:r>
            <w:proofErr w:type="spellEnd"/>
            <w:r w:rsidRPr="002E1B98">
              <w:rPr>
                <w:rFonts w:ascii="Times New Roman" w:hAnsi="Times New Roman" w:cs="Times New Roman"/>
                <w:color w:val="000000"/>
                <w:sz w:val="20"/>
                <w:szCs w:val="20"/>
              </w:rPr>
              <w:t xml:space="preserve"> 2012). Not all activities are covered in the LFS. Appendix B reports the mapping from LFS to activities used in the SAM.</w:t>
            </w:r>
          </w:p>
        </w:tc>
      </w:tr>
      <w:tr w:rsidR="002E1B98" w:rsidRPr="008A61A3" w14:paraId="1E62AAB0" w14:textId="77777777" w:rsidTr="002E1B98">
        <w:trPr>
          <w:trHeight w:val="20"/>
        </w:trPr>
        <w:tc>
          <w:tcPr>
            <w:tcW w:w="897" w:type="dxa"/>
            <w:tcBorders>
              <w:top w:val="nil"/>
              <w:left w:val="nil"/>
              <w:bottom w:val="nil"/>
              <w:right w:val="nil"/>
            </w:tcBorders>
            <w:shd w:val="clear" w:color="auto" w:fill="auto"/>
            <w:noWrap/>
            <w:vAlign w:val="bottom"/>
            <w:hideMark/>
          </w:tcPr>
          <w:p w14:paraId="6F0F9528" w14:textId="28CD66A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iii</w:t>
            </w:r>
          </w:p>
        </w:tc>
        <w:tc>
          <w:tcPr>
            <w:tcW w:w="8193" w:type="dxa"/>
            <w:tcBorders>
              <w:top w:val="nil"/>
              <w:left w:val="nil"/>
              <w:bottom w:val="nil"/>
              <w:right w:val="nil"/>
            </w:tcBorders>
            <w:shd w:val="clear" w:color="auto" w:fill="auto"/>
            <w:vAlign w:val="bottom"/>
            <w:hideMark/>
          </w:tcPr>
          <w:p w14:paraId="43DA079B" w14:textId="4022830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Capital,Activities</w:t>
            </w:r>
            <w:proofErr w:type="spellEnd"/>
            <w:r w:rsidRPr="002E1B98">
              <w:rPr>
                <w:rFonts w:ascii="Times New Roman" w:hAnsi="Times New Roman" w:cs="Times New Roman"/>
                <w:color w:val="000000"/>
                <w:sz w:val="20"/>
                <w:szCs w:val="20"/>
              </w:rPr>
              <w:t>)…Rb2,010</w:t>
            </w:r>
          </w:p>
        </w:tc>
      </w:tr>
      <w:tr w:rsidR="002E1B98" w:rsidRPr="008A61A3" w14:paraId="6AAA4691" w14:textId="77777777" w:rsidTr="002E1B98">
        <w:trPr>
          <w:trHeight w:val="20"/>
        </w:trPr>
        <w:tc>
          <w:tcPr>
            <w:tcW w:w="897" w:type="dxa"/>
            <w:tcBorders>
              <w:top w:val="nil"/>
              <w:left w:val="nil"/>
              <w:bottom w:val="nil"/>
              <w:right w:val="nil"/>
            </w:tcBorders>
            <w:shd w:val="clear" w:color="auto" w:fill="auto"/>
            <w:noWrap/>
            <w:vAlign w:val="bottom"/>
            <w:hideMark/>
          </w:tcPr>
          <w:p w14:paraId="4A3AF28F"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27842DF" w14:textId="377A3BE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KBP6001J: Net operating surplus + KBP6002J: Consumption of fixed capital (Depreciation). Total capital income is disaggregated across activities according to shares in the 2017 UT. For each activity identified in the SAM, the capital income share in GDP at basic prices is derived from the 2017 UT. This is multiplied with matching 2019 GDP values that aggregate up 1 digit  National Accounts' higher level control totals by using disaggregation shares from the 2017 UT. Adjustment has been made for difference in treatment of informal sector GDP between the 1 digit activity National Accounts measure and the UT. </w:t>
            </w:r>
          </w:p>
        </w:tc>
      </w:tr>
      <w:tr w:rsidR="002E1B98" w:rsidRPr="008A61A3" w14:paraId="45FD0ABE" w14:textId="77777777" w:rsidTr="002E1B98">
        <w:trPr>
          <w:trHeight w:val="20"/>
        </w:trPr>
        <w:tc>
          <w:tcPr>
            <w:tcW w:w="897" w:type="dxa"/>
            <w:tcBorders>
              <w:top w:val="nil"/>
              <w:left w:val="nil"/>
              <w:bottom w:val="nil"/>
              <w:right w:val="nil"/>
            </w:tcBorders>
            <w:shd w:val="clear" w:color="auto" w:fill="auto"/>
            <w:noWrap/>
            <w:vAlign w:val="bottom"/>
            <w:hideMark/>
          </w:tcPr>
          <w:p w14:paraId="2162158C" w14:textId="3329E15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iv</w:t>
            </w:r>
          </w:p>
        </w:tc>
        <w:tc>
          <w:tcPr>
            <w:tcW w:w="8193" w:type="dxa"/>
            <w:tcBorders>
              <w:top w:val="nil"/>
              <w:left w:val="nil"/>
              <w:bottom w:val="nil"/>
              <w:right w:val="nil"/>
            </w:tcBorders>
            <w:shd w:val="clear" w:color="auto" w:fill="auto"/>
            <w:vAlign w:val="bottom"/>
            <w:hideMark/>
          </w:tcPr>
          <w:p w14:paraId="4AE172C7" w14:textId="253AC95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(Net activity </w:t>
            </w:r>
            <w:proofErr w:type="spellStart"/>
            <w:r w:rsidRPr="002E1B98">
              <w:rPr>
                <w:rFonts w:ascii="Times New Roman" w:hAnsi="Times New Roman" w:cs="Times New Roman"/>
                <w:color w:val="000000"/>
                <w:sz w:val="20"/>
                <w:szCs w:val="20"/>
              </w:rPr>
              <w:t>taxes,Activities</w:t>
            </w:r>
            <w:proofErr w:type="spellEnd"/>
            <w:r w:rsidRPr="002E1B98">
              <w:rPr>
                <w:rFonts w:ascii="Times New Roman" w:hAnsi="Times New Roman" w:cs="Times New Roman"/>
                <w:color w:val="000000"/>
                <w:sz w:val="20"/>
                <w:szCs w:val="20"/>
              </w:rPr>
              <w:t>)…Rb095</w:t>
            </w:r>
          </w:p>
        </w:tc>
      </w:tr>
      <w:tr w:rsidR="002E1B98" w:rsidRPr="008A61A3" w14:paraId="4E1F9B71" w14:textId="77777777" w:rsidTr="002E1B98">
        <w:trPr>
          <w:trHeight w:val="20"/>
        </w:trPr>
        <w:tc>
          <w:tcPr>
            <w:tcW w:w="897" w:type="dxa"/>
            <w:tcBorders>
              <w:top w:val="nil"/>
              <w:left w:val="nil"/>
              <w:bottom w:val="nil"/>
              <w:right w:val="nil"/>
            </w:tcBorders>
            <w:shd w:val="clear" w:color="auto" w:fill="auto"/>
            <w:noWrap/>
            <w:vAlign w:val="bottom"/>
            <w:hideMark/>
          </w:tcPr>
          <w:p w14:paraId="1791FBAF"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6712830" w14:textId="0A30B48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KBP6600J: Other taxes on production in all industries - KBP6601J: Other subsidies on production in all industries. Net activity taxes are derived by applying  the activity tax rates from the 2017 UT to 2019 GDP at factor cost. The latter is the sum of ii and iii above.</w:t>
            </w:r>
          </w:p>
        </w:tc>
      </w:tr>
      <w:tr w:rsidR="002E1B98" w:rsidRPr="008A61A3" w14:paraId="26DDBA17" w14:textId="77777777" w:rsidTr="002E1B98">
        <w:trPr>
          <w:trHeight w:val="20"/>
        </w:trPr>
        <w:tc>
          <w:tcPr>
            <w:tcW w:w="897" w:type="dxa"/>
            <w:tcBorders>
              <w:top w:val="nil"/>
              <w:left w:val="nil"/>
              <w:bottom w:val="nil"/>
              <w:right w:val="nil"/>
            </w:tcBorders>
            <w:shd w:val="clear" w:color="auto" w:fill="auto"/>
            <w:noWrap/>
            <w:vAlign w:val="bottom"/>
            <w:hideMark/>
          </w:tcPr>
          <w:p w14:paraId="2D9B2E5F" w14:textId="284AEBB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v</w:t>
            </w:r>
          </w:p>
        </w:tc>
        <w:tc>
          <w:tcPr>
            <w:tcW w:w="8193" w:type="dxa"/>
            <w:tcBorders>
              <w:top w:val="nil"/>
              <w:left w:val="nil"/>
              <w:bottom w:val="nil"/>
              <w:right w:val="nil"/>
            </w:tcBorders>
            <w:shd w:val="clear" w:color="auto" w:fill="auto"/>
            <w:vAlign w:val="bottom"/>
            <w:hideMark/>
          </w:tcPr>
          <w:p w14:paraId="354EB0B4" w14:textId="1AD7386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Activities,Commodities</w:t>
            </w:r>
            <w:proofErr w:type="spellEnd"/>
            <w:r w:rsidRPr="002E1B98">
              <w:rPr>
                <w:rFonts w:ascii="Times New Roman" w:hAnsi="Times New Roman" w:cs="Times New Roman"/>
                <w:color w:val="000000"/>
                <w:sz w:val="20"/>
                <w:szCs w:val="20"/>
              </w:rPr>
              <w:t>)…Rb9,732</w:t>
            </w:r>
          </w:p>
        </w:tc>
      </w:tr>
      <w:tr w:rsidR="002E1B98" w:rsidRPr="008A61A3" w14:paraId="744AEB03" w14:textId="77777777" w:rsidTr="002E1B98">
        <w:trPr>
          <w:trHeight w:val="20"/>
        </w:trPr>
        <w:tc>
          <w:tcPr>
            <w:tcW w:w="897" w:type="dxa"/>
            <w:tcBorders>
              <w:top w:val="nil"/>
              <w:left w:val="nil"/>
              <w:bottom w:val="nil"/>
              <w:right w:val="nil"/>
            </w:tcBorders>
            <w:shd w:val="clear" w:color="auto" w:fill="auto"/>
            <w:noWrap/>
            <w:vAlign w:val="bottom"/>
            <w:hideMark/>
          </w:tcPr>
          <w:p w14:paraId="2338CFE3"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58BEE89" w14:textId="4B59EB9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KBP6870J: Production account: Output of total domestic economy. It is equal to the sum of the </w:t>
            </w:r>
            <w:proofErr w:type="spellStart"/>
            <w:r w:rsidRPr="002E1B98">
              <w:rPr>
                <w:rFonts w:ascii="Times New Roman" w:hAnsi="Times New Roman" w:cs="Times New Roman"/>
                <w:color w:val="000000"/>
                <w:sz w:val="20"/>
                <w:szCs w:val="20"/>
              </w:rPr>
              <w:t>activites</w:t>
            </w:r>
            <w:proofErr w:type="spellEnd"/>
            <w:r w:rsidRPr="002E1B98">
              <w:rPr>
                <w:rFonts w:ascii="Times New Roman" w:hAnsi="Times New Roman" w:cs="Times New Roman"/>
                <w:color w:val="000000"/>
                <w:sz w:val="20"/>
                <w:szCs w:val="20"/>
              </w:rPr>
              <w:t xml:space="preserve">' total costs which is the sum of </w:t>
            </w:r>
            <w:proofErr w:type="spellStart"/>
            <w:r w:rsidRPr="002E1B98">
              <w:rPr>
                <w:rFonts w:ascii="Times New Roman" w:hAnsi="Times New Roman" w:cs="Times New Roman"/>
                <w:color w:val="000000"/>
                <w:sz w:val="20"/>
                <w:szCs w:val="20"/>
              </w:rPr>
              <w:t>i</w:t>
            </w:r>
            <w:proofErr w:type="spellEnd"/>
            <w:r w:rsidRPr="002E1B98">
              <w:rPr>
                <w:rFonts w:ascii="Times New Roman" w:hAnsi="Times New Roman" w:cs="Times New Roman"/>
                <w:color w:val="000000"/>
                <w:sz w:val="20"/>
                <w:szCs w:val="20"/>
              </w:rPr>
              <w:t xml:space="preserve"> - iv above, i.e., intermediate costs, labour costs, rewards for the production factor capital and activity tax. Total costs of production is what local producers supply to the market. Total domestic production of each activity is disaggregated across the commodities that they make according to the shares in the 2017 ST.</w:t>
            </w:r>
          </w:p>
        </w:tc>
      </w:tr>
      <w:tr w:rsidR="002E1B98" w:rsidRPr="008A61A3" w14:paraId="6FE1561B" w14:textId="77777777" w:rsidTr="002E1B98">
        <w:trPr>
          <w:trHeight w:val="20"/>
        </w:trPr>
        <w:tc>
          <w:tcPr>
            <w:tcW w:w="897" w:type="dxa"/>
            <w:tcBorders>
              <w:top w:val="nil"/>
              <w:left w:val="nil"/>
              <w:bottom w:val="nil"/>
              <w:right w:val="nil"/>
            </w:tcBorders>
            <w:shd w:val="clear" w:color="auto" w:fill="auto"/>
            <w:noWrap/>
            <w:vAlign w:val="bottom"/>
            <w:hideMark/>
          </w:tcPr>
          <w:p w14:paraId="7926CBD8" w14:textId="4432C73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vi</w:t>
            </w:r>
          </w:p>
        </w:tc>
        <w:tc>
          <w:tcPr>
            <w:tcW w:w="8193" w:type="dxa"/>
            <w:tcBorders>
              <w:top w:val="nil"/>
              <w:left w:val="nil"/>
              <w:bottom w:val="nil"/>
              <w:right w:val="nil"/>
            </w:tcBorders>
            <w:shd w:val="clear" w:color="auto" w:fill="auto"/>
            <w:vAlign w:val="bottom"/>
            <w:hideMark/>
          </w:tcPr>
          <w:p w14:paraId="6067241D" w14:textId="77083D8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(Net </w:t>
            </w:r>
            <w:proofErr w:type="spellStart"/>
            <w:r w:rsidRPr="002E1B98">
              <w:rPr>
                <w:rFonts w:ascii="Times New Roman" w:hAnsi="Times New Roman" w:cs="Times New Roman"/>
                <w:color w:val="000000"/>
                <w:sz w:val="20"/>
                <w:szCs w:val="20"/>
              </w:rPr>
              <w:t>dom</w:t>
            </w:r>
            <w:proofErr w:type="spellEnd"/>
            <w:r w:rsidRPr="002E1B98">
              <w:rPr>
                <w:rFonts w:ascii="Times New Roman" w:hAnsi="Times New Roman" w:cs="Times New Roman"/>
                <w:color w:val="000000"/>
                <w:sz w:val="20"/>
                <w:szCs w:val="20"/>
              </w:rPr>
              <w:t xml:space="preserve"> prod </w:t>
            </w:r>
            <w:proofErr w:type="spellStart"/>
            <w:r w:rsidRPr="002E1B98">
              <w:rPr>
                <w:rFonts w:ascii="Times New Roman" w:hAnsi="Times New Roman" w:cs="Times New Roman"/>
                <w:color w:val="000000"/>
                <w:sz w:val="20"/>
                <w:szCs w:val="20"/>
              </w:rPr>
              <w:t>taxes,Commodities</w:t>
            </w:r>
            <w:proofErr w:type="spellEnd"/>
            <w:r w:rsidRPr="002E1B98">
              <w:rPr>
                <w:rFonts w:ascii="Times New Roman" w:hAnsi="Times New Roman" w:cs="Times New Roman"/>
                <w:color w:val="000000"/>
                <w:sz w:val="20"/>
                <w:szCs w:val="20"/>
              </w:rPr>
              <w:t>)…Rb498</w:t>
            </w:r>
          </w:p>
        </w:tc>
      </w:tr>
      <w:tr w:rsidR="002E1B98" w:rsidRPr="008A61A3" w14:paraId="3A48660F" w14:textId="77777777" w:rsidTr="002E1B98">
        <w:trPr>
          <w:trHeight w:val="20"/>
        </w:trPr>
        <w:tc>
          <w:tcPr>
            <w:tcW w:w="897" w:type="dxa"/>
            <w:tcBorders>
              <w:top w:val="nil"/>
              <w:left w:val="nil"/>
              <w:bottom w:val="nil"/>
              <w:right w:val="nil"/>
            </w:tcBorders>
            <w:shd w:val="clear" w:color="auto" w:fill="auto"/>
            <w:noWrap/>
            <w:vAlign w:val="bottom"/>
            <w:hideMark/>
          </w:tcPr>
          <w:p w14:paraId="32B14764"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60C8B49" w14:textId="614EDBB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KBP6603J: Taxes on products - KBP6604J: Subsidies on products-KBP4590J: National government tax revenue: Taxes on international trade and transactions: Import duties. Domestic taxes less subsidies on products together with import duties is equal to taxes on products as reported by the National Accounts. Disaggregation of this control total (sum of taxes less subsidies </w:t>
            </w:r>
            <w:r w:rsidRPr="002E1B98">
              <w:rPr>
                <w:rFonts w:ascii="Times New Roman" w:hAnsi="Times New Roman" w:cs="Times New Roman"/>
                <w:color w:val="000000"/>
                <w:sz w:val="20"/>
                <w:szCs w:val="20"/>
              </w:rPr>
              <w:lastRenderedPageBreak/>
              <w:t xml:space="preserve">on products less import duties) across products is based on 2017 ST shares after import duties, discussed below in (vii), are subtracted. </w:t>
            </w:r>
          </w:p>
        </w:tc>
      </w:tr>
      <w:tr w:rsidR="002E1B98" w:rsidRPr="008A61A3" w14:paraId="28E6880F" w14:textId="77777777" w:rsidTr="002E1B98">
        <w:trPr>
          <w:trHeight w:val="20"/>
        </w:trPr>
        <w:tc>
          <w:tcPr>
            <w:tcW w:w="897" w:type="dxa"/>
            <w:tcBorders>
              <w:top w:val="nil"/>
              <w:left w:val="nil"/>
              <w:bottom w:val="nil"/>
              <w:right w:val="nil"/>
            </w:tcBorders>
            <w:shd w:val="clear" w:color="auto" w:fill="auto"/>
            <w:noWrap/>
            <w:vAlign w:val="bottom"/>
            <w:hideMark/>
          </w:tcPr>
          <w:p w14:paraId="06800E91" w14:textId="07475DB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lastRenderedPageBreak/>
              <w:t>vii</w:t>
            </w:r>
          </w:p>
        </w:tc>
        <w:tc>
          <w:tcPr>
            <w:tcW w:w="8193" w:type="dxa"/>
            <w:tcBorders>
              <w:top w:val="nil"/>
              <w:left w:val="nil"/>
              <w:bottom w:val="nil"/>
              <w:right w:val="nil"/>
            </w:tcBorders>
            <w:shd w:val="clear" w:color="auto" w:fill="auto"/>
            <w:vAlign w:val="bottom"/>
            <w:hideMark/>
          </w:tcPr>
          <w:p w14:paraId="79BB7E3B" w14:textId="2EAC914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(Import </w:t>
            </w:r>
            <w:proofErr w:type="spellStart"/>
            <w:r w:rsidRPr="002E1B98">
              <w:rPr>
                <w:rFonts w:ascii="Times New Roman" w:hAnsi="Times New Roman" w:cs="Times New Roman"/>
                <w:color w:val="000000"/>
                <w:sz w:val="20"/>
                <w:szCs w:val="20"/>
              </w:rPr>
              <w:t>duties,Commodities</w:t>
            </w:r>
            <w:proofErr w:type="spellEnd"/>
            <w:r w:rsidRPr="002E1B98">
              <w:rPr>
                <w:rFonts w:ascii="Times New Roman" w:hAnsi="Times New Roman" w:cs="Times New Roman"/>
                <w:color w:val="000000"/>
                <w:sz w:val="20"/>
                <w:szCs w:val="20"/>
              </w:rPr>
              <w:t>)…Rb056</w:t>
            </w:r>
          </w:p>
        </w:tc>
      </w:tr>
      <w:tr w:rsidR="002E1B98" w:rsidRPr="008A61A3" w14:paraId="179AD748" w14:textId="77777777" w:rsidTr="002E1B98">
        <w:trPr>
          <w:trHeight w:val="20"/>
        </w:trPr>
        <w:tc>
          <w:tcPr>
            <w:tcW w:w="897" w:type="dxa"/>
            <w:tcBorders>
              <w:top w:val="nil"/>
              <w:left w:val="nil"/>
              <w:bottom w:val="nil"/>
              <w:right w:val="nil"/>
            </w:tcBorders>
            <w:shd w:val="clear" w:color="auto" w:fill="auto"/>
            <w:noWrap/>
            <w:vAlign w:val="bottom"/>
            <w:hideMark/>
          </w:tcPr>
          <w:p w14:paraId="2EFE6D35"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71B06836" w14:textId="31DC28E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KBP4590J: National government tax revenue: Taxes on international trade and transactions: Import duties. Total Import duties are part of national government tax revenue as reported in the Public Finance Statistics of the SARB Quarterly Bulletin and together with net domestic product tax [see (vi) above] make up net product tax that is reported in the National accounts. Commodity level import duties collected were obtained from 2009 SARS import duty collection rates. These rates were manually adjusted so as to avoid negative domestic commodity tax where it was obvious this did not make sense.  More robust and recent direct estimates of tax collection or their rates will require further work.</w:t>
            </w:r>
          </w:p>
        </w:tc>
      </w:tr>
      <w:tr w:rsidR="002E1B98" w:rsidRPr="008A61A3" w14:paraId="13705D7B" w14:textId="77777777" w:rsidTr="002E1B98">
        <w:trPr>
          <w:trHeight w:val="20"/>
        </w:trPr>
        <w:tc>
          <w:tcPr>
            <w:tcW w:w="897" w:type="dxa"/>
            <w:tcBorders>
              <w:top w:val="nil"/>
              <w:left w:val="nil"/>
              <w:bottom w:val="nil"/>
              <w:right w:val="nil"/>
            </w:tcBorders>
            <w:shd w:val="clear" w:color="auto" w:fill="auto"/>
            <w:noWrap/>
            <w:vAlign w:val="bottom"/>
            <w:hideMark/>
          </w:tcPr>
          <w:p w14:paraId="2A419BC8" w14:textId="26A250B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viii</w:t>
            </w:r>
          </w:p>
        </w:tc>
        <w:tc>
          <w:tcPr>
            <w:tcW w:w="8193" w:type="dxa"/>
            <w:tcBorders>
              <w:top w:val="nil"/>
              <w:left w:val="nil"/>
              <w:bottom w:val="nil"/>
              <w:right w:val="nil"/>
            </w:tcBorders>
            <w:shd w:val="clear" w:color="auto" w:fill="auto"/>
            <w:vAlign w:val="bottom"/>
            <w:hideMark/>
          </w:tcPr>
          <w:p w14:paraId="32020B18" w14:textId="46334EF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(Rest of the </w:t>
            </w:r>
            <w:proofErr w:type="spellStart"/>
            <w:r w:rsidRPr="002E1B98">
              <w:rPr>
                <w:rFonts w:ascii="Times New Roman" w:hAnsi="Times New Roman" w:cs="Times New Roman"/>
                <w:color w:val="000000"/>
                <w:sz w:val="20"/>
                <w:szCs w:val="20"/>
              </w:rPr>
              <w:t>world,Commodities</w:t>
            </w:r>
            <w:proofErr w:type="spellEnd"/>
            <w:r w:rsidRPr="002E1B98">
              <w:rPr>
                <w:rFonts w:ascii="Times New Roman" w:hAnsi="Times New Roman" w:cs="Times New Roman"/>
                <w:color w:val="000000"/>
                <w:sz w:val="20"/>
                <w:szCs w:val="20"/>
              </w:rPr>
              <w:t>)…Rb1,490</w:t>
            </w:r>
          </w:p>
        </w:tc>
      </w:tr>
      <w:tr w:rsidR="002E1B98" w:rsidRPr="008A61A3" w14:paraId="6910350D" w14:textId="77777777" w:rsidTr="002E1B98">
        <w:trPr>
          <w:trHeight w:val="20"/>
        </w:trPr>
        <w:tc>
          <w:tcPr>
            <w:tcW w:w="897" w:type="dxa"/>
            <w:tcBorders>
              <w:top w:val="nil"/>
              <w:left w:val="nil"/>
              <w:bottom w:val="nil"/>
              <w:right w:val="nil"/>
            </w:tcBorders>
            <w:shd w:val="clear" w:color="auto" w:fill="auto"/>
            <w:noWrap/>
            <w:vAlign w:val="bottom"/>
            <w:hideMark/>
          </w:tcPr>
          <w:p w14:paraId="58BEEF47"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2FEE6E74" w14:textId="7724E52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KBP6014J: Imports of goods &amp; services. Disaggregated to commodity level based on 2017 ST shares. Adjustments are made for purchases of residents abroad while benchmarking on the 2019 National Accounts.</w:t>
            </w:r>
          </w:p>
        </w:tc>
      </w:tr>
      <w:tr w:rsidR="002E1B98" w:rsidRPr="008A61A3" w14:paraId="07A425D2" w14:textId="77777777" w:rsidTr="002E1B98">
        <w:trPr>
          <w:trHeight w:val="20"/>
        </w:trPr>
        <w:tc>
          <w:tcPr>
            <w:tcW w:w="897" w:type="dxa"/>
            <w:tcBorders>
              <w:top w:val="nil"/>
              <w:left w:val="nil"/>
              <w:bottom w:val="nil"/>
              <w:right w:val="nil"/>
            </w:tcBorders>
            <w:shd w:val="clear" w:color="auto" w:fill="auto"/>
            <w:noWrap/>
            <w:vAlign w:val="bottom"/>
            <w:hideMark/>
          </w:tcPr>
          <w:p w14:paraId="2DD0168E" w14:textId="79D455E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ix</w:t>
            </w:r>
          </w:p>
        </w:tc>
        <w:tc>
          <w:tcPr>
            <w:tcW w:w="8193" w:type="dxa"/>
            <w:tcBorders>
              <w:top w:val="nil"/>
              <w:left w:val="nil"/>
              <w:bottom w:val="nil"/>
              <w:right w:val="nil"/>
            </w:tcBorders>
            <w:shd w:val="clear" w:color="auto" w:fill="auto"/>
            <w:vAlign w:val="bottom"/>
            <w:hideMark/>
          </w:tcPr>
          <w:p w14:paraId="22FE0F78" w14:textId="6998E5E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Households,Labour</w:t>
            </w:r>
            <w:proofErr w:type="spellEnd"/>
            <w:r w:rsidRPr="002E1B98">
              <w:rPr>
                <w:rFonts w:ascii="Times New Roman" w:hAnsi="Times New Roman" w:cs="Times New Roman"/>
                <w:color w:val="000000"/>
                <w:sz w:val="20"/>
                <w:szCs w:val="20"/>
              </w:rPr>
              <w:t>)…Rb2,416</w:t>
            </w:r>
          </w:p>
        </w:tc>
      </w:tr>
      <w:tr w:rsidR="002E1B98" w:rsidRPr="008A61A3" w14:paraId="48BDA017" w14:textId="77777777" w:rsidTr="002E1B98">
        <w:trPr>
          <w:trHeight w:val="20"/>
        </w:trPr>
        <w:tc>
          <w:tcPr>
            <w:tcW w:w="897" w:type="dxa"/>
            <w:tcBorders>
              <w:top w:val="nil"/>
              <w:left w:val="nil"/>
              <w:bottom w:val="nil"/>
              <w:right w:val="nil"/>
            </w:tcBorders>
            <w:shd w:val="clear" w:color="auto" w:fill="auto"/>
            <w:noWrap/>
            <w:vAlign w:val="bottom"/>
            <w:hideMark/>
          </w:tcPr>
          <w:p w14:paraId="3F4B97BF"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209458A" w14:textId="1D59B6F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KBP6240J: Compensation of residents. Disaggregated across types of labour and household income classes according to the 2015 LCS</w:t>
            </w:r>
          </w:p>
        </w:tc>
      </w:tr>
      <w:tr w:rsidR="002E1B98" w:rsidRPr="008A61A3" w14:paraId="5BF083BA" w14:textId="77777777" w:rsidTr="002E1B98">
        <w:trPr>
          <w:trHeight w:val="20"/>
        </w:trPr>
        <w:tc>
          <w:tcPr>
            <w:tcW w:w="897" w:type="dxa"/>
            <w:tcBorders>
              <w:top w:val="nil"/>
              <w:left w:val="nil"/>
              <w:bottom w:val="nil"/>
              <w:right w:val="nil"/>
            </w:tcBorders>
            <w:shd w:val="clear" w:color="auto" w:fill="auto"/>
            <w:noWrap/>
            <w:vAlign w:val="bottom"/>
            <w:hideMark/>
          </w:tcPr>
          <w:p w14:paraId="2DB36DD8" w14:textId="15BC3B8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w:t>
            </w:r>
          </w:p>
        </w:tc>
        <w:tc>
          <w:tcPr>
            <w:tcW w:w="8193" w:type="dxa"/>
            <w:tcBorders>
              <w:top w:val="nil"/>
              <w:left w:val="nil"/>
              <w:bottom w:val="nil"/>
              <w:right w:val="nil"/>
            </w:tcBorders>
            <w:shd w:val="clear" w:color="auto" w:fill="auto"/>
            <w:vAlign w:val="bottom"/>
            <w:hideMark/>
          </w:tcPr>
          <w:p w14:paraId="5789C8FD" w14:textId="776B693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(Rest of the </w:t>
            </w:r>
            <w:proofErr w:type="spellStart"/>
            <w:r w:rsidRPr="002E1B98">
              <w:rPr>
                <w:rFonts w:ascii="Times New Roman" w:hAnsi="Times New Roman" w:cs="Times New Roman"/>
                <w:color w:val="000000"/>
                <w:sz w:val="20"/>
                <w:szCs w:val="20"/>
              </w:rPr>
              <w:t>world,Labour</w:t>
            </w:r>
            <w:proofErr w:type="spellEnd"/>
            <w:r w:rsidRPr="002E1B98">
              <w:rPr>
                <w:rFonts w:ascii="Times New Roman" w:hAnsi="Times New Roman" w:cs="Times New Roman"/>
                <w:color w:val="000000"/>
                <w:sz w:val="20"/>
                <w:szCs w:val="20"/>
              </w:rPr>
              <w:t>)…Rb015</w:t>
            </w:r>
          </w:p>
        </w:tc>
      </w:tr>
      <w:tr w:rsidR="002E1B98" w:rsidRPr="008A61A3" w14:paraId="64B1973C" w14:textId="77777777" w:rsidTr="002E1B98">
        <w:trPr>
          <w:trHeight w:val="20"/>
        </w:trPr>
        <w:tc>
          <w:tcPr>
            <w:tcW w:w="897" w:type="dxa"/>
            <w:tcBorders>
              <w:top w:val="nil"/>
              <w:left w:val="nil"/>
              <w:bottom w:val="nil"/>
              <w:right w:val="nil"/>
            </w:tcBorders>
            <w:shd w:val="clear" w:color="auto" w:fill="auto"/>
            <w:noWrap/>
            <w:vAlign w:val="bottom"/>
            <w:hideMark/>
          </w:tcPr>
          <w:p w14:paraId="34FA4D0A"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16A43A4" w14:textId="614973D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KBP6207J: Compensation of South African employees abroad. Disaggregated across types of labour according to total labour income received by households using 2015 LCS</w:t>
            </w:r>
          </w:p>
        </w:tc>
      </w:tr>
      <w:tr w:rsidR="002E1B98" w:rsidRPr="008A61A3" w14:paraId="54418BA2" w14:textId="77777777" w:rsidTr="002E1B98">
        <w:trPr>
          <w:trHeight w:val="20"/>
        </w:trPr>
        <w:tc>
          <w:tcPr>
            <w:tcW w:w="897" w:type="dxa"/>
            <w:tcBorders>
              <w:top w:val="nil"/>
              <w:left w:val="nil"/>
              <w:bottom w:val="nil"/>
              <w:right w:val="nil"/>
            </w:tcBorders>
            <w:shd w:val="clear" w:color="auto" w:fill="FFFF00"/>
            <w:noWrap/>
            <w:vAlign w:val="bottom"/>
            <w:hideMark/>
          </w:tcPr>
          <w:p w14:paraId="0C03BC88" w14:textId="1DB5655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xi</w:t>
            </w:r>
          </w:p>
        </w:tc>
        <w:tc>
          <w:tcPr>
            <w:tcW w:w="8193" w:type="dxa"/>
            <w:tcBorders>
              <w:top w:val="nil"/>
              <w:left w:val="nil"/>
              <w:bottom w:val="nil"/>
              <w:right w:val="nil"/>
            </w:tcBorders>
            <w:shd w:val="clear" w:color="auto" w:fill="FFFF00"/>
            <w:vAlign w:val="bottom"/>
            <w:hideMark/>
          </w:tcPr>
          <w:p w14:paraId="06646349" w14:textId="730A0BC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Enterprises,Capital</w:t>
            </w:r>
            <w:proofErr w:type="spellEnd"/>
            <w:r w:rsidRPr="002E1B98">
              <w:rPr>
                <w:rFonts w:ascii="Times New Roman" w:hAnsi="Times New Roman" w:cs="Times New Roman"/>
                <w:color w:val="000000"/>
                <w:sz w:val="20"/>
                <w:szCs w:val="20"/>
              </w:rPr>
              <w:t>)…Rb1,085</w:t>
            </w:r>
          </w:p>
        </w:tc>
      </w:tr>
      <w:tr w:rsidR="002E1B98" w:rsidRPr="008A61A3" w14:paraId="4C9D4103" w14:textId="77777777" w:rsidTr="002E1B98">
        <w:trPr>
          <w:trHeight w:val="20"/>
        </w:trPr>
        <w:tc>
          <w:tcPr>
            <w:tcW w:w="897" w:type="dxa"/>
            <w:tcBorders>
              <w:top w:val="nil"/>
              <w:left w:val="nil"/>
              <w:bottom w:val="nil"/>
              <w:right w:val="nil"/>
            </w:tcBorders>
            <w:shd w:val="clear" w:color="auto" w:fill="auto"/>
            <w:noWrap/>
            <w:vAlign w:val="bottom"/>
            <w:hideMark/>
          </w:tcPr>
          <w:p w14:paraId="7196B4D1"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3DA3B681" w14:textId="22522BB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KBP6706J: Generation of income account: Gross operating surplus of Financial corporations+KBP6746J: Generation of income account: Gross operating surplus of non-financial corporations+KBP6904J: External account of primary incomes and current transfers: Property income paid: ROW-KBP6901J: External account of primary incomes and current transfers: Property income received: ROW</w:t>
            </w:r>
          </w:p>
        </w:tc>
      </w:tr>
      <w:tr w:rsidR="002E1B98" w:rsidRPr="008A61A3" w14:paraId="5F077B7C" w14:textId="77777777" w:rsidTr="002E1B98">
        <w:trPr>
          <w:trHeight w:val="20"/>
        </w:trPr>
        <w:tc>
          <w:tcPr>
            <w:tcW w:w="897" w:type="dxa"/>
            <w:tcBorders>
              <w:top w:val="nil"/>
              <w:left w:val="nil"/>
              <w:bottom w:val="nil"/>
              <w:right w:val="nil"/>
            </w:tcBorders>
            <w:shd w:val="clear" w:color="auto" w:fill="auto"/>
            <w:noWrap/>
            <w:vAlign w:val="bottom"/>
            <w:hideMark/>
          </w:tcPr>
          <w:p w14:paraId="47D3FB3D" w14:textId="1D06812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xii</w:t>
            </w:r>
          </w:p>
        </w:tc>
        <w:tc>
          <w:tcPr>
            <w:tcW w:w="8193" w:type="dxa"/>
            <w:tcBorders>
              <w:top w:val="nil"/>
              <w:left w:val="nil"/>
              <w:bottom w:val="nil"/>
              <w:right w:val="nil"/>
            </w:tcBorders>
            <w:shd w:val="clear" w:color="auto" w:fill="auto"/>
            <w:vAlign w:val="bottom"/>
            <w:hideMark/>
          </w:tcPr>
          <w:p w14:paraId="2A5A2343" w14:textId="269D916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Households,Capital</w:t>
            </w:r>
            <w:proofErr w:type="spellEnd"/>
            <w:r w:rsidRPr="002E1B98">
              <w:rPr>
                <w:rFonts w:ascii="Times New Roman" w:hAnsi="Times New Roman" w:cs="Times New Roman"/>
                <w:color w:val="000000"/>
                <w:sz w:val="20"/>
                <w:szCs w:val="20"/>
              </w:rPr>
              <w:t>)…Rb664</w:t>
            </w:r>
          </w:p>
        </w:tc>
      </w:tr>
      <w:tr w:rsidR="002E1B98" w:rsidRPr="008A61A3" w14:paraId="3E60ADBB" w14:textId="77777777" w:rsidTr="002E1B98">
        <w:trPr>
          <w:trHeight w:val="20"/>
        </w:trPr>
        <w:tc>
          <w:tcPr>
            <w:tcW w:w="897" w:type="dxa"/>
            <w:tcBorders>
              <w:top w:val="nil"/>
              <w:left w:val="nil"/>
              <w:bottom w:val="nil"/>
              <w:right w:val="nil"/>
            </w:tcBorders>
            <w:shd w:val="clear" w:color="auto" w:fill="auto"/>
            <w:noWrap/>
            <w:vAlign w:val="bottom"/>
            <w:hideMark/>
          </w:tcPr>
          <w:p w14:paraId="3D191C17"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757623F" w14:textId="69564A3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KBP6826J: Generation of income account: Gross operating surplus / mixed income of households and NPISHs. Distribution is based on the LCS</w:t>
            </w:r>
          </w:p>
        </w:tc>
      </w:tr>
      <w:tr w:rsidR="002E1B98" w:rsidRPr="008A61A3" w14:paraId="09430E68" w14:textId="77777777" w:rsidTr="002E1B98">
        <w:trPr>
          <w:trHeight w:val="20"/>
        </w:trPr>
        <w:tc>
          <w:tcPr>
            <w:tcW w:w="897" w:type="dxa"/>
            <w:tcBorders>
              <w:top w:val="nil"/>
              <w:left w:val="nil"/>
              <w:bottom w:val="nil"/>
              <w:right w:val="nil"/>
            </w:tcBorders>
            <w:shd w:val="clear" w:color="auto" w:fill="auto"/>
            <w:noWrap/>
            <w:vAlign w:val="bottom"/>
            <w:hideMark/>
          </w:tcPr>
          <w:p w14:paraId="1DF5A42B" w14:textId="1CCADA8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xiii</w:t>
            </w:r>
          </w:p>
        </w:tc>
        <w:tc>
          <w:tcPr>
            <w:tcW w:w="8193" w:type="dxa"/>
            <w:tcBorders>
              <w:top w:val="nil"/>
              <w:left w:val="nil"/>
              <w:bottom w:val="nil"/>
              <w:right w:val="nil"/>
            </w:tcBorders>
            <w:shd w:val="clear" w:color="auto" w:fill="auto"/>
            <w:vAlign w:val="bottom"/>
            <w:hideMark/>
          </w:tcPr>
          <w:p w14:paraId="73A7D92A" w14:textId="3AB3D25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Government,Capital</w:t>
            </w:r>
            <w:proofErr w:type="spellEnd"/>
            <w:r w:rsidRPr="002E1B98">
              <w:rPr>
                <w:rFonts w:ascii="Times New Roman" w:hAnsi="Times New Roman" w:cs="Times New Roman"/>
                <w:color w:val="000000"/>
                <w:sz w:val="20"/>
                <w:szCs w:val="20"/>
              </w:rPr>
              <w:t>)…Rb119</w:t>
            </w:r>
          </w:p>
        </w:tc>
      </w:tr>
      <w:tr w:rsidR="002E1B98" w:rsidRPr="008A61A3" w14:paraId="00D060F9" w14:textId="77777777" w:rsidTr="002E1B98">
        <w:trPr>
          <w:trHeight w:val="20"/>
        </w:trPr>
        <w:tc>
          <w:tcPr>
            <w:tcW w:w="897" w:type="dxa"/>
            <w:tcBorders>
              <w:top w:val="nil"/>
              <w:left w:val="nil"/>
              <w:bottom w:val="nil"/>
              <w:right w:val="nil"/>
            </w:tcBorders>
            <w:shd w:val="clear" w:color="auto" w:fill="auto"/>
            <w:noWrap/>
            <w:vAlign w:val="bottom"/>
            <w:hideMark/>
          </w:tcPr>
          <w:p w14:paraId="6C8C5FDB"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046379D" w14:textId="36B81F6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KBP6786J: Generation of income account: Gross operating surplus of General government. Income earned by government from holdings</w:t>
            </w:r>
          </w:p>
        </w:tc>
      </w:tr>
      <w:tr w:rsidR="002E1B98" w:rsidRPr="008A61A3" w14:paraId="3BEB603A" w14:textId="77777777" w:rsidTr="002E1B98">
        <w:trPr>
          <w:trHeight w:val="20"/>
        </w:trPr>
        <w:tc>
          <w:tcPr>
            <w:tcW w:w="897" w:type="dxa"/>
            <w:tcBorders>
              <w:top w:val="nil"/>
              <w:left w:val="nil"/>
              <w:bottom w:val="nil"/>
              <w:right w:val="nil"/>
            </w:tcBorders>
            <w:shd w:val="clear" w:color="auto" w:fill="auto"/>
            <w:noWrap/>
            <w:vAlign w:val="bottom"/>
            <w:hideMark/>
          </w:tcPr>
          <w:p w14:paraId="5524E940" w14:textId="1DA0AA3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xiv</w:t>
            </w:r>
          </w:p>
        </w:tc>
        <w:tc>
          <w:tcPr>
            <w:tcW w:w="8193" w:type="dxa"/>
            <w:tcBorders>
              <w:top w:val="nil"/>
              <w:left w:val="nil"/>
              <w:bottom w:val="nil"/>
              <w:right w:val="nil"/>
            </w:tcBorders>
            <w:shd w:val="clear" w:color="auto" w:fill="auto"/>
            <w:vAlign w:val="bottom"/>
            <w:hideMark/>
          </w:tcPr>
          <w:p w14:paraId="04153052" w14:textId="2EC3778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(Rest of the </w:t>
            </w:r>
            <w:proofErr w:type="spellStart"/>
            <w:r w:rsidRPr="002E1B98">
              <w:rPr>
                <w:rFonts w:ascii="Times New Roman" w:hAnsi="Times New Roman" w:cs="Times New Roman"/>
                <w:color w:val="000000"/>
                <w:sz w:val="20"/>
                <w:szCs w:val="20"/>
              </w:rPr>
              <w:t>world,Capital</w:t>
            </w:r>
            <w:proofErr w:type="spellEnd"/>
            <w:r w:rsidRPr="002E1B98">
              <w:rPr>
                <w:rFonts w:ascii="Times New Roman" w:hAnsi="Times New Roman" w:cs="Times New Roman"/>
                <w:color w:val="000000"/>
                <w:sz w:val="20"/>
                <w:szCs w:val="20"/>
              </w:rPr>
              <w:t>)…Rb245</w:t>
            </w:r>
          </w:p>
        </w:tc>
      </w:tr>
      <w:tr w:rsidR="002E1B98" w:rsidRPr="008A61A3" w14:paraId="7050FAA5" w14:textId="77777777" w:rsidTr="002E1B98">
        <w:trPr>
          <w:trHeight w:val="20"/>
        </w:trPr>
        <w:tc>
          <w:tcPr>
            <w:tcW w:w="897" w:type="dxa"/>
            <w:tcBorders>
              <w:top w:val="nil"/>
              <w:left w:val="nil"/>
              <w:bottom w:val="nil"/>
              <w:right w:val="nil"/>
            </w:tcBorders>
            <w:shd w:val="clear" w:color="auto" w:fill="auto"/>
            <w:noWrap/>
            <w:vAlign w:val="bottom"/>
            <w:hideMark/>
          </w:tcPr>
          <w:p w14:paraId="4FD771E1"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738924B" w14:textId="4358529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KBP6901J: External account of primary incomes and current transfers: Property income received: ROW.</w:t>
            </w:r>
          </w:p>
        </w:tc>
      </w:tr>
      <w:tr w:rsidR="002E1B98" w:rsidRPr="008A61A3" w14:paraId="1AD438F5" w14:textId="77777777" w:rsidTr="002E1B98">
        <w:trPr>
          <w:trHeight w:val="20"/>
        </w:trPr>
        <w:tc>
          <w:tcPr>
            <w:tcW w:w="897" w:type="dxa"/>
            <w:tcBorders>
              <w:top w:val="nil"/>
              <w:left w:val="nil"/>
              <w:bottom w:val="nil"/>
              <w:right w:val="nil"/>
            </w:tcBorders>
            <w:shd w:val="clear" w:color="auto" w:fill="92D050"/>
            <w:noWrap/>
            <w:vAlign w:val="bottom"/>
            <w:hideMark/>
          </w:tcPr>
          <w:p w14:paraId="6DAC7D01" w14:textId="2370238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xv</w:t>
            </w:r>
          </w:p>
        </w:tc>
        <w:tc>
          <w:tcPr>
            <w:tcW w:w="8193" w:type="dxa"/>
            <w:tcBorders>
              <w:top w:val="nil"/>
              <w:left w:val="nil"/>
              <w:bottom w:val="nil"/>
              <w:right w:val="nil"/>
            </w:tcBorders>
            <w:shd w:val="clear" w:color="auto" w:fill="92D050"/>
            <w:vAlign w:val="bottom"/>
            <w:hideMark/>
          </w:tcPr>
          <w:p w14:paraId="0D449351" w14:textId="3C80367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Enterprises,Enterprises</w:t>
            </w:r>
            <w:proofErr w:type="spellEnd"/>
            <w:r w:rsidRPr="002E1B98">
              <w:rPr>
                <w:rFonts w:ascii="Times New Roman" w:hAnsi="Times New Roman" w:cs="Times New Roman"/>
                <w:color w:val="000000"/>
                <w:sz w:val="20"/>
                <w:szCs w:val="20"/>
              </w:rPr>
              <w:t>)…Rb567</w:t>
            </w:r>
          </w:p>
        </w:tc>
      </w:tr>
      <w:tr w:rsidR="002E1B98" w:rsidRPr="008A61A3" w14:paraId="2C673BBB" w14:textId="77777777" w:rsidTr="002E1B98">
        <w:trPr>
          <w:trHeight w:val="20"/>
        </w:trPr>
        <w:tc>
          <w:tcPr>
            <w:tcW w:w="897" w:type="dxa"/>
            <w:tcBorders>
              <w:top w:val="nil"/>
              <w:left w:val="nil"/>
              <w:bottom w:val="nil"/>
              <w:right w:val="nil"/>
            </w:tcBorders>
            <w:shd w:val="clear" w:color="auto" w:fill="auto"/>
            <w:noWrap/>
            <w:vAlign w:val="bottom"/>
            <w:hideMark/>
          </w:tcPr>
          <w:p w14:paraId="5A99E120"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C5E6576" w14:textId="1D23D72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-KBP6707J:  Allocation of primary income account: Property income received: Financial corporations+KBP6710J: Allocation of primary income account: Property income paid: Financial corporations-KBP6747J: Allocation of primary income account: Property income received: Non-financial corporations+KBP6752J: Allocation of primary income account: Property income paid: Non-financial corporations+KBP6716J: Secondary distribution of income account: Other current transfers received: Financial corporations-KBP6720J: Secondary distribution of income account: Non-life insurance claims paid: Financial corporations+KBP6715: Secondary distribution of income account: Social contributions received: Financial corporations+KBP6757J: Secondary distribution of income account: Non-life insurance claims received: Non-financial corporations+KBP6759J: Secondary distribution of income account: Social contributions paid by non-financial corporations-KBP6761J :Secondary distribution of income account: Net non-life insurance premiums paid: Non-financial corporations</w:t>
            </w:r>
          </w:p>
        </w:tc>
      </w:tr>
      <w:tr w:rsidR="002E1B98" w:rsidRPr="008A61A3" w14:paraId="3E82399C" w14:textId="77777777" w:rsidTr="002E1B98">
        <w:trPr>
          <w:trHeight w:val="20"/>
        </w:trPr>
        <w:tc>
          <w:tcPr>
            <w:tcW w:w="897" w:type="dxa"/>
            <w:tcBorders>
              <w:top w:val="nil"/>
              <w:left w:val="nil"/>
              <w:bottom w:val="nil"/>
              <w:right w:val="nil"/>
            </w:tcBorders>
            <w:shd w:val="clear" w:color="auto" w:fill="92D050"/>
            <w:noWrap/>
            <w:vAlign w:val="bottom"/>
            <w:hideMark/>
          </w:tcPr>
          <w:p w14:paraId="0F6B42F0" w14:textId="7068C4D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xvi</w:t>
            </w:r>
          </w:p>
        </w:tc>
        <w:tc>
          <w:tcPr>
            <w:tcW w:w="8193" w:type="dxa"/>
            <w:tcBorders>
              <w:top w:val="nil"/>
              <w:left w:val="nil"/>
              <w:bottom w:val="nil"/>
              <w:right w:val="nil"/>
            </w:tcBorders>
            <w:shd w:val="clear" w:color="auto" w:fill="92D050"/>
            <w:vAlign w:val="bottom"/>
            <w:hideMark/>
          </w:tcPr>
          <w:p w14:paraId="20F3A80A" w14:textId="26763A4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Households,Enterprises</w:t>
            </w:r>
            <w:proofErr w:type="spellEnd"/>
            <w:r w:rsidRPr="002E1B98">
              <w:rPr>
                <w:rFonts w:ascii="Times New Roman" w:hAnsi="Times New Roman" w:cs="Times New Roman"/>
                <w:color w:val="000000"/>
                <w:sz w:val="20"/>
                <w:szCs w:val="20"/>
              </w:rPr>
              <w:t>)…Rb1,037</w:t>
            </w:r>
          </w:p>
        </w:tc>
      </w:tr>
      <w:tr w:rsidR="002E1B98" w:rsidRPr="008A61A3" w14:paraId="1303FF18" w14:textId="77777777" w:rsidTr="002E1B98">
        <w:trPr>
          <w:trHeight w:val="20"/>
        </w:trPr>
        <w:tc>
          <w:tcPr>
            <w:tcW w:w="897" w:type="dxa"/>
            <w:tcBorders>
              <w:top w:val="nil"/>
              <w:left w:val="nil"/>
              <w:bottom w:val="nil"/>
              <w:right w:val="nil"/>
            </w:tcBorders>
            <w:shd w:val="clear" w:color="auto" w:fill="auto"/>
            <w:noWrap/>
            <w:vAlign w:val="bottom"/>
            <w:hideMark/>
          </w:tcPr>
          <w:p w14:paraId="24E8F56F"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81C5C0C" w14:textId="1763F11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KBP6718: Secondary distribution of income account: Social benefits paid by Financial corporations+KBP6721J: Secondary distribution of income account: Miscellaneous transfers paid: Financial corporations+KBP6762J: Secondary distribution of income account: Miscellaneous current transfers paid: Non-financial corporations+KBP6827J: Allocation of primary income account: Property income received: Households and NPISHs+KBP6838J: Secondary distribution of income account: Non-life insurance claims: Households and NPISHs+KBP6845J: Use of disposable income account: Adjustment for the change in net equity in pension fund reserves: Households &amp; NPISHs. Disaggregated across household income classes according the LCS (2016). The following items are included: “Income from letting of fixed property”, “Interest received”, “Dividends of Listed Companies”, “Dividends of Unlisted Companies”, “Pension from previous </w:t>
            </w:r>
            <w:r w:rsidRPr="002E1B98">
              <w:rPr>
                <w:rFonts w:ascii="Times New Roman" w:hAnsi="Times New Roman" w:cs="Times New Roman"/>
                <w:color w:val="000000"/>
                <w:sz w:val="20"/>
                <w:szCs w:val="20"/>
              </w:rPr>
              <w:lastRenderedPageBreak/>
              <w:t>employment”, “Annuities from own investment”, “Payments received from boarders and other non-members”, “Claims”, “Non-refundable bursaries”, “Benefits, donations and gifts” and “Cash”</w:t>
            </w:r>
          </w:p>
        </w:tc>
      </w:tr>
      <w:tr w:rsidR="002E1B98" w:rsidRPr="008A61A3" w14:paraId="7E7E8AE3" w14:textId="77777777" w:rsidTr="002E1B98">
        <w:trPr>
          <w:trHeight w:val="20"/>
        </w:trPr>
        <w:tc>
          <w:tcPr>
            <w:tcW w:w="897" w:type="dxa"/>
            <w:tcBorders>
              <w:top w:val="nil"/>
              <w:left w:val="nil"/>
              <w:bottom w:val="nil"/>
              <w:right w:val="nil"/>
            </w:tcBorders>
            <w:shd w:val="clear" w:color="auto" w:fill="auto"/>
            <w:noWrap/>
            <w:vAlign w:val="bottom"/>
            <w:hideMark/>
          </w:tcPr>
          <w:p w14:paraId="1B5E012E" w14:textId="557B6D7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lastRenderedPageBreak/>
              <w:t>xvii</w:t>
            </w:r>
          </w:p>
        </w:tc>
        <w:tc>
          <w:tcPr>
            <w:tcW w:w="8193" w:type="dxa"/>
            <w:tcBorders>
              <w:top w:val="nil"/>
              <w:left w:val="nil"/>
              <w:bottom w:val="nil"/>
              <w:right w:val="nil"/>
            </w:tcBorders>
            <w:shd w:val="clear" w:color="auto" w:fill="auto"/>
            <w:vAlign w:val="bottom"/>
            <w:hideMark/>
          </w:tcPr>
          <w:p w14:paraId="006003CD" w14:textId="3066601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Government,Enterprises</w:t>
            </w:r>
            <w:proofErr w:type="spellEnd"/>
            <w:r w:rsidRPr="002E1B98">
              <w:rPr>
                <w:rFonts w:ascii="Times New Roman" w:hAnsi="Times New Roman" w:cs="Times New Roman"/>
                <w:color w:val="000000"/>
                <w:sz w:val="20"/>
                <w:szCs w:val="20"/>
              </w:rPr>
              <w:t>)…Rb077</w:t>
            </w:r>
          </w:p>
        </w:tc>
      </w:tr>
      <w:tr w:rsidR="002E1B98" w:rsidRPr="008A61A3" w14:paraId="56FDBF02" w14:textId="77777777" w:rsidTr="002E1B98">
        <w:trPr>
          <w:trHeight w:val="20"/>
        </w:trPr>
        <w:tc>
          <w:tcPr>
            <w:tcW w:w="897" w:type="dxa"/>
            <w:tcBorders>
              <w:top w:val="nil"/>
              <w:left w:val="nil"/>
              <w:bottom w:val="nil"/>
              <w:right w:val="nil"/>
            </w:tcBorders>
            <w:shd w:val="clear" w:color="auto" w:fill="auto"/>
            <w:noWrap/>
            <w:vAlign w:val="bottom"/>
            <w:hideMark/>
          </w:tcPr>
          <w:p w14:paraId="57A3283E"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294BAB77" w14:textId="228BFC6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KBP6787J: Allocation of primary income account: Property income received: General government+KBP6794J:Secondary distribution of income account: Social contributions received: General government</w:t>
            </w:r>
          </w:p>
        </w:tc>
      </w:tr>
      <w:tr w:rsidR="002E1B98" w:rsidRPr="008A61A3" w14:paraId="6C0B5931" w14:textId="77777777" w:rsidTr="002E1B98">
        <w:trPr>
          <w:trHeight w:val="20"/>
        </w:trPr>
        <w:tc>
          <w:tcPr>
            <w:tcW w:w="897" w:type="dxa"/>
            <w:tcBorders>
              <w:top w:val="nil"/>
              <w:left w:val="nil"/>
              <w:bottom w:val="nil"/>
              <w:right w:val="nil"/>
            </w:tcBorders>
            <w:shd w:val="clear" w:color="auto" w:fill="auto"/>
            <w:noWrap/>
            <w:vAlign w:val="bottom"/>
            <w:hideMark/>
          </w:tcPr>
          <w:p w14:paraId="5F959434" w14:textId="1C96ADD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xviii</w:t>
            </w:r>
          </w:p>
        </w:tc>
        <w:tc>
          <w:tcPr>
            <w:tcW w:w="8193" w:type="dxa"/>
            <w:tcBorders>
              <w:top w:val="nil"/>
              <w:left w:val="nil"/>
              <w:bottom w:val="nil"/>
              <w:right w:val="nil"/>
            </w:tcBorders>
            <w:shd w:val="clear" w:color="auto" w:fill="auto"/>
            <w:vAlign w:val="bottom"/>
            <w:hideMark/>
          </w:tcPr>
          <w:p w14:paraId="08637EFD" w14:textId="481DCD3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(Income </w:t>
            </w:r>
            <w:proofErr w:type="spellStart"/>
            <w:r w:rsidRPr="002E1B98">
              <w:rPr>
                <w:rFonts w:ascii="Times New Roman" w:hAnsi="Times New Roman" w:cs="Times New Roman"/>
                <w:color w:val="000000"/>
                <w:sz w:val="20"/>
                <w:szCs w:val="20"/>
              </w:rPr>
              <w:t>taxes,Enterprises</w:t>
            </w:r>
            <w:proofErr w:type="spellEnd"/>
            <w:r w:rsidRPr="002E1B98">
              <w:rPr>
                <w:rFonts w:ascii="Times New Roman" w:hAnsi="Times New Roman" w:cs="Times New Roman"/>
                <w:color w:val="000000"/>
                <w:sz w:val="20"/>
                <w:szCs w:val="20"/>
              </w:rPr>
              <w:t>)…Rb247</w:t>
            </w:r>
          </w:p>
        </w:tc>
      </w:tr>
      <w:tr w:rsidR="002E1B98" w:rsidRPr="008A61A3" w14:paraId="261FA8B3" w14:textId="77777777" w:rsidTr="002E1B98">
        <w:trPr>
          <w:trHeight w:val="20"/>
        </w:trPr>
        <w:tc>
          <w:tcPr>
            <w:tcW w:w="897" w:type="dxa"/>
            <w:tcBorders>
              <w:top w:val="nil"/>
              <w:left w:val="nil"/>
              <w:bottom w:val="nil"/>
              <w:right w:val="nil"/>
            </w:tcBorders>
            <w:shd w:val="clear" w:color="auto" w:fill="auto"/>
            <w:noWrap/>
            <w:vAlign w:val="bottom"/>
            <w:hideMark/>
          </w:tcPr>
          <w:p w14:paraId="0A69B03B"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39A6BA1" w14:textId="3463B42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KBP6717J: Secondary distribution of income account: Current taxes on income and wealth paid by Financial corporations+KBP6758J: Secondary distribution of income account: Current taxes on income and wealth paid by non-financial corporations</w:t>
            </w:r>
          </w:p>
        </w:tc>
      </w:tr>
      <w:tr w:rsidR="002E1B98" w:rsidRPr="008A61A3" w14:paraId="2A5AC6A6" w14:textId="77777777" w:rsidTr="002E1B98">
        <w:trPr>
          <w:trHeight w:val="20"/>
        </w:trPr>
        <w:tc>
          <w:tcPr>
            <w:tcW w:w="897" w:type="dxa"/>
            <w:tcBorders>
              <w:top w:val="nil"/>
              <w:left w:val="nil"/>
              <w:bottom w:val="nil"/>
              <w:right w:val="nil"/>
            </w:tcBorders>
            <w:shd w:val="clear" w:color="auto" w:fill="auto"/>
            <w:noWrap/>
            <w:vAlign w:val="bottom"/>
            <w:hideMark/>
          </w:tcPr>
          <w:p w14:paraId="2797B11F" w14:textId="5441C3A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xix</w:t>
            </w:r>
          </w:p>
        </w:tc>
        <w:tc>
          <w:tcPr>
            <w:tcW w:w="8193" w:type="dxa"/>
            <w:tcBorders>
              <w:top w:val="nil"/>
              <w:left w:val="nil"/>
              <w:bottom w:val="nil"/>
              <w:right w:val="nil"/>
            </w:tcBorders>
            <w:shd w:val="clear" w:color="auto" w:fill="auto"/>
            <w:vAlign w:val="bottom"/>
            <w:hideMark/>
          </w:tcPr>
          <w:p w14:paraId="0172C0CA" w14:textId="42B70D3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Accumulation,Enterprises</w:t>
            </w:r>
            <w:proofErr w:type="spellEnd"/>
            <w:r w:rsidRPr="002E1B98">
              <w:rPr>
                <w:rFonts w:ascii="Times New Roman" w:hAnsi="Times New Roman" w:cs="Times New Roman"/>
                <w:color w:val="000000"/>
                <w:sz w:val="20"/>
                <w:szCs w:val="20"/>
              </w:rPr>
              <w:t>)…Rb690</w:t>
            </w:r>
          </w:p>
        </w:tc>
      </w:tr>
      <w:tr w:rsidR="002E1B98" w:rsidRPr="008A61A3" w14:paraId="18459978" w14:textId="77777777" w:rsidTr="002E1B98">
        <w:trPr>
          <w:trHeight w:val="20"/>
        </w:trPr>
        <w:tc>
          <w:tcPr>
            <w:tcW w:w="897" w:type="dxa"/>
            <w:tcBorders>
              <w:top w:val="nil"/>
              <w:left w:val="nil"/>
              <w:bottom w:val="nil"/>
              <w:right w:val="nil"/>
            </w:tcBorders>
            <w:shd w:val="clear" w:color="auto" w:fill="auto"/>
            <w:noWrap/>
            <w:vAlign w:val="bottom"/>
            <w:hideMark/>
          </w:tcPr>
          <w:p w14:paraId="778389CC"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C4A44FF" w14:textId="4FD9343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KBP6724J: Use of disposable income account: Residual: Financial corporations+KBP6725J: Use of disposable income account: Gross saving of Financial corporations+KBP6764J: Use of disposable income account: Residual: Non-financial corporations+KBP6765J: Use of disposable income account: Gross saving of non-financial corporations</w:t>
            </w:r>
          </w:p>
        </w:tc>
      </w:tr>
      <w:tr w:rsidR="002E1B98" w:rsidRPr="008A61A3" w14:paraId="147B8D99" w14:textId="77777777" w:rsidTr="002E1B98">
        <w:trPr>
          <w:trHeight w:val="20"/>
        </w:trPr>
        <w:tc>
          <w:tcPr>
            <w:tcW w:w="897" w:type="dxa"/>
            <w:tcBorders>
              <w:top w:val="nil"/>
              <w:left w:val="nil"/>
              <w:bottom w:val="nil"/>
              <w:right w:val="nil"/>
            </w:tcBorders>
            <w:shd w:val="clear" w:color="auto" w:fill="auto"/>
            <w:noWrap/>
            <w:vAlign w:val="bottom"/>
            <w:hideMark/>
          </w:tcPr>
          <w:p w14:paraId="411D583A" w14:textId="5300DAE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w:t>
            </w:r>
          </w:p>
        </w:tc>
        <w:tc>
          <w:tcPr>
            <w:tcW w:w="8193" w:type="dxa"/>
            <w:tcBorders>
              <w:top w:val="nil"/>
              <w:left w:val="nil"/>
              <w:bottom w:val="nil"/>
              <w:right w:val="nil"/>
            </w:tcBorders>
            <w:shd w:val="clear" w:color="auto" w:fill="auto"/>
            <w:vAlign w:val="bottom"/>
            <w:hideMark/>
          </w:tcPr>
          <w:p w14:paraId="1DCE756D" w14:textId="0431D01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Commodities,Households</w:t>
            </w:r>
            <w:proofErr w:type="spellEnd"/>
            <w:r w:rsidRPr="002E1B98">
              <w:rPr>
                <w:rFonts w:ascii="Times New Roman" w:hAnsi="Times New Roman" w:cs="Times New Roman"/>
                <w:color w:val="000000"/>
                <w:sz w:val="20"/>
                <w:szCs w:val="20"/>
              </w:rPr>
              <w:t>)…Rb3,059</w:t>
            </w:r>
          </w:p>
        </w:tc>
      </w:tr>
      <w:tr w:rsidR="002E1B98" w:rsidRPr="008A61A3" w14:paraId="0D217F81" w14:textId="77777777" w:rsidTr="002E1B98">
        <w:trPr>
          <w:trHeight w:val="20"/>
        </w:trPr>
        <w:tc>
          <w:tcPr>
            <w:tcW w:w="897" w:type="dxa"/>
            <w:tcBorders>
              <w:top w:val="nil"/>
              <w:left w:val="nil"/>
              <w:bottom w:val="nil"/>
              <w:right w:val="nil"/>
            </w:tcBorders>
            <w:shd w:val="clear" w:color="auto" w:fill="auto"/>
            <w:noWrap/>
            <w:vAlign w:val="bottom"/>
            <w:hideMark/>
          </w:tcPr>
          <w:p w14:paraId="62F3E67E"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41DE6DA7" w14:textId="2AFD5A2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KBP6007J: Final consumption expenditure by households: Total (PCE). Disaggregated across products according to the expenditure shares in the 2017 UT and across household income classes using shares from the 2015 LCS.</w:t>
            </w:r>
          </w:p>
        </w:tc>
      </w:tr>
      <w:tr w:rsidR="002E1B98" w:rsidRPr="008A61A3" w14:paraId="04C13B5D" w14:textId="77777777" w:rsidTr="002E1B98">
        <w:trPr>
          <w:trHeight w:val="20"/>
        </w:trPr>
        <w:tc>
          <w:tcPr>
            <w:tcW w:w="897" w:type="dxa"/>
            <w:tcBorders>
              <w:top w:val="nil"/>
              <w:left w:val="nil"/>
              <w:bottom w:val="nil"/>
              <w:right w:val="nil"/>
            </w:tcBorders>
            <w:shd w:val="clear" w:color="auto" w:fill="FFFF00"/>
            <w:noWrap/>
            <w:vAlign w:val="bottom"/>
            <w:hideMark/>
          </w:tcPr>
          <w:p w14:paraId="5925378D" w14:textId="5036360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xxi</w:t>
            </w:r>
          </w:p>
        </w:tc>
        <w:tc>
          <w:tcPr>
            <w:tcW w:w="8193" w:type="dxa"/>
            <w:tcBorders>
              <w:top w:val="nil"/>
              <w:left w:val="nil"/>
              <w:bottom w:val="nil"/>
              <w:right w:val="nil"/>
            </w:tcBorders>
            <w:shd w:val="clear" w:color="auto" w:fill="FFFF00"/>
            <w:vAlign w:val="bottom"/>
            <w:hideMark/>
          </w:tcPr>
          <w:p w14:paraId="03D10534" w14:textId="5493385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Enterprises,Households</w:t>
            </w:r>
            <w:proofErr w:type="spellEnd"/>
            <w:r w:rsidRPr="002E1B98">
              <w:rPr>
                <w:rFonts w:ascii="Times New Roman" w:hAnsi="Times New Roman" w:cs="Times New Roman"/>
                <w:color w:val="000000"/>
                <w:sz w:val="20"/>
                <w:szCs w:val="20"/>
              </w:rPr>
              <w:t>)…Rb727</w:t>
            </w:r>
          </w:p>
        </w:tc>
      </w:tr>
      <w:tr w:rsidR="002E1B98" w:rsidRPr="008A61A3" w14:paraId="55D7924C" w14:textId="77777777" w:rsidTr="002E1B98">
        <w:trPr>
          <w:trHeight w:val="20"/>
        </w:trPr>
        <w:tc>
          <w:tcPr>
            <w:tcW w:w="897" w:type="dxa"/>
            <w:tcBorders>
              <w:top w:val="nil"/>
              <w:left w:val="nil"/>
              <w:bottom w:val="nil"/>
              <w:right w:val="nil"/>
            </w:tcBorders>
            <w:shd w:val="clear" w:color="auto" w:fill="auto"/>
            <w:noWrap/>
            <w:vAlign w:val="bottom"/>
            <w:hideMark/>
          </w:tcPr>
          <w:p w14:paraId="040F1D5B"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2E5D2DF" w14:textId="3228056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KBP6832J: Allocation of primary income account: Property income paid: Households and NPISHs+KBP6840J Secondary distribution of income account: Social contributions paid: Households and NPISHs+KBP6842J: Secondary distribution of income account: Net non-life insurance premiums: Households and NPISHs. Disaggregated across household income classes using shares from the LCS (2015) and consists of the following outlay items: “interest on mortgage bonds”, “contribution to pension, provident and annuity funds” and “employer contribution to pension, provident and annuity funds”.</w:t>
            </w:r>
          </w:p>
        </w:tc>
      </w:tr>
      <w:tr w:rsidR="002E1B98" w:rsidRPr="008A61A3" w14:paraId="7861BF2F" w14:textId="77777777" w:rsidTr="002E1B98">
        <w:trPr>
          <w:trHeight w:val="20"/>
        </w:trPr>
        <w:tc>
          <w:tcPr>
            <w:tcW w:w="897" w:type="dxa"/>
            <w:tcBorders>
              <w:top w:val="nil"/>
              <w:left w:val="nil"/>
              <w:bottom w:val="nil"/>
              <w:right w:val="nil"/>
            </w:tcBorders>
            <w:shd w:val="clear" w:color="auto" w:fill="auto"/>
            <w:noWrap/>
            <w:vAlign w:val="bottom"/>
            <w:hideMark/>
          </w:tcPr>
          <w:p w14:paraId="4A144CEB" w14:textId="3811F35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xxii</w:t>
            </w:r>
          </w:p>
        </w:tc>
        <w:tc>
          <w:tcPr>
            <w:tcW w:w="8193" w:type="dxa"/>
            <w:tcBorders>
              <w:top w:val="nil"/>
              <w:left w:val="nil"/>
              <w:bottom w:val="nil"/>
              <w:right w:val="nil"/>
            </w:tcBorders>
            <w:shd w:val="clear" w:color="auto" w:fill="auto"/>
            <w:vAlign w:val="bottom"/>
            <w:hideMark/>
          </w:tcPr>
          <w:p w14:paraId="07D7AF03" w14:textId="71FACB2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Government,Households</w:t>
            </w:r>
            <w:proofErr w:type="spellEnd"/>
            <w:r w:rsidRPr="002E1B98">
              <w:rPr>
                <w:rFonts w:ascii="Times New Roman" w:hAnsi="Times New Roman" w:cs="Times New Roman"/>
                <w:color w:val="000000"/>
                <w:sz w:val="20"/>
                <w:szCs w:val="20"/>
              </w:rPr>
              <w:t>)…Rb013</w:t>
            </w:r>
          </w:p>
        </w:tc>
      </w:tr>
      <w:tr w:rsidR="002E1B98" w:rsidRPr="008A61A3" w14:paraId="3EF08283" w14:textId="77777777" w:rsidTr="002E1B98">
        <w:trPr>
          <w:trHeight w:val="20"/>
        </w:trPr>
        <w:tc>
          <w:tcPr>
            <w:tcW w:w="897" w:type="dxa"/>
            <w:tcBorders>
              <w:top w:val="nil"/>
              <w:left w:val="nil"/>
              <w:bottom w:val="nil"/>
              <w:right w:val="nil"/>
            </w:tcBorders>
            <w:shd w:val="clear" w:color="auto" w:fill="auto"/>
            <w:noWrap/>
            <w:vAlign w:val="bottom"/>
            <w:hideMark/>
          </w:tcPr>
          <w:p w14:paraId="58F057A6"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75F5299" w14:textId="614BBBD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KBP6797J: Secondary distribution of income account: Miscellaneous transfers received: General government. Disaggregated across household income classes using shares from the 2015 LCS for income tax payments (see next item for details).</w:t>
            </w:r>
          </w:p>
        </w:tc>
      </w:tr>
      <w:tr w:rsidR="002E1B98" w:rsidRPr="008A61A3" w14:paraId="5E2E1A5C" w14:textId="77777777" w:rsidTr="002E1B98">
        <w:trPr>
          <w:trHeight w:val="20"/>
        </w:trPr>
        <w:tc>
          <w:tcPr>
            <w:tcW w:w="897" w:type="dxa"/>
            <w:tcBorders>
              <w:top w:val="nil"/>
              <w:left w:val="nil"/>
              <w:bottom w:val="nil"/>
              <w:right w:val="nil"/>
            </w:tcBorders>
            <w:shd w:val="clear" w:color="auto" w:fill="auto"/>
            <w:noWrap/>
            <w:vAlign w:val="bottom"/>
            <w:hideMark/>
          </w:tcPr>
          <w:p w14:paraId="2BCBA7A5" w14:textId="0AC6DDE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xxiii</w:t>
            </w:r>
          </w:p>
        </w:tc>
        <w:tc>
          <w:tcPr>
            <w:tcW w:w="8193" w:type="dxa"/>
            <w:tcBorders>
              <w:top w:val="nil"/>
              <w:left w:val="nil"/>
              <w:bottom w:val="nil"/>
              <w:right w:val="nil"/>
            </w:tcBorders>
            <w:shd w:val="clear" w:color="auto" w:fill="auto"/>
            <w:vAlign w:val="bottom"/>
            <w:hideMark/>
          </w:tcPr>
          <w:p w14:paraId="3EEB266E" w14:textId="1A45CE2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(Income </w:t>
            </w:r>
            <w:proofErr w:type="spellStart"/>
            <w:r w:rsidRPr="002E1B98">
              <w:rPr>
                <w:rFonts w:ascii="Times New Roman" w:hAnsi="Times New Roman" w:cs="Times New Roman"/>
                <w:color w:val="000000"/>
                <w:sz w:val="20"/>
                <w:szCs w:val="20"/>
              </w:rPr>
              <w:t>taxes,Households</w:t>
            </w:r>
            <w:proofErr w:type="spellEnd"/>
            <w:r w:rsidRPr="002E1B98">
              <w:rPr>
                <w:rFonts w:ascii="Times New Roman" w:hAnsi="Times New Roman" w:cs="Times New Roman"/>
                <w:color w:val="000000"/>
                <w:sz w:val="20"/>
                <w:szCs w:val="20"/>
              </w:rPr>
              <w:t>)…Rb537</w:t>
            </w:r>
          </w:p>
        </w:tc>
      </w:tr>
      <w:tr w:rsidR="002E1B98" w:rsidRPr="008A61A3" w14:paraId="37739D0E" w14:textId="77777777" w:rsidTr="002E1B98">
        <w:trPr>
          <w:trHeight w:val="20"/>
        </w:trPr>
        <w:tc>
          <w:tcPr>
            <w:tcW w:w="897" w:type="dxa"/>
            <w:tcBorders>
              <w:top w:val="nil"/>
              <w:left w:val="nil"/>
              <w:bottom w:val="nil"/>
              <w:right w:val="nil"/>
            </w:tcBorders>
            <w:shd w:val="clear" w:color="auto" w:fill="auto"/>
            <w:noWrap/>
            <w:vAlign w:val="bottom"/>
            <w:hideMark/>
          </w:tcPr>
          <w:p w14:paraId="29B61171"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48C7E39B" w14:textId="2FA51E4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KBP6245J: Current taxes on income and wealth of households. Disaggregated across household income classes using shares from the 2015 LCS based on the distribution of outlays for income tax purposes and includes the following items: “SITE - income tax”, “PAYE - income tax”, “According to assessment - income tax”, “Amnesty tax”, “Penalty late submission of tax”.</w:t>
            </w:r>
          </w:p>
        </w:tc>
      </w:tr>
      <w:tr w:rsidR="002E1B98" w:rsidRPr="008A61A3" w14:paraId="3CB583CE" w14:textId="77777777" w:rsidTr="002E1B98">
        <w:trPr>
          <w:trHeight w:val="20"/>
        </w:trPr>
        <w:tc>
          <w:tcPr>
            <w:tcW w:w="897" w:type="dxa"/>
            <w:tcBorders>
              <w:top w:val="nil"/>
              <w:left w:val="nil"/>
              <w:bottom w:val="nil"/>
              <w:right w:val="nil"/>
            </w:tcBorders>
            <w:shd w:val="clear" w:color="auto" w:fill="auto"/>
            <w:noWrap/>
            <w:vAlign w:val="bottom"/>
            <w:hideMark/>
          </w:tcPr>
          <w:p w14:paraId="695D0391" w14:textId="40685D1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xxiv</w:t>
            </w:r>
          </w:p>
        </w:tc>
        <w:tc>
          <w:tcPr>
            <w:tcW w:w="8193" w:type="dxa"/>
            <w:tcBorders>
              <w:top w:val="nil"/>
              <w:left w:val="nil"/>
              <w:bottom w:val="nil"/>
              <w:right w:val="nil"/>
            </w:tcBorders>
            <w:shd w:val="clear" w:color="auto" w:fill="auto"/>
            <w:vAlign w:val="bottom"/>
            <w:hideMark/>
          </w:tcPr>
          <w:p w14:paraId="305EB794" w14:textId="31CF60E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Accumulation,Households</w:t>
            </w:r>
            <w:proofErr w:type="spellEnd"/>
            <w:r w:rsidRPr="002E1B98">
              <w:rPr>
                <w:rFonts w:ascii="Times New Roman" w:hAnsi="Times New Roman" w:cs="Times New Roman"/>
                <w:color w:val="000000"/>
                <w:sz w:val="20"/>
                <w:szCs w:val="20"/>
              </w:rPr>
              <w:t>)…Rb067</w:t>
            </w:r>
          </w:p>
        </w:tc>
      </w:tr>
      <w:tr w:rsidR="002E1B98" w:rsidRPr="008A61A3" w14:paraId="7247E3DE" w14:textId="77777777" w:rsidTr="002E1B98">
        <w:trPr>
          <w:trHeight w:val="20"/>
        </w:trPr>
        <w:tc>
          <w:tcPr>
            <w:tcW w:w="897" w:type="dxa"/>
            <w:tcBorders>
              <w:top w:val="nil"/>
              <w:left w:val="nil"/>
              <w:bottom w:val="nil"/>
              <w:right w:val="nil"/>
            </w:tcBorders>
            <w:shd w:val="clear" w:color="auto" w:fill="auto"/>
            <w:noWrap/>
            <w:vAlign w:val="bottom"/>
            <w:hideMark/>
          </w:tcPr>
          <w:p w14:paraId="1A8E43EA"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ED025D2" w14:textId="055EAB8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KBP6846J: Use of disposable income account: Residual: Households and NPISHs+KBP6848J: Use of disposable income account: Gross saving of households and NPISHs. Disaggregated across household income classes using shares from the 2015 LCS for the following items: “Listed company - shares 12 months”, “Unlisted company - shares 12 months”, “Unit trusts 12 months”, “Investment plans 12 months”, “Other investments 12 months”, “Deposits into savings 12 months” and offset by “Withdrawals from savings”.</w:t>
            </w:r>
          </w:p>
        </w:tc>
      </w:tr>
      <w:tr w:rsidR="002E1B98" w:rsidRPr="008A61A3" w14:paraId="23809BBA" w14:textId="77777777" w:rsidTr="002E1B98">
        <w:trPr>
          <w:trHeight w:val="20"/>
        </w:trPr>
        <w:tc>
          <w:tcPr>
            <w:tcW w:w="897" w:type="dxa"/>
            <w:tcBorders>
              <w:top w:val="nil"/>
              <w:left w:val="nil"/>
              <w:bottom w:val="nil"/>
              <w:right w:val="nil"/>
            </w:tcBorders>
            <w:shd w:val="clear" w:color="auto" w:fill="auto"/>
            <w:noWrap/>
            <w:vAlign w:val="bottom"/>
            <w:hideMark/>
          </w:tcPr>
          <w:p w14:paraId="4AFDC225" w14:textId="70701F55"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xxv</w:t>
            </w:r>
          </w:p>
        </w:tc>
        <w:tc>
          <w:tcPr>
            <w:tcW w:w="8193" w:type="dxa"/>
            <w:tcBorders>
              <w:top w:val="nil"/>
              <w:left w:val="nil"/>
              <w:bottom w:val="nil"/>
              <w:right w:val="nil"/>
            </w:tcBorders>
            <w:shd w:val="clear" w:color="auto" w:fill="auto"/>
            <w:vAlign w:val="bottom"/>
            <w:hideMark/>
          </w:tcPr>
          <w:p w14:paraId="040DE115" w14:textId="726659C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(Rest of the </w:t>
            </w:r>
            <w:proofErr w:type="spellStart"/>
            <w:r w:rsidRPr="002E1B98">
              <w:rPr>
                <w:rFonts w:ascii="Times New Roman" w:hAnsi="Times New Roman" w:cs="Times New Roman"/>
                <w:color w:val="000000"/>
                <w:sz w:val="20"/>
                <w:szCs w:val="20"/>
              </w:rPr>
              <w:t>world,Households</w:t>
            </w:r>
            <w:proofErr w:type="spellEnd"/>
            <w:r w:rsidRPr="002E1B98">
              <w:rPr>
                <w:rFonts w:ascii="Times New Roman" w:hAnsi="Times New Roman" w:cs="Times New Roman"/>
                <w:color w:val="000000"/>
                <w:sz w:val="20"/>
                <w:szCs w:val="20"/>
              </w:rPr>
              <w:t>)…Rb013</w:t>
            </w:r>
          </w:p>
        </w:tc>
      </w:tr>
      <w:tr w:rsidR="002E1B98" w:rsidRPr="008A61A3" w14:paraId="7091C155" w14:textId="77777777" w:rsidTr="002E1B98">
        <w:trPr>
          <w:trHeight w:val="20"/>
        </w:trPr>
        <w:tc>
          <w:tcPr>
            <w:tcW w:w="897" w:type="dxa"/>
            <w:tcBorders>
              <w:top w:val="nil"/>
              <w:left w:val="nil"/>
              <w:bottom w:val="nil"/>
              <w:right w:val="nil"/>
            </w:tcBorders>
            <w:shd w:val="clear" w:color="auto" w:fill="auto"/>
            <w:noWrap/>
            <w:vAlign w:val="bottom"/>
            <w:hideMark/>
          </w:tcPr>
          <w:p w14:paraId="17E2F1C9"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78625CDF" w14:textId="16B2B7F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KBP6909J: External account of primary incomes and current transfers: Miscellaneous current transfers received: ROW. Disaggregated across household income classes using total income shares from the 2015 LCS and consists of the same items as used for transfers by households to enterprises (see item xxi above).</w:t>
            </w:r>
          </w:p>
        </w:tc>
      </w:tr>
      <w:tr w:rsidR="002E1B98" w:rsidRPr="008A61A3" w14:paraId="1ABC363B" w14:textId="77777777" w:rsidTr="002E1B98">
        <w:trPr>
          <w:trHeight w:val="20"/>
        </w:trPr>
        <w:tc>
          <w:tcPr>
            <w:tcW w:w="897" w:type="dxa"/>
            <w:tcBorders>
              <w:top w:val="nil"/>
              <w:left w:val="nil"/>
              <w:bottom w:val="nil"/>
              <w:right w:val="nil"/>
            </w:tcBorders>
            <w:shd w:val="clear" w:color="auto" w:fill="auto"/>
            <w:noWrap/>
            <w:vAlign w:val="bottom"/>
            <w:hideMark/>
          </w:tcPr>
          <w:p w14:paraId="22B2D07E" w14:textId="2FD3C6B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xxvi</w:t>
            </w:r>
          </w:p>
        </w:tc>
        <w:tc>
          <w:tcPr>
            <w:tcW w:w="8193" w:type="dxa"/>
            <w:tcBorders>
              <w:top w:val="nil"/>
              <w:left w:val="nil"/>
              <w:bottom w:val="nil"/>
              <w:right w:val="nil"/>
            </w:tcBorders>
            <w:shd w:val="clear" w:color="auto" w:fill="auto"/>
            <w:vAlign w:val="bottom"/>
            <w:hideMark/>
          </w:tcPr>
          <w:p w14:paraId="40F539EE" w14:textId="005CBCB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Commodities,Government</w:t>
            </w:r>
            <w:proofErr w:type="spellEnd"/>
            <w:r w:rsidRPr="002E1B98">
              <w:rPr>
                <w:rFonts w:ascii="Times New Roman" w:hAnsi="Times New Roman" w:cs="Times New Roman"/>
                <w:color w:val="000000"/>
                <w:sz w:val="20"/>
                <w:szCs w:val="20"/>
              </w:rPr>
              <w:t>)…Rb1,081</w:t>
            </w:r>
          </w:p>
        </w:tc>
      </w:tr>
      <w:tr w:rsidR="002E1B98" w:rsidRPr="008A61A3" w14:paraId="37DCA9CB" w14:textId="77777777" w:rsidTr="002E1B98">
        <w:trPr>
          <w:trHeight w:val="20"/>
        </w:trPr>
        <w:tc>
          <w:tcPr>
            <w:tcW w:w="897" w:type="dxa"/>
            <w:tcBorders>
              <w:top w:val="nil"/>
              <w:left w:val="nil"/>
              <w:bottom w:val="nil"/>
              <w:right w:val="nil"/>
            </w:tcBorders>
            <w:shd w:val="clear" w:color="auto" w:fill="auto"/>
            <w:noWrap/>
            <w:vAlign w:val="bottom"/>
            <w:hideMark/>
          </w:tcPr>
          <w:p w14:paraId="417935F2"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2176DD0" w14:textId="17FF464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KBP6008J: Final consumption expenditure by general government. Disaggregated across products according to the expenditure shares in the 2017 UT.</w:t>
            </w:r>
          </w:p>
        </w:tc>
      </w:tr>
      <w:tr w:rsidR="002E1B98" w:rsidRPr="008A61A3" w14:paraId="21716A6F" w14:textId="77777777" w:rsidTr="002E1B98">
        <w:trPr>
          <w:trHeight w:val="20"/>
        </w:trPr>
        <w:tc>
          <w:tcPr>
            <w:tcW w:w="897" w:type="dxa"/>
            <w:tcBorders>
              <w:top w:val="nil"/>
              <w:left w:val="nil"/>
              <w:bottom w:val="nil"/>
              <w:right w:val="nil"/>
            </w:tcBorders>
            <w:shd w:val="clear" w:color="auto" w:fill="FFFF00"/>
            <w:noWrap/>
            <w:vAlign w:val="bottom"/>
            <w:hideMark/>
          </w:tcPr>
          <w:p w14:paraId="276A936F" w14:textId="6C41D8B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xxvii</w:t>
            </w:r>
          </w:p>
        </w:tc>
        <w:tc>
          <w:tcPr>
            <w:tcW w:w="8193" w:type="dxa"/>
            <w:tcBorders>
              <w:top w:val="nil"/>
              <w:left w:val="nil"/>
              <w:bottom w:val="nil"/>
              <w:right w:val="nil"/>
            </w:tcBorders>
            <w:shd w:val="clear" w:color="auto" w:fill="FFFF00"/>
            <w:vAlign w:val="bottom"/>
            <w:hideMark/>
          </w:tcPr>
          <w:p w14:paraId="3EA6D620" w14:textId="115DF65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Enterprises,Government</w:t>
            </w:r>
            <w:proofErr w:type="spellEnd"/>
            <w:r w:rsidRPr="002E1B98">
              <w:rPr>
                <w:rFonts w:ascii="Times New Roman" w:hAnsi="Times New Roman" w:cs="Times New Roman"/>
                <w:color w:val="000000"/>
                <w:sz w:val="20"/>
                <w:szCs w:val="20"/>
              </w:rPr>
              <w:t>)…Rb237</w:t>
            </w:r>
          </w:p>
        </w:tc>
      </w:tr>
      <w:tr w:rsidR="002E1B98" w:rsidRPr="008A61A3" w14:paraId="54E747C8" w14:textId="77777777" w:rsidTr="002E1B98">
        <w:trPr>
          <w:trHeight w:val="20"/>
        </w:trPr>
        <w:tc>
          <w:tcPr>
            <w:tcW w:w="897" w:type="dxa"/>
            <w:tcBorders>
              <w:top w:val="nil"/>
              <w:left w:val="nil"/>
              <w:bottom w:val="nil"/>
              <w:right w:val="nil"/>
            </w:tcBorders>
            <w:shd w:val="clear" w:color="auto" w:fill="auto"/>
            <w:noWrap/>
            <w:vAlign w:val="bottom"/>
            <w:hideMark/>
          </w:tcPr>
          <w:p w14:paraId="170CF1E1"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6A7F823" w14:textId="5D04DA3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KBP6791J: Allocation of primary income account: Property income paid: General government.</w:t>
            </w:r>
          </w:p>
        </w:tc>
      </w:tr>
      <w:tr w:rsidR="002E1B98" w:rsidRPr="008A61A3" w14:paraId="48133D3B" w14:textId="77777777" w:rsidTr="002E1B98">
        <w:trPr>
          <w:trHeight w:val="20"/>
        </w:trPr>
        <w:tc>
          <w:tcPr>
            <w:tcW w:w="897" w:type="dxa"/>
            <w:tcBorders>
              <w:top w:val="nil"/>
              <w:left w:val="nil"/>
              <w:bottom w:val="nil"/>
              <w:right w:val="nil"/>
            </w:tcBorders>
            <w:shd w:val="clear" w:color="auto" w:fill="92D050"/>
            <w:noWrap/>
            <w:vAlign w:val="bottom"/>
            <w:hideMark/>
          </w:tcPr>
          <w:p w14:paraId="47B9A12B" w14:textId="7D3C769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xxviii</w:t>
            </w:r>
          </w:p>
        </w:tc>
        <w:tc>
          <w:tcPr>
            <w:tcW w:w="8193" w:type="dxa"/>
            <w:tcBorders>
              <w:top w:val="nil"/>
              <w:left w:val="nil"/>
              <w:bottom w:val="nil"/>
              <w:right w:val="nil"/>
            </w:tcBorders>
            <w:shd w:val="clear" w:color="auto" w:fill="92D050"/>
            <w:vAlign w:val="bottom"/>
            <w:hideMark/>
          </w:tcPr>
          <w:p w14:paraId="3768BC79" w14:textId="54FB7F45"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Households,Government</w:t>
            </w:r>
            <w:proofErr w:type="spellEnd"/>
            <w:r w:rsidRPr="002E1B98">
              <w:rPr>
                <w:rFonts w:ascii="Times New Roman" w:hAnsi="Times New Roman" w:cs="Times New Roman"/>
                <w:color w:val="000000"/>
                <w:sz w:val="20"/>
                <w:szCs w:val="20"/>
              </w:rPr>
              <w:t>)…Rb272</w:t>
            </w:r>
          </w:p>
        </w:tc>
      </w:tr>
      <w:tr w:rsidR="002E1B98" w:rsidRPr="008A61A3" w14:paraId="3AC0D5FF" w14:textId="77777777" w:rsidTr="002E1B98">
        <w:trPr>
          <w:trHeight w:val="20"/>
        </w:trPr>
        <w:tc>
          <w:tcPr>
            <w:tcW w:w="897" w:type="dxa"/>
            <w:tcBorders>
              <w:top w:val="nil"/>
              <w:left w:val="nil"/>
              <w:bottom w:val="nil"/>
              <w:right w:val="nil"/>
            </w:tcBorders>
            <w:shd w:val="clear" w:color="auto" w:fill="auto"/>
            <w:noWrap/>
            <w:vAlign w:val="bottom"/>
            <w:hideMark/>
          </w:tcPr>
          <w:p w14:paraId="2520E105"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79653576" w14:textId="0D6B40A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KBP6801J: Secondary distribution of income account: Miscellaneous current transfers paid: General government+KBP6798J: Secondary distribution of income account: Social benefits paid: General government. Disaggregated across household income classes using shares from the 2015 LCS and includes the following items: “Old age pensions”, “Disability grants”, “Family and other allowances” and “Workmen's compensation Funds”.</w:t>
            </w:r>
          </w:p>
        </w:tc>
      </w:tr>
      <w:tr w:rsidR="002E1B98" w:rsidRPr="008A61A3" w14:paraId="60DF5F47" w14:textId="77777777" w:rsidTr="002E1B98">
        <w:trPr>
          <w:trHeight w:val="20"/>
        </w:trPr>
        <w:tc>
          <w:tcPr>
            <w:tcW w:w="897" w:type="dxa"/>
            <w:tcBorders>
              <w:top w:val="nil"/>
              <w:left w:val="nil"/>
              <w:bottom w:val="nil"/>
              <w:right w:val="nil"/>
            </w:tcBorders>
            <w:shd w:val="clear" w:color="auto" w:fill="auto"/>
            <w:noWrap/>
            <w:vAlign w:val="bottom"/>
            <w:hideMark/>
          </w:tcPr>
          <w:p w14:paraId="12DE614B" w14:textId="6EC2BB89"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xxix</w:t>
            </w:r>
          </w:p>
        </w:tc>
        <w:tc>
          <w:tcPr>
            <w:tcW w:w="8193" w:type="dxa"/>
            <w:tcBorders>
              <w:top w:val="nil"/>
              <w:left w:val="nil"/>
              <w:bottom w:val="nil"/>
              <w:right w:val="nil"/>
            </w:tcBorders>
            <w:shd w:val="clear" w:color="auto" w:fill="auto"/>
            <w:vAlign w:val="bottom"/>
            <w:hideMark/>
          </w:tcPr>
          <w:p w14:paraId="784742EC" w14:textId="2DA93F7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Government,Government</w:t>
            </w:r>
            <w:proofErr w:type="spellEnd"/>
            <w:r w:rsidRPr="002E1B98">
              <w:rPr>
                <w:rFonts w:ascii="Times New Roman" w:hAnsi="Times New Roman" w:cs="Times New Roman"/>
                <w:color w:val="000000"/>
                <w:sz w:val="20"/>
                <w:szCs w:val="20"/>
              </w:rPr>
              <w:t>)…Rb000</w:t>
            </w:r>
          </w:p>
        </w:tc>
      </w:tr>
      <w:tr w:rsidR="002E1B98" w:rsidRPr="008A61A3" w14:paraId="238A910D" w14:textId="77777777" w:rsidTr="002E1B98">
        <w:trPr>
          <w:trHeight w:val="20"/>
        </w:trPr>
        <w:tc>
          <w:tcPr>
            <w:tcW w:w="897" w:type="dxa"/>
            <w:tcBorders>
              <w:top w:val="nil"/>
              <w:left w:val="nil"/>
              <w:bottom w:val="nil"/>
              <w:right w:val="nil"/>
            </w:tcBorders>
            <w:shd w:val="clear" w:color="auto" w:fill="auto"/>
            <w:noWrap/>
            <w:vAlign w:val="bottom"/>
            <w:hideMark/>
          </w:tcPr>
          <w:p w14:paraId="74571742"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tcPr>
          <w:p w14:paraId="4C243177" w14:textId="50F3DB7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0</w:t>
            </w:r>
          </w:p>
        </w:tc>
      </w:tr>
      <w:tr w:rsidR="002E1B98" w:rsidRPr="008A61A3" w14:paraId="6F1D70B9" w14:textId="77777777" w:rsidTr="002E1B98">
        <w:trPr>
          <w:trHeight w:val="20"/>
        </w:trPr>
        <w:tc>
          <w:tcPr>
            <w:tcW w:w="897" w:type="dxa"/>
            <w:tcBorders>
              <w:top w:val="nil"/>
              <w:left w:val="nil"/>
              <w:bottom w:val="nil"/>
              <w:right w:val="nil"/>
            </w:tcBorders>
            <w:shd w:val="clear" w:color="auto" w:fill="auto"/>
            <w:noWrap/>
            <w:vAlign w:val="bottom"/>
            <w:hideMark/>
          </w:tcPr>
          <w:p w14:paraId="15EB6C01" w14:textId="06D27F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w:t>
            </w:r>
          </w:p>
        </w:tc>
        <w:tc>
          <w:tcPr>
            <w:tcW w:w="8193" w:type="dxa"/>
            <w:tcBorders>
              <w:top w:val="nil"/>
              <w:left w:val="nil"/>
              <w:bottom w:val="nil"/>
              <w:right w:val="nil"/>
            </w:tcBorders>
            <w:shd w:val="clear" w:color="auto" w:fill="auto"/>
            <w:vAlign w:val="bottom"/>
            <w:hideMark/>
          </w:tcPr>
          <w:p w14:paraId="039B1265" w14:textId="00E2972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Accumulation,Government</w:t>
            </w:r>
            <w:proofErr w:type="spellEnd"/>
            <w:r w:rsidRPr="002E1B98">
              <w:rPr>
                <w:rFonts w:ascii="Times New Roman" w:hAnsi="Times New Roman" w:cs="Times New Roman"/>
                <w:color w:val="000000"/>
                <w:sz w:val="20"/>
                <w:szCs w:val="20"/>
              </w:rPr>
              <w:t>)…Rb002</w:t>
            </w:r>
          </w:p>
        </w:tc>
      </w:tr>
      <w:tr w:rsidR="002E1B98" w:rsidRPr="008A61A3" w14:paraId="1536D120" w14:textId="77777777" w:rsidTr="002E1B98">
        <w:trPr>
          <w:trHeight w:val="20"/>
        </w:trPr>
        <w:tc>
          <w:tcPr>
            <w:tcW w:w="897" w:type="dxa"/>
            <w:tcBorders>
              <w:top w:val="nil"/>
              <w:left w:val="nil"/>
              <w:bottom w:val="nil"/>
              <w:right w:val="nil"/>
            </w:tcBorders>
            <w:shd w:val="clear" w:color="auto" w:fill="auto"/>
            <w:noWrap/>
            <w:vAlign w:val="bottom"/>
            <w:hideMark/>
          </w:tcPr>
          <w:p w14:paraId="577A66B6"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DC3378D" w14:textId="5934B39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KBP6803J: Use of disposable income account: Gross saving of General government.</w:t>
            </w:r>
          </w:p>
        </w:tc>
      </w:tr>
      <w:tr w:rsidR="002E1B98" w:rsidRPr="008A61A3" w14:paraId="65B615F2" w14:textId="77777777" w:rsidTr="002E1B98">
        <w:trPr>
          <w:trHeight w:val="20"/>
        </w:trPr>
        <w:tc>
          <w:tcPr>
            <w:tcW w:w="897" w:type="dxa"/>
            <w:tcBorders>
              <w:top w:val="nil"/>
              <w:left w:val="nil"/>
              <w:bottom w:val="nil"/>
              <w:right w:val="nil"/>
            </w:tcBorders>
            <w:shd w:val="clear" w:color="auto" w:fill="auto"/>
            <w:noWrap/>
            <w:vAlign w:val="bottom"/>
            <w:hideMark/>
          </w:tcPr>
          <w:p w14:paraId="7301753D" w14:textId="3EBD7C9F"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xxxi</w:t>
            </w:r>
          </w:p>
        </w:tc>
        <w:tc>
          <w:tcPr>
            <w:tcW w:w="8193" w:type="dxa"/>
            <w:tcBorders>
              <w:top w:val="nil"/>
              <w:left w:val="nil"/>
              <w:bottom w:val="nil"/>
              <w:right w:val="nil"/>
            </w:tcBorders>
            <w:shd w:val="clear" w:color="auto" w:fill="auto"/>
            <w:vAlign w:val="bottom"/>
            <w:hideMark/>
          </w:tcPr>
          <w:p w14:paraId="19FBA358" w14:textId="15E14A5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(Rest of the </w:t>
            </w:r>
            <w:proofErr w:type="spellStart"/>
            <w:r w:rsidRPr="002E1B98">
              <w:rPr>
                <w:rFonts w:ascii="Times New Roman" w:hAnsi="Times New Roman" w:cs="Times New Roman"/>
                <w:color w:val="000000"/>
                <w:sz w:val="20"/>
                <w:szCs w:val="20"/>
              </w:rPr>
              <w:t>world,Government</w:t>
            </w:r>
            <w:proofErr w:type="spellEnd"/>
            <w:r w:rsidRPr="002E1B98">
              <w:rPr>
                <w:rFonts w:ascii="Times New Roman" w:hAnsi="Times New Roman" w:cs="Times New Roman"/>
                <w:color w:val="000000"/>
                <w:sz w:val="20"/>
                <w:szCs w:val="20"/>
              </w:rPr>
              <w:t>)…Rb050</w:t>
            </w:r>
          </w:p>
        </w:tc>
      </w:tr>
      <w:tr w:rsidR="002E1B98" w:rsidRPr="008A61A3" w14:paraId="757803A8" w14:textId="77777777" w:rsidTr="002E1B98">
        <w:trPr>
          <w:trHeight w:val="20"/>
        </w:trPr>
        <w:tc>
          <w:tcPr>
            <w:tcW w:w="897" w:type="dxa"/>
            <w:tcBorders>
              <w:top w:val="nil"/>
              <w:left w:val="nil"/>
              <w:bottom w:val="nil"/>
              <w:right w:val="nil"/>
            </w:tcBorders>
            <w:shd w:val="clear" w:color="auto" w:fill="auto"/>
            <w:noWrap/>
            <w:vAlign w:val="bottom"/>
            <w:hideMark/>
          </w:tcPr>
          <w:p w14:paraId="1574E0D9"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3FE2A8F1" w14:textId="6898A52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KBP6908J: External account of primary incomes and current transfers: Current international co-operation received: ROW.</w:t>
            </w:r>
          </w:p>
        </w:tc>
      </w:tr>
      <w:tr w:rsidR="002E1B98" w:rsidRPr="008A61A3" w14:paraId="4C7813FB" w14:textId="77777777" w:rsidTr="002E1B98">
        <w:trPr>
          <w:trHeight w:val="20"/>
        </w:trPr>
        <w:tc>
          <w:tcPr>
            <w:tcW w:w="897" w:type="dxa"/>
            <w:tcBorders>
              <w:top w:val="nil"/>
              <w:left w:val="nil"/>
              <w:bottom w:val="nil"/>
              <w:right w:val="nil"/>
            </w:tcBorders>
            <w:shd w:val="clear" w:color="auto" w:fill="auto"/>
            <w:noWrap/>
            <w:vAlign w:val="bottom"/>
            <w:hideMark/>
          </w:tcPr>
          <w:p w14:paraId="183149A2" w14:textId="2A158E8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xxxii</w:t>
            </w:r>
          </w:p>
        </w:tc>
        <w:tc>
          <w:tcPr>
            <w:tcW w:w="8193" w:type="dxa"/>
            <w:tcBorders>
              <w:top w:val="nil"/>
              <w:left w:val="nil"/>
              <w:bottom w:val="nil"/>
              <w:right w:val="nil"/>
            </w:tcBorders>
            <w:shd w:val="clear" w:color="auto" w:fill="auto"/>
            <w:vAlign w:val="bottom"/>
            <w:hideMark/>
          </w:tcPr>
          <w:p w14:paraId="35E27A3C" w14:textId="469FA9C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Government,Net</w:t>
            </w:r>
            <w:proofErr w:type="spellEnd"/>
            <w:r w:rsidRPr="002E1B98">
              <w:rPr>
                <w:rFonts w:ascii="Times New Roman" w:hAnsi="Times New Roman" w:cs="Times New Roman"/>
                <w:color w:val="000000"/>
                <w:sz w:val="20"/>
                <w:szCs w:val="20"/>
              </w:rPr>
              <w:t xml:space="preserve"> activity taxes)…Rb095</w:t>
            </w:r>
          </w:p>
        </w:tc>
      </w:tr>
      <w:tr w:rsidR="002E1B98" w:rsidRPr="008A61A3" w14:paraId="713FD92E" w14:textId="77777777" w:rsidTr="002E1B98">
        <w:trPr>
          <w:trHeight w:val="20"/>
        </w:trPr>
        <w:tc>
          <w:tcPr>
            <w:tcW w:w="897" w:type="dxa"/>
            <w:tcBorders>
              <w:top w:val="nil"/>
              <w:left w:val="nil"/>
              <w:bottom w:val="nil"/>
              <w:right w:val="nil"/>
            </w:tcBorders>
            <w:shd w:val="clear" w:color="auto" w:fill="auto"/>
            <w:noWrap/>
            <w:vAlign w:val="bottom"/>
            <w:hideMark/>
          </w:tcPr>
          <w:p w14:paraId="35A36943"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590A0A74" w14:textId="189F8E9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KBP6600J: Other taxes on production in all industries - KBP6601J: Other subsidies on production in all industries. Net activity taxes are derived by applying  the activity tax rates from the 2017 UT to 2019 GDP at factor cost. The latter is the sum of ii and iii above.</w:t>
            </w:r>
          </w:p>
        </w:tc>
      </w:tr>
      <w:tr w:rsidR="002E1B98" w:rsidRPr="008A61A3" w14:paraId="58AB5C44" w14:textId="77777777" w:rsidTr="002E1B98">
        <w:trPr>
          <w:trHeight w:val="20"/>
        </w:trPr>
        <w:tc>
          <w:tcPr>
            <w:tcW w:w="897" w:type="dxa"/>
            <w:tcBorders>
              <w:top w:val="nil"/>
              <w:left w:val="nil"/>
              <w:bottom w:val="nil"/>
              <w:right w:val="nil"/>
            </w:tcBorders>
            <w:shd w:val="clear" w:color="auto" w:fill="auto"/>
            <w:noWrap/>
            <w:vAlign w:val="bottom"/>
            <w:hideMark/>
          </w:tcPr>
          <w:p w14:paraId="397BC022" w14:textId="4833142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xxxiii</w:t>
            </w:r>
          </w:p>
        </w:tc>
        <w:tc>
          <w:tcPr>
            <w:tcW w:w="8193" w:type="dxa"/>
            <w:tcBorders>
              <w:top w:val="nil"/>
              <w:left w:val="nil"/>
              <w:bottom w:val="nil"/>
              <w:right w:val="nil"/>
            </w:tcBorders>
            <w:shd w:val="clear" w:color="auto" w:fill="auto"/>
            <w:vAlign w:val="bottom"/>
            <w:hideMark/>
          </w:tcPr>
          <w:p w14:paraId="5B86AD18" w14:textId="25DB719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Government,Net</w:t>
            </w:r>
            <w:proofErr w:type="spellEnd"/>
            <w:r w:rsidRPr="002E1B98">
              <w:rPr>
                <w:rFonts w:ascii="Times New Roman" w:hAnsi="Times New Roman" w:cs="Times New Roman"/>
                <w:color w:val="000000"/>
                <w:sz w:val="20"/>
                <w:szCs w:val="20"/>
              </w:rPr>
              <w:t xml:space="preserve"> </w:t>
            </w:r>
            <w:proofErr w:type="spellStart"/>
            <w:r w:rsidRPr="002E1B98">
              <w:rPr>
                <w:rFonts w:ascii="Times New Roman" w:hAnsi="Times New Roman" w:cs="Times New Roman"/>
                <w:color w:val="000000"/>
                <w:sz w:val="20"/>
                <w:szCs w:val="20"/>
              </w:rPr>
              <w:t>dom</w:t>
            </w:r>
            <w:proofErr w:type="spellEnd"/>
            <w:r w:rsidRPr="002E1B98">
              <w:rPr>
                <w:rFonts w:ascii="Times New Roman" w:hAnsi="Times New Roman" w:cs="Times New Roman"/>
                <w:color w:val="000000"/>
                <w:sz w:val="20"/>
                <w:szCs w:val="20"/>
              </w:rPr>
              <w:t xml:space="preserve"> prod taxes)…Rb498</w:t>
            </w:r>
          </w:p>
        </w:tc>
      </w:tr>
      <w:tr w:rsidR="002E1B98" w:rsidRPr="008A61A3" w14:paraId="3EE44A9C" w14:textId="77777777" w:rsidTr="002E1B98">
        <w:trPr>
          <w:trHeight w:val="20"/>
        </w:trPr>
        <w:tc>
          <w:tcPr>
            <w:tcW w:w="897" w:type="dxa"/>
            <w:tcBorders>
              <w:top w:val="nil"/>
              <w:left w:val="nil"/>
              <w:bottom w:val="nil"/>
              <w:right w:val="nil"/>
            </w:tcBorders>
            <w:shd w:val="clear" w:color="auto" w:fill="auto"/>
            <w:noWrap/>
            <w:vAlign w:val="bottom"/>
            <w:hideMark/>
          </w:tcPr>
          <w:p w14:paraId="40FF81C8"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2522B0C5" w14:textId="3B8B005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KBP6603J: Taxes on products - KBP6604J: Subsidies on products-KBP4590J: National government tax revenue: Taxes on international trade and transactions: Import duties. Domestic taxes less subsidies on products together with import duties is equal to taxes on products as reported by the National Accounts. Disaggregation of this control total (sum of taxes less subsidies on products less import duties) across products is based on 2017 ST shares after import duties, discussed below in (vii), are subtracted. </w:t>
            </w:r>
          </w:p>
        </w:tc>
      </w:tr>
      <w:tr w:rsidR="002E1B98" w:rsidRPr="008A61A3" w14:paraId="6E4FFBA7" w14:textId="77777777" w:rsidTr="002E1B98">
        <w:trPr>
          <w:trHeight w:val="20"/>
        </w:trPr>
        <w:tc>
          <w:tcPr>
            <w:tcW w:w="897" w:type="dxa"/>
            <w:tcBorders>
              <w:top w:val="nil"/>
              <w:left w:val="nil"/>
              <w:bottom w:val="nil"/>
              <w:right w:val="nil"/>
            </w:tcBorders>
            <w:shd w:val="clear" w:color="auto" w:fill="auto"/>
            <w:noWrap/>
            <w:vAlign w:val="bottom"/>
            <w:hideMark/>
          </w:tcPr>
          <w:p w14:paraId="570F22BB" w14:textId="06D3774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xxxiv</w:t>
            </w:r>
          </w:p>
        </w:tc>
        <w:tc>
          <w:tcPr>
            <w:tcW w:w="8193" w:type="dxa"/>
            <w:tcBorders>
              <w:top w:val="nil"/>
              <w:left w:val="nil"/>
              <w:bottom w:val="nil"/>
              <w:right w:val="nil"/>
            </w:tcBorders>
            <w:shd w:val="clear" w:color="auto" w:fill="auto"/>
            <w:vAlign w:val="bottom"/>
            <w:hideMark/>
          </w:tcPr>
          <w:p w14:paraId="7AB43486" w14:textId="2CA17B46"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Government,Import</w:t>
            </w:r>
            <w:proofErr w:type="spellEnd"/>
            <w:r w:rsidRPr="002E1B98">
              <w:rPr>
                <w:rFonts w:ascii="Times New Roman" w:hAnsi="Times New Roman" w:cs="Times New Roman"/>
                <w:color w:val="000000"/>
                <w:sz w:val="20"/>
                <w:szCs w:val="20"/>
              </w:rPr>
              <w:t xml:space="preserve"> duties)…Rb056</w:t>
            </w:r>
          </w:p>
        </w:tc>
      </w:tr>
      <w:tr w:rsidR="002E1B98" w:rsidRPr="008A61A3" w14:paraId="2C7E1F64" w14:textId="77777777" w:rsidTr="002E1B98">
        <w:trPr>
          <w:trHeight w:val="20"/>
        </w:trPr>
        <w:tc>
          <w:tcPr>
            <w:tcW w:w="897" w:type="dxa"/>
            <w:tcBorders>
              <w:top w:val="nil"/>
              <w:left w:val="nil"/>
              <w:bottom w:val="nil"/>
              <w:right w:val="nil"/>
            </w:tcBorders>
            <w:shd w:val="clear" w:color="auto" w:fill="auto"/>
            <w:noWrap/>
            <w:vAlign w:val="bottom"/>
            <w:hideMark/>
          </w:tcPr>
          <w:p w14:paraId="0D7622FE"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08291E5A" w14:textId="7187519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KBP4590J: National government tax revenue: Taxes on international trade and transactions: Import duties. Total Import duties are part of national government tax revenue as reported in the Public Finance Statistics of the SARB Quarterly Bulletin and together with net domestic product tax [see (vi) above] make up net product tax that is reported in the National accounts. Commodity level import duties collected were obtained from 2009 SARS import duty collection rates. These rates were manually adjusted so as to avoid negative domestic commodity tax where it was obvious this did not make sense.  More robust and recent direct estimates of tax collection or their rates will require further work.</w:t>
            </w:r>
          </w:p>
        </w:tc>
      </w:tr>
      <w:tr w:rsidR="002E1B98" w:rsidRPr="008A61A3" w14:paraId="21E49367" w14:textId="77777777" w:rsidTr="002E1B98">
        <w:trPr>
          <w:trHeight w:val="20"/>
        </w:trPr>
        <w:tc>
          <w:tcPr>
            <w:tcW w:w="897" w:type="dxa"/>
            <w:tcBorders>
              <w:top w:val="nil"/>
              <w:left w:val="nil"/>
              <w:bottom w:val="nil"/>
              <w:right w:val="nil"/>
            </w:tcBorders>
            <w:shd w:val="clear" w:color="auto" w:fill="auto"/>
            <w:noWrap/>
            <w:vAlign w:val="bottom"/>
            <w:hideMark/>
          </w:tcPr>
          <w:p w14:paraId="7D86F7BF" w14:textId="0FEDCB2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xxxv</w:t>
            </w:r>
          </w:p>
        </w:tc>
        <w:tc>
          <w:tcPr>
            <w:tcW w:w="8193" w:type="dxa"/>
            <w:tcBorders>
              <w:top w:val="nil"/>
              <w:left w:val="nil"/>
              <w:bottom w:val="nil"/>
              <w:right w:val="nil"/>
            </w:tcBorders>
            <w:shd w:val="clear" w:color="auto" w:fill="auto"/>
            <w:vAlign w:val="bottom"/>
            <w:hideMark/>
          </w:tcPr>
          <w:p w14:paraId="3DDB51F9" w14:textId="20ED2CE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Government,Income</w:t>
            </w:r>
            <w:proofErr w:type="spellEnd"/>
            <w:r w:rsidRPr="002E1B98">
              <w:rPr>
                <w:rFonts w:ascii="Times New Roman" w:hAnsi="Times New Roman" w:cs="Times New Roman"/>
                <w:color w:val="000000"/>
                <w:sz w:val="20"/>
                <w:szCs w:val="20"/>
              </w:rPr>
              <w:t xml:space="preserve"> taxes)…Rb783</w:t>
            </w:r>
          </w:p>
        </w:tc>
      </w:tr>
      <w:tr w:rsidR="002E1B98" w:rsidRPr="008A61A3" w14:paraId="2DFB458B" w14:textId="77777777" w:rsidTr="002E1B98">
        <w:trPr>
          <w:trHeight w:val="20"/>
        </w:trPr>
        <w:tc>
          <w:tcPr>
            <w:tcW w:w="897" w:type="dxa"/>
            <w:tcBorders>
              <w:top w:val="nil"/>
              <w:left w:val="nil"/>
              <w:bottom w:val="nil"/>
              <w:right w:val="nil"/>
            </w:tcBorders>
            <w:shd w:val="clear" w:color="auto" w:fill="auto"/>
            <w:noWrap/>
            <w:vAlign w:val="bottom"/>
            <w:hideMark/>
          </w:tcPr>
          <w:p w14:paraId="58F79701"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2D68F13C" w14:textId="4EFF289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KBP6717J: Secondary distribution of income account: Current taxes on income and wealth paid by Financial corporations+KBP6758J: Secondary distribution of income account: Current taxes on income and wealth paid by non-financial corporations.</w:t>
            </w:r>
          </w:p>
        </w:tc>
      </w:tr>
      <w:tr w:rsidR="002E1B98" w:rsidRPr="008A61A3" w14:paraId="605886A2" w14:textId="77777777" w:rsidTr="002E1B98">
        <w:trPr>
          <w:trHeight w:val="20"/>
        </w:trPr>
        <w:tc>
          <w:tcPr>
            <w:tcW w:w="897" w:type="dxa"/>
            <w:tcBorders>
              <w:top w:val="nil"/>
              <w:left w:val="nil"/>
              <w:bottom w:val="nil"/>
              <w:right w:val="nil"/>
            </w:tcBorders>
            <w:shd w:val="clear" w:color="auto" w:fill="auto"/>
            <w:noWrap/>
            <w:vAlign w:val="bottom"/>
            <w:hideMark/>
          </w:tcPr>
          <w:p w14:paraId="1BA7A88F" w14:textId="50DB527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xxxvi</w:t>
            </w:r>
          </w:p>
        </w:tc>
        <w:tc>
          <w:tcPr>
            <w:tcW w:w="8193" w:type="dxa"/>
            <w:tcBorders>
              <w:top w:val="nil"/>
              <w:left w:val="nil"/>
              <w:bottom w:val="nil"/>
              <w:right w:val="nil"/>
            </w:tcBorders>
            <w:shd w:val="clear" w:color="auto" w:fill="auto"/>
            <w:vAlign w:val="bottom"/>
            <w:hideMark/>
          </w:tcPr>
          <w:p w14:paraId="09FA3F3C" w14:textId="7B02D1B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Commodities,Ch</w:t>
            </w:r>
            <w:proofErr w:type="spellEnd"/>
            <w:r w:rsidRPr="002E1B98">
              <w:rPr>
                <w:rFonts w:ascii="Times New Roman" w:hAnsi="Times New Roman" w:cs="Times New Roman"/>
                <w:color w:val="000000"/>
                <w:sz w:val="20"/>
                <w:szCs w:val="20"/>
              </w:rPr>
              <w:t xml:space="preserve"> in inventories)…Rb003</w:t>
            </w:r>
          </w:p>
        </w:tc>
      </w:tr>
      <w:tr w:rsidR="002E1B98" w:rsidRPr="008A61A3" w14:paraId="112FCC11" w14:textId="77777777" w:rsidTr="002E1B98">
        <w:trPr>
          <w:trHeight w:val="20"/>
        </w:trPr>
        <w:tc>
          <w:tcPr>
            <w:tcW w:w="897" w:type="dxa"/>
            <w:tcBorders>
              <w:top w:val="nil"/>
              <w:left w:val="nil"/>
              <w:bottom w:val="nil"/>
              <w:right w:val="nil"/>
            </w:tcBorders>
            <w:shd w:val="clear" w:color="auto" w:fill="auto"/>
            <w:noWrap/>
            <w:vAlign w:val="bottom"/>
            <w:hideMark/>
          </w:tcPr>
          <w:p w14:paraId="3F31EAA4"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79035DBB" w14:textId="294C0CD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KBP6010J: Change in inventories+KBP6011J: Residual item. Disaggregated across products according to the expenditure shares in the 2017 UT.</w:t>
            </w:r>
          </w:p>
        </w:tc>
      </w:tr>
      <w:tr w:rsidR="002E1B98" w:rsidRPr="008A61A3" w14:paraId="391C9AE7" w14:textId="77777777" w:rsidTr="002E1B98">
        <w:trPr>
          <w:trHeight w:val="20"/>
        </w:trPr>
        <w:tc>
          <w:tcPr>
            <w:tcW w:w="897" w:type="dxa"/>
            <w:tcBorders>
              <w:top w:val="nil"/>
              <w:left w:val="nil"/>
              <w:bottom w:val="nil"/>
              <w:right w:val="nil"/>
            </w:tcBorders>
            <w:shd w:val="clear" w:color="auto" w:fill="auto"/>
            <w:noWrap/>
            <w:vAlign w:val="bottom"/>
            <w:hideMark/>
          </w:tcPr>
          <w:p w14:paraId="71B468D6" w14:textId="49BA6DC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xxxvii</w:t>
            </w:r>
          </w:p>
        </w:tc>
        <w:tc>
          <w:tcPr>
            <w:tcW w:w="8193" w:type="dxa"/>
            <w:tcBorders>
              <w:top w:val="nil"/>
              <w:left w:val="nil"/>
              <w:bottom w:val="nil"/>
              <w:right w:val="nil"/>
            </w:tcBorders>
            <w:shd w:val="clear" w:color="auto" w:fill="auto"/>
            <w:vAlign w:val="bottom"/>
            <w:hideMark/>
          </w:tcPr>
          <w:p w14:paraId="3126D094" w14:textId="4B1B061B"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Commodities,Accumulation</w:t>
            </w:r>
            <w:proofErr w:type="spellEnd"/>
            <w:r w:rsidRPr="002E1B98">
              <w:rPr>
                <w:rFonts w:ascii="Times New Roman" w:hAnsi="Times New Roman" w:cs="Times New Roman"/>
                <w:color w:val="000000"/>
                <w:sz w:val="20"/>
                <w:szCs w:val="20"/>
              </w:rPr>
              <w:t>)…Rb909</w:t>
            </w:r>
          </w:p>
        </w:tc>
      </w:tr>
      <w:tr w:rsidR="002E1B98" w:rsidRPr="008A61A3" w14:paraId="140C128D" w14:textId="77777777" w:rsidTr="002E1B98">
        <w:trPr>
          <w:trHeight w:val="20"/>
        </w:trPr>
        <w:tc>
          <w:tcPr>
            <w:tcW w:w="897" w:type="dxa"/>
            <w:tcBorders>
              <w:top w:val="nil"/>
              <w:left w:val="nil"/>
              <w:bottom w:val="nil"/>
              <w:right w:val="nil"/>
            </w:tcBorders>
            <w:shd w:val="clear" w:color="auto" w:fill="auto"/>
            <w:noWrap/>
            <w:vAlign w:val="bottom"/>
            <w:hideMark/>
          </w:tcPr>
          <w:p w14:paraId="196F614B"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0F437C3" w14:textId="55EA102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KBP6009J: Gross fixed capital formation (Investment). Disaggregated across products according to the expenditure shares in the 2017 UT.</w:t>
            </w:r>
          </w:p>
        </w:tc>
      </w:tr>
      <w:tr w:rsidR="002E1B98" w:rsidRPr="008A61A3" w14:paraId="69E3CD2D" w14:textId="77777777" w:rsidTr="002E1B98">
        <w:trPr>
          <w:trHeight w:val="20"/>
        </w:trPr>
        <w:tc>
          <w:tcPr>
            <w:tcW w:w="897" w:type="dxa"/>
            <w:tcBorders>
              <w:top w:val="nil"/>
              <w:left w:val="nil"/>
              <w:bottom w:val="nil"/>
              <w:right w:val="nil"/>
            </w:tcBorders>
            <w:shd w:val="clear" w:color="auto" w:fill="auto"/>
            <w:noWrap/>
            <w:vAlign w:val="bottom"/>
            <w:hideMark/>
          </w:tcPr>
          <w:p w14:paraId="2E30757A" w14:textId="42DB398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xxxviii</w:t>
            </w:r>
          </w:p>
        </w:tc>
        <w:tc>
          <w:tcPr>
            <w:tcW w:w="8193" w:type="dxa"/>
            <w:tcBorders>
              <w:top w:val="nil"/>
              <w:left w:val="nil"/>
              <w:bottom w:val="nil"/>
              <w:right w:val="nil"/>
            </w:tcBorders>
            <w:shd w:val="clear" w:color="auto" w:fill="auto"/>
            <w:vAlign w:val="bottom"/>
            <w:hideMark/>
          </w:tcPr>
          <w:p w14:paraId="1417A363" w14:textId="5A7D456E"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(Ch in </w:t>
            </w:r>
            <w:proofErr w:type="spellStart"/>
            <w:r w:rsidRPr="002E1B98">
              <w:rPr>
                <w:rFonts w:ascii="Times New Roman" w:hAnsi="Times New Roman" w:cs="Times New Roman"/>
                <w:color w:val="000000"/>
                <w:sz w:val="20"/>
                <w:szCs w:val="20"/>
              </w:rPr>
              <w:t>inventories,Accumulation</w:t>
            </w:r>
            <w:proofErr w:type="spellEnd"/>
            <w:r w:rsidRPr="002E1B98">
              <w:rPr>
                <w:rFonts w:ascii="Times New Roman" w:hAnsi="Times New Roman" w:cs="Times New Roman"/>
                <w:color w:val="000000"/>
                <w:sz w:val="20"/>
                <w:szCs w:val="20"/>
              </w:rPr>
              <w:t>)…Rb003</w:t>
            </w:r>
          </w:p>
        </w:tc>
      </w:tr>
      <w:tr w:rsidR="002E1B98" w:rsidRPr="008A61A3" w14:paraId="6FC88846" w14:textId="77777777" w:rsidTr="002E1B98">
        <w:trPr>
          <w:trHeight w:val="20"/>
        </w:trPr>
        <w:tc>
          <w:tcPr>
            <w:tcW w:w="897" w:type="dxa"/>
            <w:tcBorders>
              <w:top w:val="nil"/>
              <w:left w:val="nil"/>
              <w:bottom w:val="nil"/>
              <w:right w:val="nil"/>
            </w:tcBorders>
            <w:shd w:val="clear" w:color="auto" w:fill="auto"/>
            <w:noWrap/>
            <w:vAlign w:val="bottom"/>
            <w:hideMark/>
          </w:tcPr>
          <w:p w14:paraId="63432ABC"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22CB6403" w14:textId="554CFAA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KBP6010J: Change in inventories+KBP6011J: Residual item. Disaggregated across products according to the expenditure shares in the 2017 UT.</w:t>
            </w:r>
          </w:p>
        </w:tc>
      </w:tr>
      <w:tr w:rsidR="002E1B98" w:rsidRPr="008A61A3" w14:paraId="51EC1D7C" w14:textId="77777777" w:rsidTr="002E1B98">
        <w:trPr>
          <w:trHeight w:val="20"/>
        </w:trPr>
        <w:tc>
          <w:tcPr>
            <w:tcW w:w="897" w:type="dxa"/>
            <w:tcBorders>
              <w:top w:val="nil"/>
              <w:left w:val="nil"/>
              <w:bottom w:val="nil"/>
              <w:right w:val="nil"/>
            </w:tcBorders>
            <w:shd w:val="clear" w:color="auto" w:fill="auto"/>
            <w:noWrap/>
            <w:vAlign w:val="bottom"/>
            <w:hideMark/>
          </w:tcPr>
          <w:p w14:paraId="7B20E6AD" w14:textId="73BED3D5"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xxxix</w:t>
            </w:r>
          </w:p>
        </w:tc>
        <w:tc>
          <w:tcPr>
            <w:tcW w:w="8193" w:type="dxa"/>
            <w:tcBorders>
              <w:top w:val="nil"/>
              <w:left w:val="nil"/>
              <w:bottom w:val="nil"/>
              <w:right w:val="nil"/>
            </w:tcBorders>
            <w:shd w:val="clear" w:color="auto" w:fill="auto"/>
            <w:vAlign w:val="bottom"/>
            <w:hideMark/>
          </w:tcPr>
          <w:p w14:paraId="383E87CA" w14:textId="533C438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Commodities,Rest</w:t>
            </w:r>
            <w:proofErr w:type="spellEnd"/>
            <w:r w:rsidRPr="002E1B98">
              <w:rPr>
                <w:rFonts w:ascii="Times New Roman" w:hAnsi="Times New Roman" w:cs="Times New Roman"/>
                <w:color w:val="000000"/>
                <w:sz w:val="20"/>
                <w:szCs w:val="20"/>
              </w:rPr>
              <w:t xml:space="preserve"> of the world)…Rb1,516</w:t>
            </w:r>
          </w:p>
        </w:tc>
      </w:tr>
      <w:tr w:rsidR="002E1B98" w:rsidRPr="008A61A3" w14:paraId="3914543E" w14:textId="77777777" w:rsidTr="002E1B98">
        <w:trPr>
          <w:trHeight w:val="20"/>
        </w:trPr>
        <w:tc>
          <w:tcPr>
            <w:tcW w:w="897" w:type="dxa"/>
            <w:tcBorders>
              <w:top w:val="nil"/>
              <w:left w:val="nil"/>
              <w:bottom w:val="nil"/>
              <w:right w:val="nil"/>
            </w:tcBorders>
            <w:shd w:val="clear" w:color="auto" w:fill="auto"/>
            <w:noWrap/>
            <w:vAlign w:val="bottom"/>
            <w:hideMark/>
          </w:tcPr>
          <w:p w14:paraId="6A33F45D"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6327737" w14:textId="3C922B7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KBP6013J: Exports of goods &amp; services. Commodity level adjustments are made for purchases of non-residents while benchmarking on National Accounts. Disaggregation to commodity level is based on the 2017 UT.</w:t>
            </w:r>
          </w:p>
        </w:tc>
      </w:tr>
      <w:tr w:rsidR="002E1B98" w:rsidRPr="008A61A3" w14:paraId="2E06DD8E" w14:textId="77777777" w:rsidTr="002E1B98">
        <w:trPr>
          <w:trHeight w:val="20"/>
        </w:trPr>
        <w:tc>
          <w:tcPr>
            <w:tcW w:w="897" w:type="dxa"/>
            <w:tcBorders>
              <w:top w:val="nil"/>
              <w:left w:val="nil"/>
              <w:bottom w:val="nil"/>
              <w:right w:val="nil"/>
            </w:tcBorders>
            <w:shd w:val="clear" w:color="auto" w:fill="auto"/>
            <w:noWrap/>
            <w:vAlign w:val="bottom"/>
            <w:hideMark/>
          </w:tcPr>
          <w:p w14:paraId="5BF0B181" w14:textId="7C8182B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xl</w:t>
            </w:r>
          </w:p>
        </w:tc>
        <w:tc>
          <w:tcPr>
            <w:tcW w:w="8193" w:type="dxa"/>
            <w:tcBorders>
              <w:top w:val="nil"/>
              <w:left w:val="nil"/>
              <w:bottom w:val="nil"/>
              <w:right w:val="nil"/>
            </w:tcBorders>
            <w:shd w:val="clear" w:color="auto" w:fill="auto"/>
            <w:vAlign w:val="bottom"/>
            <w:hideMark/>
          </w:tcPr>
          <w:p w14:paraId="3BD679AE" w14:textId="73098573"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Labour,Rest</w:t>
            </w:r>
            <w:proofErr w:type="spellEnd"/>
            <w:r w:rsidRPr="002E1B98">
              <w:rPr>
                <w:rFonts w:ascii="Times New Roman" w:hAnsi="Times New Roman" w:cs="Times New Roman"/>
                <w:color w:val="000000"/>
                <w:sz w:val="20"/>
                <w:szCs w:val="20"/>
              </w:rPr>
              <w:t xml:space="preserve"> of the world)…Rb013</w:t>
            </w:r>
          </w:p>
        </w:tc>
      </w:tr>
      <w:tr w:rsidR="002E1B98" w:rsidRPr="008A61A3" w14:paraId="43BE01B0" w14:textId="77777777" w:rsidTr="002E1B98">
        <w:trPr>
          <w:trHeight w:val="20"/>
        </w:trPr>
        <w:tc>
          <w:tcPr>
            <w:tcW w:w="897" w:type="dxa"/>
            <w:tcBorders>
              <w:top w:val="nil"/>
              <w:left w:val="nil"/>
              <w:bottom w:val="nil"/>
              <w:right w:val="nil"/>
            </w:tcBorders>
            <w:shd w:val="clear" w:color="auto" w:fill="auto"/>
            <w:noWrap/>
            <w:vAlign w:val="bottom"/>
            <w:hideMark/>
          </w:tcPr>
          <w:p w14:paraId="586E6627"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E51D0A5" w14:textId="05D3F3EF"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KBP6208J: Compensation of South African residents in the rest of the world. Disaggregated across types of labour according to shares in total labour income using LMD data</w:t>
            </w:r>
          </w:p>
        </w:tc>
      </w:tr>
      <w:tr w:rsidR="002E1B98" w:rsidRPr="008A61A3" w14:paraId="360DA266" w14:textId="77777777" w:rsidTr="002E1B98">
        <w:trPr>
          <w:trHeight w:val="20"/>
        </w:trPr>
        <w:tc>
          <w:tcPr>
            <w:tcW w:w="897" w:type="dxa"/>
            <w:tcBorders>
              <w:top w:val="nil"/>
              <w:left w:val="nil"/>
              <w:bottom w:val="nil"/>
              <w:right w:val="nil"/>
            </w:tcBorders>
            <w:shd w:val="clear" w:color="auto" w:fill="auto"/>
            <w:noWrap/>
            <w:vAlign w:val="bottom"/>
            <w:hideMark/>
          </w:tcPr>
          <w:p w14:paraId="6B539C2B" w14:textId="08C54A4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xli</w:t>
            </w:r>
          </w:p>
        </w:tc>
        <w:tc>
          <w:tcPr>
            <w:tcW w:w="8193" w:type="dxa"/>
            <w:tcBorders>
              <w:top w:val="nil"/>
              <w:left w:val="nil"/>
              <w:bottom w:val="nil"/>
              <w:right w:val="nil"/>
            </w:tcBorders>
            <w:shd w:val="clear" w:color="auto" w:fill="auto"/>
            <w:vAlign w:val="bottom"/>
            <w:hideMark/>
          </w:tcPr>
          <w:p w14:paraId="019B18A8" w14:textId="46AF7392"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Capital,Rest</w:t>
            </w:r>
            <w:proofErr w:type="spellEnd"/>
            <w:r w:rsidRPr="002E1B98">
              <w:rPr>
                <w:rFonts w:ascii="Times New Roman" w:hAnsi="Times New Roman" w:cs="Times New Roman"/>
                <w:color w:val="000000"/>
                <w:sz w:val="20"/>
                <w:szCs w:val="20"/>
              </w:rPr>
              <w:t xml:space="preserve"> of the world)…Rb104</w:t>
            </w:r>
          </w:p>
        </w:tc>
      </w:tr>
      <w:tr w:rsidR="002E1B98" w:rsidRPr="008A61A3" w14:paraId="03CDED1F" w14:textId="77777777" w:rsidTr="002E1B98">
        <w:trPr>
          <w:trHeight w:val="20"/>
        </w:trPr>
        <w:tc>
          <w:tcPr>
            <w:tcW w:w="897" w:type="dxa"/>
            <w:tcBorders>
              <w:top w:val="nil"/>
              <w:left w:val="nil"/>
              <w:bottom w:val="nil"/>
              <w:right w:val="nil"/>
            </w:tcBorders>
            <w:shd w:val="clear" w:color="auto" w:fill="auto"/>
            <w:noWrap/>
            <w:vAlign w:val="bottom"/>
            <w:hideMark/>
          </w:tcPr>
          <w:p w14:paraId="441BF3D4"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7F65E9F9" w14:textId="7192179C"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KBP6904J: External account of primary incomes and current transfers: Property income paid: </w:t>
            </w:r>
            <w:proofErr w:type="spellStart"/>
            <w:r w:rsidRPr="002E1B98">
              <w:rPr>
                <w:rFonts w:ascii="Times New Roman" w:hAnsi="Times New Roman" w:cs="Times New Roman"/>
                <w:color w:val="000000"/>
                <w:sz w:val="20"/>
                <w:szCs w:val="20"/>
              </w:rPr>
              <w:t>RoW</w:t>
            </w:r>
            <w:proofErr w:type="spellEnd"/>
            <w:r w:rsidRPr="002E1B98">
              <w:rPr>
                <w:rFonts w:ascii="Times New Roman" w:hAnsi="Times New Roman" w:cs="Times New Roman"/>
                <w:color w:val="000000"/>
                <w:sz w:val="20"/>
                <w:szCs w:val="20"/>
              </w:rPr>
              <w:t>.</w:t>
            </w:r>
          </w:p>
        </w:tc>
      </w:tr>
      <w:tr w:rsidR="002E1B98" w:rsidRPr="008A61A3" w14:paraId="2DB4C2AD" w14:textId="77777777" w:rsidTr="002E1B98">
        <w:trPr>
          <w:trHeight w:val="20"/>
        </w:trPr>
        <w:tc>
          <w:tcPr>
            <w:tcW w:w="897" w:type="dxa"/>
            <w:tcBorders>
              <w:top w:val="nil"/>
              <w:left w:val="nil"/>
              <w:bottom w:val="nil"/>
              <w:right w:val="nil"/>
            </w:tcBorders>
            <w:shd w:val="clear" w:color="auto" w:fill="auto"/>
            <w:noWrap/>
            <w:vAlign w:val="bottom"/>
            <w:hideMark/>
          </w:tcPr>
          <w:p w14:paraId="0E0E74E3" w14:textId="0929E208"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xlii</w:t>
            </w:r>
          </w:p>
        </w:tc>
        <w:tc>
          <w:tcPr>
            <w:tcW w:w="8193" w:type="dxa"/>
            <w:tcBorders>
              <w:top w:val="nil"/>
              <w:left w:val="nil"/>
              <w:bottom w:val="nil"/>
              <w:right w:val="nil"/>
            </w:tcBorders>
            <w:shd w:val="clear" w:color="auto" w:fill="auto"/>
            <w:vAlign w:val="bottom"/>
            <w:hideMark/>
          </w:tcPr>
          <w:p w14:paraId="5BA6EBE6" w14:textId="3A1FABC0"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Households,Rest</w:t>
            </w:r>
            <w:proofErr w:type="spellEnd"/>
            <w:r w:rsidRPr="002E1B98">
              <w:rPr>
                <w:rFonts w:ascii="Times New Roman" w:hAnsi="Times New Roman" w:cs="Times New Roman"/>
                <w:color w:val="000000"/>
                <w:sz w:val="20"/>
                <w:szCs w:val="20"/>
              </w:rPr>
              <w:t xml:space="preserve"> of the world)…Rb026</w:t>
            </w:r>
          </w:p>
        </w:tc>
      </w:tr>
      <w:tr w:rsidR="002E1B98" w:rsidRPr="008A61A3" w14:paraId="287F070D" w14:textId="77777777" w:rsidTr="002E1B98">
        <w:trPr>
          <w:trHeight w:val="20"/>
        </w:trPr>
        <w:tc>
          <w:tcPr>
            <w:tcW w:w="897" w:type="dxa"/>
            <w:tcBorders>
              <w:top w:val="nil"/>
              <w:left w:val="nil"/>
              <w:bottom w:val="nil"/>
              <w:right w:val="nil"/>
            </w:tcBorders>
            <w:shd w:val="clear" w:color="auto" w:fill="auto"/>
            <w:noWrap/>
            <w:vAlign w:val="bottom"/>
            <w:hideMark/>
          </w:tcPr>
          <w:p w14:paraId="0A9D44D0"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4E658A7F" w14:textId="3E2F6D1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KBP6912J: External account of primary incomes and current transfers: Miscellaneous current transfers paid: </w:t>
            </w:r>
            <w:proofErr w:type="spellStart"/>
            <w:r w:rsidRPr="002E1B98">
              <w:rPr>
                <w:rFonts w:ascii="Times New Roman" w:hAnsi="Times New Roman" w:cs="Times New Roman"/>
                <w:color w:val="000000"/>
                <w:sz w:val="20"/>
                <w:szCs w:val="20"/>
              </w:rPr>
              <w:t>RoW</w:t>
            </w:r>
            <w:proofErr w:type="spellEnd"/>
            <w:r w:rsidRPr="002E1B98">
              <w:rPr>
                <w:rFonts w:ascii="Times New Roman" w:hAnsi="Times New Roman" w:cs="Times New Roman"/>
                <w:color w:val="000000"/>
                <w:sz w:val="20"/>
                <w:szCs w:val="20"/>
              </w:rPr>
              <w:t>. The distribution across household income classes is the same as for what households receive from enterprises (see xvi above.</w:t>
            </w:r>
          </w:p>
        </w:tc>
      </w:tr>
      <w:tr w:rsidR="002E1B98" w:rsidRPr="008A61A3" w14:paraId="620A77CB" w14:textId="77777777" w:rsidTr="002E1B98">
        <w:trPr>
          <w:trHeight w:val="20"/>
        </w:trPr>
        <w:tc>
          <w:tcPr>
            <w:tcW w:w="897" w:type="dxa"/>
            <w:tcBorders>
              <w:top w:val="nil"/>
              <w:left w:val="nil"/>
              <w:bottom w:val="nil"/>
              <w:right w:val="nil"/>
            </w:tcBorders>
            <w:shd w:val="clear" w:color="auto" w:fill="auto"/>
            <w:noWrap/>
            <w:vAlign w:val="bottom"/>
            <w:hideMark/>
          </w:tcPr>
          <w:p w14:paraId="2C3E3A31" w14:textId="0564FC2F"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xliii</w:t>
            </w:r>
          </w:p>
        </w:tc>
        <w:tc>
          <w:tcPr>
            <w:tcW w:w="8193" w:type="dxa"/>
            <w:tcBorders>
              <w:top w:val="nil"/>
              <w:left w:val="nil"/>
              <w:bottom w:val="nil"/>
              <w:right w:val="nil"/>
            </w:tcBorders>
            <w:shd w:val="clear" w:color="auto" w:fill="auto"/>
            <w:vAlign w:val="bottom"/>
            <w:hideMark/>
          </w:tcPr>
          <w:p w14:paraId="6A4B33AE" w14:textId="2E8A0CE1"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Government,Rest</w:t>
            </w:r>
            <w:proofErr w:type="spellEnd"/>
            <w:r w:rsidRPr="002E1B98">
              <w:rPr>
                <w:rFonts w:ascii="Times New Roman" w:hAnsi="Times New Roman" w:cs="Times New Roman"/>
                <w:color w:val="000000"/>
                <w:sz w:val="20"/>
                <w:szCs w:val="20"/>
              </w:rPr>
              <w:t xml:space="preserve"> of the world)…Rb001</w:t>
            </w:r>
          </w:p>
        </w:tc>
      </w:tr>
      <w:tr w:rsidR="002E1B98" w:rsidRPr="008A61A3" w14:paraId="52AA51FE" w14:textId="77777777" w:rsidTr="002E1B98">
        <w:trPr>
          <w:trHeight w:val="20"/>
        </w:trPr>
        <w:tc>
          <w:tcPr>
            <w:tcW w:w="897" w:type="dxa"/>
            <w:tcBorders>
              <w:top w:val="nil"/>
              <w:left w:val="nil"/>
              <w:bottom w:val="nil"/>
              <w:right w:val="nil"/>
            </w:tcBorders>
            <w:shd w:val="clear" w:color="auto" w:fill="auto"/>
            <w:noWrap/>
            <w:vAlign w:val="bottom"/>
            <w:hideMark/>
          </w:tcPr>
          <w:p w14:paraId="46A2A1EE"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682AF29D" w14:textId="49F644ED"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KBP6911J: External account of primary incomes and current transfers: Current international co-operation paid: </w:t>
            </w:r>
            <w:proofErr w:type="spellStart"/>
            <w:r w:rsidRPr="002E1B98">
              <w:rPr>
                <w:rFonts w:ascii="Times New Roman" w:hAnsi="Times New Roman" w:cs="Times New Roman"/>
                <w:color w:val="000000"/>
                <w:sz w:val="20"/>
                <w:szCs w:val="20"/>
              </w:rPr>
              <w:t>RoW</w:t>
            </w:r>
            <w:proofErr w:type="spellEnd"/>
            <w:r w:rsidRPr="002E1B98">
              <w:rPr>
                <w:rFonts w:ascii="Times New Roman" w:hAnsi="Times New Roman" w:cs="Times New Roman"/>
                <w:color w:val="000000"/>
                <w:sz w:val="20"/>
                <w:szCs w:val="20"/>
              </w:rPr>
              <w:t xml:space="preserve">. </w:t>
            </w:r>
          </w:p>
        </w:tc>
      </w:tr>
      <w:tr w:rsidR="002E1B98" w:rsidRPr="008A61A3" w14:paraId="6DF1753C" w14:textId="77777777" w:rsidTr="002E1B98">
        <w:trPr>
          <w:trHeight w:val="20"/>
        </w:trPr>
        <w:tc>
          <w:tcPr>
            <w:tcW w:w="897" w:type="dxa"/>
            <w:tcBorders>
              <w:top w:val="nil"/>
              <w:left w:val="nil"/>
              <w:bottom w:val="nil"/>
              <w:right w:val="nil"/>
            </w:tcBorders>
            <w:shd w:val="clear" w:color="auto" w:fill="auto"/>
            <w:noWrap/>
            <w:vAlign w:val="bottom"/>
            <w:hideMark/>
          </w:tcPr>
          <w:p w14:paraId="6B1858C2" w14:textId="47C9C53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xliv</w:t>
            </w:r>
          </w:p>
        </w:tc>
        <w:tc>
          <w:tcPr>
            <w:tcW w:w="8193" w:type="dxa"/>
            <w:tcBorders>
              <w:top w:val="nil"/>
              <w:left w:val="nil"/>
              <w:bottom w:val="nil"/>
              <w:right w:val="nil"/>
            </w:tcBorders>
            <w:shd w:val="clear" w:color="auto" w:fill="auto"/>
            <w:vAlign w:val="bottom"/>
            <w:hideMark/>
          </w:tcPr>
          <w:p w14:paraId="2012025D" w14:textId="50DFF87A"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w:t>
            </w:r>
            <w:proofErr w:type="spellStart"/>
            <w:r w:rsidRPr="002E1B98">
              <w:rPr>
                <w:rFonts w:ascii="Times New Roman" w:hAnsi="Times New Roman" w:cs="Times New Roman"/>
                <w:color w:val="000000"/>
                <w:sz w:val="20"/>
                <w:szCs w:val="20"/>
              </w:rPr>
              <w:t>Accumulation,Rest</w:t>
            </w:r>
            <w:proofErr w:type="spellEnd"/>
            <w:r w:rsidRPr="002E1B98">
              <w:rPr>
                <w:rFonts w:ascii="Times New Roman" w:hAnsi="Times New Roman" w:cs="Times New Roman"/>
                <w:color w:val="000000"/>
                <w:sz w:val="20"/>
                <w:szCs w:val="20"/>
              </w:rPr>
              <w:t xml:space="preserve"> of the world)…Rb153</w:t>
            </w:r>
          </w:p>
        </w:tc>
      </w:tr>
      <w:tr w:rsidR="002E1B98" w:rsidRPr="008A61A3" w14:paraId="2E636689" w14:textId="77777777" w:rsidTr="002E1B98">
        <w:trPr>
          <w:trHeight w:val="20"/>
        </w:trPr>
        <w:tc>
          <w:tcPr>
            <w:tcW w:w="897" w:type="dxa"/>
            <w:tcBorders>
              <w:top w:val="nil"/>
              <w:left w:val="nil"/>
              <w:bottom w:val="nil"/>
              <w:right w:val="nil"/>
            </w:tcBorders>
            <w:shd w:val="clear" w:color="auto" w:fill="auto"/>
            <w:noWrap/>
            <w:vAlign w:val="bottom"/>
            <w:hideMark/>
          </w:tcPr>
          <w:p w14:paraId="632B7BA0" w14:textId="77777777"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p>
        </w:tc>
        <w:tc>
          <w:tcPr>
            <w:tcW w:w="8193" w:type="dxa"/>
            <w:tcBorders>
              <w:top w:val="nil"/>
              <w:left w:val="nil"/>
              <w:bottom w:val="nil"/>
              <w:right w:val="nil"/>
            </w:tcBorders>
            <w:shd w:val="clear" w:color="auto" w:fill="auto"/>
            <w:vAlign w:val="bottom"/>
            <w:hideMark/>
          </w:tcPr>
          <w:p w14:paraId="16329AA5" w14:textId="75B0B074" w:rsidR="002E1B98" w:rsidRPr="002E1B98" w:rsidRDefault="002E1B98" w:rsidP="002E1B98">
            <w:pPr>
              <w:spacing w:after="0" w:line="240" w:lineRule="auto"/>
              <w:rPr>
                <w:rFonts w:ascii="Times New Roman" w:eastAsia="Times New Roman" w:hAnsi="Times New Roman" w:cs="Times New Roman"/>
                <w:color w:val="000000"/>
                <w:sz w:val="24"/>
                <w:szCs w:val="24"/>
                <w:lang w:eastAsia="en-NZ"/>
              </w:rPr>
            </w:pPr>
            <w:r w:rsidRPr="002E1B98">
              <w:rPr>
                <w:rFonts w:ascii="Times New Roman" w:hAnsi="Times New Roman" w:cs="Times New Roman"/>
                <w:color w:val="000000"/>
                <w:sz w:val="20"/>
                <w:szCs w:val="20"/>
              </w:rPr>
              <w:t xml:space="preserve">KBP6913J: External account of primary incomes and current transfers: Current external balance: </w:t>
            </w:r>
            <w:proofErr w:type="spellStart"/>
            <w:r w:rsidRPr="002E1B98">
              <w:rPr>
                <w:rFonts w:ascii="Times New Roman" w:hAnsi="Times New Roman" w:cs="Times New Roman"/>
                <w:color w:val="000000"/>
                <w:sz w:val="20"/>
                <w:szCs w:val="20"/>
              </w:rPr>
              <w:t>RoW</w:t>
            </w:r>
            <w:proofErr w:type="spellEnd"/>
            <w:r w:rsidRPr="002E1B98">
              <w:rPr>
                <w:rFonts w:ascii="Times New Roman" w:hAnsi="Times New Roman" w:cs="Times New Roman"/>
                <w:color w:val="000000"/>
                <w:sz w:val="20"/>
                <w:szCs w:val="20"/>
              </w:rPr>
              <w:t xml:space="preserve">. </w:t>
            </w:r>
          </w:p>
        </w:tc>
      </w:tr>
    </w:tbl>
    <w:p w14:paraId="1B021BCE" w14:textId="77777777" w:rsidR="008A61A3" w:rsidRPr="00136B78" w:rsidRDefault="008A61A3" w:rsidP="002710F9">
      <w:pPr>
        <w:rPr>
          <w:rFonts w:ascii="Times New Roman" w:hAnsi="Times New Roman" w:cs="Times New Roman"/>
          <w:sz w:val="24"/>
          <w:szCs w:val="24"/>
        </w:rPr>
      </w:pPr>
    </w:p>
    <w:p w14:paraId="36C8FC4A" w14:textId="77777777" w:rsidR="008059D8" w:rsidRPr="00136B78" w:rsidRDefault="008059D8" w:rsidP="002710F9">
      <w:pPr>
        <w:rPr>
          <w:rFonts w:ascii="Times New Roman" w:hAnsi="Times New Roman" w:cs="Times New Roman"/>
          <w:sz w:val="24"/>
          <w:szCs w:val="24"/>
        </w:rPr>
      </w:pPr>
    </w:p>
    <w:p w14:paraId="29073F50" w14:textId="77777777" w:rsidR="00430798" w:rsidRPr="00136B78" w:rsidRDefault="00136B78" w:rsidP="00430798">
      <w:pPr>
        <w:pStyle w:val="Heading1"/>
        <w:jc w:val="center"/>
        <w:rPr>
          <w:sz w:val="28"/>
        </w:rPr>
      </w:pPr>
      <w:bookmarkStart w:id="2" w:name="_Toc512114416"/>
      <w:r w:rsidRPr="00136B78">
        <w:rPr>
          <w:sz w:val="28"/>
        </w:rPr>
        <w:t>4. Balancing the P</w:t>
      </w:r>
      <w:r w:rsidR="00430798" w:rsidRPr="00136B78">
        <w:rPr>
          <w:sz w:val="28"/>
        </w:rPr>
        <w:t>rior SAM</w:t>
      </w:r>
      <w:bookmarkEnd w:id="2"/>
    </w:p>
    <w:p w14:paraId="16149CAF" w14:textId="3A642337" w:rsidR="00BD11D0" w:rsidRDefault="00430798" w:rsidP="00BD11D0">
      <w:pPr>
        <w:jc w:val="both"/>
        <w:rPr>
          <w:rFonts w:ascii="Times New Roman" w:hAnsi="Times New Roman" w:cs="Times New Roman"/>
          <w:sz w:val="24"/>
          <w:szCs w:val="24"/>
        </w:rPr>
      </w:pPr>
      <w:r w:rsidRPr="00136B78">
        <w:rPr>
          <w:rFonts w:ascii="Times New Roman" w:hAnsi="Times New Roman" w:cs="Times New Roman"/>
          <w:sz w:val="24"/>
          <w:szCs w:val="24"/>
        </w:rPr>
        <w:t xml:space="preserve">The range of datasets used to construct the SAM </w:t>
      </w:r>
      <w:r w:rsidR="004858EA">
        <w:rPr>
          <w:rFonts w:ascii="Times New Roman" w:hAnsi="Times New Roman" w:cs="Times New Roman"/>
          <w:sz w:val="24"/>
          <w:szCs w:val="24"/>
        </w:rPr>
        <w:t xml:space="preserve">described in the previous section </w:t>
      </w:r>
      <w:r w:rsidR="00BD11D0">
        <w:rPr>
          <w:rFonts w:ascii="Times New Roman" w:hAnsi="Times New Roman" w:cs="Times New Roman"/>
          <w:sz w:val="24"/>
          <w:szCs w:val="24"/>
        </w:rPr>
        <w:t>suggests</w:t>
      </w:r>
      <w:r w:rsidR="00E278F7" w:rsidRPr="00136B78">
        <w:rPr>
          <w:rFonts w:ascii="Times New Roman" w:hAnsi="Times New Roman" w:cs="Times New Roman"/>
          <w:sz w:val="24"/>
          <w:szCs w:val="24"/>
        </w:rPr>
        <w:t xml:space="preserve"> </w:t>
      </w:r>
      <w:r w:rsidRPr="00136B78">
        <w:rPr>
          <w:rFonts w:ascii="Times New Roman" w:hAnsi="Times New Roman" w:cs="Times New Roman"/>
          <w:sz w:val="24"/>
          <w:szCs w:val="24"/>
        </w:rPr>
        <w:t xml:space="preserve">that there will </w:t>
      </w:r>
      <w:r w:rsidR="00BD11D0">
        <w:rPr>
          <w:rFonts w:ascii="Times New Roman" w:hAnsi="Times New Roman" w:cs="Times New Roman"/>
          <w:sz w:val="24"/>
          <w:szCs w:val="24"/>
        </w:rPr>
        <w:t>may</w:t>
      </w:r>
      <w:r w:rsidRPr="00136B78">
        <w:rPr>
          <w:rFonts w:ascii="Times New Roman" w:hAnsi="Times New Roman" w:cs="Times New Roman"/>
          <w:sz w:val="24"/>
          <w:szCs w:val="24"/>
        </w:rPr>
        <w:t xml:space="preserve"> be imbalances (i.e., row and column totals are unequal). </w:t>
      </w:r>
      <w:r w:rsidR="008A61A3">
        <w:rPr>
          <w:rFonts w:ascii="Times New Roman" w:hAnsi="Times New Roman" w:cs="Times New Roman"/>
          <w:sz w:val="24"/>
          <w:szCs w:val="24"/>
        </w:rPr>
        <w:t xml:space="preserve">The reason is that 2017 SUT data is matched to 2019 NA data. </w:t>
      </w:r>
      <w:r w:rsidR="007E598D">
        <w:rPr>
          <w:rFonts w:ascii="Times New Roman" w:hAnsi="Times New Roman" w:cs="Times New Roman"/>
          <w:sz w:val="24"/>
          <w:szCs w:val="24"/>
        </w:rPr>
        <w:t xml:space="preserve">Balancing is achieved by means of the cross </w:t>
      </w:r>
      <w:r w:rsidR="000163F5">
        <w:rPr>
          <w:rFonts w:ascii="Times New Roman" w:hAnsi="Times New Roman" w:cs="Times New Roman"/>
          <w:sz w:val="24"/>
          <w:szCs w:val="24"/>
        </w:rPr>
        <w:t>entropy approach as described by Robinson, et al (1998).</w:t>
      </w:r>
    </w:p>
    <w:p w14:paraId="04A75C81" w14:textId="46B5116E" w:rsidR="00D01643" w:rsidRDefault="00D01643" w:rsidP="00D01643">
      <w:pPr>
        <w:jc w:val="both"/>
        <w:rPr>
          <w:rFonts w:ascii="Times New Roman" w:hAnsi="Times New Roman" w:cs="Times New Roman"/>
          <w:sz w:val="24"/>
          <w:szCs w:val="24"/>
        </w:rPr>
      </w:pPr>
      <w:r w:rsidRPr="00A73DAA">
        <w:rPr>
          <w:rFonts w:ascii="Times New Roman" w:hAnsi="Times New Roman" w:cs="Times New Roman"/>
          <w:sz w:val="24"/>
          <w:szCs w:val="24"/>
        </w:rPr>
        <w:t xml:space="preserve">After balancing the </w:t>
      </w:r>
      <w:r w:rsidR="0013438C" w:rsidRPr="00A73DAA">
        <w:rPr>
          <w:rFonts w:ascii="Times New Roman" w:hAnsi="Times New Roman" w:cs="Times New Roman"/>
          <w:sz w:val="24"/>
          <w:szCs w:val="24"/>
        </w:rPr>
        <w:t>SUT</w:t>
      </w:r>
      <w:r w:rsidRPr="00A73DAA">
        <w:rPr>
          <w:rFonts w:ascii="Times New Roman" w:hAnsi="Times New Roman" w:cs="Times New Roman"/>
          <w:sz w:val="24"/>
          <w:szCs w:val="24"/>
        </w:rPr>
        <w:t xml:space="preserve">SAM, it was disaggregated across </w:t>
      </w:r>
      <w:r w:rsidR="00A36483" w:rsidRPr="00A73DAA">
        <w:rPr>
          <w:rFonts w:ascii="Times New Roman" w:hAnsi="Times New Roman" w:cs="Times New Roman"/>
          <w:sz w:val="24"/>
          <w:szCs w:val="24"/>
        </w:rPr>
        <w:t xml:space="preserve">labour </w:t>
      </w:r>
      <w:r w:rsidRPr="00A73DAA">
        <w:rPr>
          <w:rFonts w:ascii="Times New Roman" w:hAnsi="Times New Roman" w:cs="Times New Roman"/>
          <w:sz w:val="24"/>
          <w:szCs w:val="24"/>
        </w:rPr>
        <w:t>and households</w:t>
      </w:r>
      <w:r w:rsidR="00A73DAA" w:rsidRPr="00A73DAA">
        <w:rPr>
          <w:rFonts w:ascii="Times New Roman" w:hAnsi="Times New Roman" w:cs="Times New Roman"/>
          <w:sz w:val="24"/>
          <w:szCs w:val="24"/>
        </w:rPr>
        <w:t xml:space="preserve"> using the 201</w:t>
      </w:r>
      <w:r w:rsidR="000163F5">
        <w:rPr>
          <w:rFonts w:ascii="Times New Roman" w:hAnsi="Times New Roman" w:cs="Times New Roman"/>
          <w:sz w:val="24"/>
          <w:szCs w:val="24"/>
        </w:rPr>
        <w:t>8</w:t>
      </w:r>
      <w:r w:rsidR="00A73DAA" w:rsidRPr="00A73DAA">
        <w:rPr>
          <w:rFonts w:ascii="Times New Roman" w:hAnsi="Times New Roman" w:cs="Times New Roman"/>
          <w:sz w:val="24"/>
          <w:szCs w:val="24"/>
        </w:rPr>
        <w:t xml:space="preserve"> LMD data (</w:t>
      </w:r>
      <w:proofErr w:type="spellStart"/>
      <w:r w:rsidR="00A73DAA" w:rsidRPr="00A73DAA">
        <w:rPr>
          <w:rFonts w:ascii="Times New Roman" w:hAnsi="Times New Roman" w:cs="Times New Roman"/>
          <w:sz w:val="24"/>
          <w:szCs w:val="24"/>
        </w:rPr>
        <w:t>StatsSA</w:t>
      </w:r>
      <w:proofErr w:type="spellEnd"/>
      <w:r w:rsidR="00A73DAA" w:rsidRPr="00A73DAA">
        <w:rPr>
          <w:rFonts w:ascii="Times New Roman" w:hAnsi="Times New Roman" w:cs="Times New Roman"/>
          <w:sz w:val="24"/>
          <w:szCs w:val="24"/>
        </w:rPr>
        <w:t>, 20</w:t>
      </w:r>
      <w:r w:rsidR="007B5B84">
        <w:rPr>
          <w:rFonts w:ascii="Times New Roman" w:hAnsi="Times New Roman" w:cs="Times New Roman"/>
          <w:sz w:val="24"/>
          <w:szCs w:val="24"/>
        </w:rPr>
        <w:t>20a</w:t>
      </w:r>
      <w:r w:rsidR="00A73DAA" w:rsidRPr="00A73DAA">
        <w:rPr>
          <w:rFonts w:ascii="Times New Roman" w:hAnsi="Times New Roman" w:cs="Times New Roman"/>
          <w:sz w:val="24"/>
          <w:szCs w:val="24"/>
        </w:rPr>
        <w:t xml:space="preserve">) and the </w:t>
      </w:r>
      <w:r w:rsidR="00A73DAA" w:rsidRPr="00A73DAA">
        <w:rPr>
          <w:rFonts w:ascii="Times New Roman" w:eastAsia="Times New Roman" w:hAnsi="Times New Roman" w:cs="Times New Roman"/>
          <w:color w:val="000000"/>
          <w:sz w:val="24"/>
          <w:szCs w:val="24"/>
          <w:lang w:eastAsia="en-NZ"/>
        </w:rPr>
        <w:t>LCS data for 2014/15 (</w:t>
      </w:r>
      <w:proofErr w:type="spellStart"/>
      <w:r w:rsidR="00A73DAA" w:rsidRPr="00A73DAA">
        <w:rPr>
          <w:rFonts w:ascii="Times New Roman" w:eastAsia="Times New Roman" w:hAnsi="Times New Roman" w:cs="Times New Roman"/>
          <w:color w:val="000000"/>
          <w:sz w:val="24"/>
          <w:szCs w:val="24"/>
          <w:lang w:eastAsia="en-NZ"/>
        </w:rPr>
        <w:t>StatsSA</w:t>
      </w:r>
      <w:proofErr w:type="spellEnd"/>
      <w:r w:rsidR="00A73DAA" w:rsidRPr="00A73DAA">
        <w:rPr>
          <w:rFonts w:ascii="Times New Roman" w:eastAsia="Times New Roman" w:hAnsi="Times New Roman" w:cs="Times New Roman"/>
          <w:color w:val="000000"/>
          <w:sz w:val="24"/>
          <w:szCs w:val="24"/>
          <w:lang w:eastAsia="en-NZ"/>
        </w:rPr>
        <w:t xml:space="preserve">, 2017) </w:t>
      </w:r>
      <w:r w:rsidR="00A73DAA" w:rsidRPr="00A73DAA">
        <w:rPr>
          <w:rFonts w:ascii="Times New Roman" w:hAnsi="Times New Roman" w:cs="Times New Roman"/>
          <w:sz w:val="24"/>
          <w:szCs w:val="24"/>
        </w:rPr>
        <w:t>survey data</w:t>
      </w:r>
      <w:r w:rsidRPr="00A73DAA">
        <w:rPr>
          <w:rFonts w:ascii="Times New Roman" w:hAnsi="Times New Roman" w:cs="Times New Roman"/>
          <w:sz w:val="24"/>
          <w:szCs w:val="24"/>
        </w:rPr>
        <w:t xml:space="preserve">. Since the </w:t>
      </w:r>
      <w:r w:rsidR="0013438C" w:rsidRPr="00A73DAA">
        <w:rPr>
          <w:rFonts w:ascii="Times New Roman" w:hAnsi="Times New Roman" w:cs="Times New Roman"/>
          <w:sz w:val="24"/>
          <w:szCs w:val="24"/>
        </w:rPr>
        <w:t>SUT</w:t>
      </w:r>
      <w:r w:rsidRPr="00A73DAA">
        <w:rPr>
          <w:rFonts w:ascii="Times New Roman" w:hAnsi="Times New Roman" w:cs="Times New Roman"/>
          <w:sz w:val="24"/>
          <w:szCs w:val="24"/>
        </w:rPr>
        <w:t xml:space="preserve">SAM is balanced, this </w:t>
      </w:r>
      <w:r w:rsidR="006F4ABE" w:rsidRPr="00A73DAA">
        <w:rPr>
          <w:rFonts w:ascii="Times New Roman" w:hAnsi="Times New Roman" w:cs="Times New Roman"/>
          <w:sz w:val="24"/>
          <w:szCs w:val="24"/>
        </w:rPr>
        <w:t xml:space="preserve">can be set up such that this </w:t>
      </w:r>
      <w:r w:rsidRPr="00A73DAA">
        <w:rPr>
          <w:rFonts w:ascii="Times New Roman" w:hAnsi="Times New Roman" w:cs="Times New Roman"/>
          <w:sz w:val="24"/>
          <w:szCs w:val="24"/>
        </w:rPr>
        <w:t xml:space="preserve">results in imbalances for the household accounts only. </w:t>
      </w:r>
      <w:r w:rsidR="006F4ABE" w:rsidRPr="00A73DAA">
        <w:rPr>
          <w:rFonts w:ascii="Times New Roman" w:hAnsi="Times New Roman" w:cs="Times New Roman"/>
          <w:sz w:val="24"/>
          <w:szCs w:val="24"/>
        </w:rPr>
        <w:t xml:space="preserve">We do this by first disaggregating wages and salaries for each activity by education attainment using the </w:t>
      </w:r>
      <w:r w:rsidR="004B437D" w:rsidRPr="00A73DAA">
        <w:rPr>
          <w:rFonts w:ascii="Times New Roman" w:hAnsi="Times New Roman" w:cs="Times New Roman"/>
          <w:sz w:val="24"/>
          <w:szCs w:val="24"/>
        </w:rPr>
        <w:t>201</w:t>
      </w:r>
      <w:r w:rsidR="000163F5">
        <w:rPr>
          <w:rFonts w:ascii="Times New Roman" w:hAnsi="Times New Roman" w:cs="Times New Roman"/>
          <w:sz w:val="24"/>
          <w:szCs w:val="24"/>
        </w:rPr>
        <w:t>8</w:t>
      </w:r>
      <w:r w:rsidR="004B437D" w:rsidRPr="00A73DAA">
        <w:rPr>
          <w:rFonts w:ascii="Times New Roman" w:hAnsi="Times New Roman" w:cs="Times New Roman"/>
          <w:sz w:val="24"/>
          <w:szCs w:val="24"/>
        </w:rPr>
        <w:t xml:space="preserve"> </w:t>
      </w:r>
      <w:r w:rsidR="006F4ABE" w:rsidRPr="00A73DAA">
        <w:rPr>
          <w:rFonts w:ascii="Times New Roman" w:hAnsi="Times New Roman" w:cs="Times New Roman"/>
          <w:sz w:val="24"/>
          <w:szCs w:val="24"/>
        </w:rPr>
        <w:t>LMD</w:t>
      </w:r>
      <w:r w:rsidR="004B437D" w:rsidRPr="00A73DAA">
        <w:rPr>
          <w:rFonts w:ascii="Times New Roman" w:hAnsi="Times New Roman" w:cs="Times New Roman"/>
          <w:sz w:val="24"/>
          <w:szCs w:val="24"/>
        </w:rPr>
        <w:t xml:space="preserve"> data</w:t>
      </w:r>
      <w:r w:rsidR="002B16A9" w:rsidRPr="00A73DAA">
        <w:rPr>
          <w:rFonts w:ascii="Times New Roman" w:hAnsi="Times New Roman" w:cs="Times New Roman"/>
          <w:sz w:val="24"/>
          <w:szCs w:val="24"/>
        </w:rPr>
        <w:t xml:space="preserve"> (</w:t>
      </w:r>
      <w:proofErr w:type="spellStart"/>
      <w:r w:rsidR="002B16A9" w:rsidRPr="00A73DAA">
        <w:rPr>
          <w:rFonts w:ascii="Times New Roman" w:hAnsi="Times New Roman" w:cs="Times New Roman"/>
          <w:sz w:val="24"/>
          <w:szCs w:val="24"/>
        </w:rPr>
        <w:t>StatsSA</w:t>
      </w:r>
      <w:proofErr w:type="spellEnd"/>
      <w:r w:rsidR="002B16A9" w:rsidRPr="00A73DAA">
        <w:rPr>
          <w:rFonts w:ascii="Times New Roman" w:hAnsi="Times New Roman" w:cs="Times New Roman"/>
          <w:sz w:val="24"/>
          <w:szCs w:val="24"/>
        </w:rPr>
        <w:t>, 20</w:t>
      </w:r>
      <w:r w:rsidR="000163F5">
        <w:rPr>
          <w:rFonts w:ascii="Times New Roman" w:hAnsi="Times New Roman" w:cs="Times New Roman"/>
          <w:sz w:val="24"/>
          <w:szCs w:val="24"/>
        </w:rPr>
        <w:t>20a</w:t>
      </w:r>
      <w:r w:rsidR="002B16A9" w:rsidRPr="00A73DAA">
        <w:rPr>
          <w:rFonts w:ascii="Times New Roman" w:hAnsi="Times New Roman" w:cs="Times New Roman"/>
          <w:sz w:val="24"/>
          <w:szCs w:val="24"/>
        </w:rPr>
        <w:t>)</w:t>
      </w:r>
      <w:r w:rsidR="006F4ABE" w:rsidRPr="00A73DAA">
        <w:rPr>
          <w:rFonts w:ascii="Times New Roman" w:hAnsi="Times New Roman" w:cs="Times New Roman"/>
          <w:sz w:val="24"/>
          <w:szCs w:val="24"/>
        </w:rPr>
        <w:t>. Summing across activities results in total labour income for each education attainment</w:t>
      </w:r>
      <w:r w:rsidR="00A73DAA">
        <w:rPr>
          <w:rFonts w:ascii="Times New Roman" w:hAnsi="Times New Roman" w:cs="Times New Roman"/>
          <w:sz w:val="24"/>
          <w:szCs w:val="24"/>
        </w:rPr>
        <w:t xml:space="preserve"> group</w:t>
      </w:r>
      <w:r w:rsidR="006F4ABE" w:rsidRPr="00A73DAA">
        <w:rPr>
          <w:rFonts w:ascii="Times New Roman" w:hAnsi="Times New Roman" w:cs="Times New Roman"/>
          <w:sz w:val="24"/>
          <w:szCs w:val="24"/>
        </w:rPr>
        <w:t xml:space="preserve">. We then disaggregate household expenditure for each commodity and </w:t>
      </w:r>
      <w:r w:rsidR="00A36483" w:rsidRPr="00A73DAA">
        <w:rPr>
          <w:rFonts w:ascii="Times New Roman" w:hAnsi="Times New Roman" w:cs="Times New Roman"/>
          <w:sz w:val="24"/>
          <w:szCs w:val="24"/>
        </w:rPr>
        <w:t xml:space="preserve">for </w:t>
      </w:r>
      <w:r w:rsidR="004B437D" w:rsidRPr="00A73DAA">
        <w:rPr>
          <w:rFonts w:ascii="Times New Roman" w:hAnsi="Times New Roman" w:cs="Times New Roman"/>
          <w:sz w:val="24"/>
          <w:szCs w:val="24"/>
        </w:rPr>
        <w:t xml:space="preserve">each of the </w:t>
      </w:r>
      <w:r w:rsidR="006F4ABE" w:rsidRPr="00A73DAA">
        <w:rPr>
          <w:rFonts w:ascii="Times New Roman" w:hAnsi="Times New Roman" w:cs="Times New Roman"/>
          <w:sz w:val="24"/>
          <w:szCs w:val="24"/>
        </w:rPr>
        <w:t xml:space="preserve">other outlays across household income groups using the </w:t>
      </w:r>
      <w:r w:rsidR="009A7D13" w:rsidRPr="00A73DAA">
        <w:rPr>
          <w:rFonts w:ascii="Times New Roman" w:eastAsia="Times New Roman" w:hAnsi="Times New Roman" w:cs="Times New Roman"/>
          <w:color w:val="000000"/>
          <w:sz w:val="24"/>
          <w:szCs w:val="24"/>
          <w:lang w:eastAsia="en-NZ"/>
        </w:rPr>
        <w:t>LCS data for 2014/15 (</w:t>
      </w:r>
      <w:proofErr w:type="spellStart"/>
      <w:r w:rsidR="009A7D13" w:rsidRPr="00A73DAA">
        <w:rPr>
          <w:rFonts w:ascii="Times New Roman" w:eastAsia="Times New Roman" w:hAnsi="Times New Roman" w:cs="Times New Roman"/>
          <w:color w:val="000000"/>
          <w:sz w:val="24"/>
          <w:szCs w:val="24"/>
          <w:lang w:eastAsia="en-NZ"/>
        </w:rPr>
        <w:t>StatsSA</w:t>
      </w:r>
      <w:proofErr w:type="spellEnd"/>
      <w:r w:rsidR="009A7D13" w:rsidRPr="00A73DAA">
        <w:rPr>
          <w:rFonts w:ascii="Times New Roman" w:eastAsia="Times New Roman" w:hAnsi="Times New Roman" w:cs="Times New Roman"/>
          <w:color w:val="000000"/>
          <w:sz w:val="24"/>
          <w:szCs w:val="24"/>
          <w:lang w:eastAsia="en-NZ"/>
        </w:rPr>
        <w:t>, 20</w:t>
      </w:r>
      <w:r w:rsidR="007B5B84">
        <w:rPr>
          <w:rFonts w:ascii="Times New Roman" w:eastAsia="Times New Roman" w:hAnsi="Times New Roman" w:cs="Times New Roman"/>
          <w:color w:val="000000"/>
          <w:sz w:val="24"/>
          <w:szCs w:val="24"/>
          <w:lang w:eastAsia="en-NZ"/>
        </w:rPr>
        <w:t>20</w:t>
      </w:r>
      <w:r w:rsidR="009A7D13" w:rsidRPr="00A73DAA">
        <w:rPr>
          <w:rFonts w:ascii="Times New Roman" w:eastAsia="Times New Roman" w:hAnsi="Times New Roman" w:cs="Times New Roman"/>
          <w:color w:val="000000"/>
          <w:sz w:val="24"/>
          <w:szCs w:val="24"/>
          <w:lang w:eastAsia="en-NZ"/>
        </w:rPr>
        <w:t xml:space="preserve">) </w:t>
      </w:r>
      <w:r w:rsidR="004B437D" w:rsidRPr="00A73DAA">
        <w:rPr>
          <w:rFonts w:ascii="Times New Roman" w:hAnsi="Times New Roman" w:cs="Times New Roman"/>
          <w:sz w:val="24"/>
          <w:szCs w:val="24"/>
        </w:rPr>
        <w:t xml:space="preserve">survey data </w:t>
      </w:r>
      <w:r w:rsidR="006F4ABE" w:rsidRPr="00A73DAA">
        <w:rPr>
          <w:rFonts w:ascii="Times New Roman" w:hAnsi="Times New Roman" w:cs="Times New Roman"/>
          <w:sz w:val="24"/>
          <w:szCs w:val="24"/>
        </w:rPr>
        <w:t>. Summing across all commodities and other types of outlays</w:t>
      </w:r>
      <w:r w:rsidR="004B437D" w:rsidRPr="00A73DAA">
        <w:rPr>
          <w:rFonts w:ascii="Times New Roman" w:hAnsi="Times New Roman" w:cs="Times New Roman"/>
          <w:sz w:val="24"/>
          <w:szCs w:val="24"/>
        </w:rPr>
        <w:t>,</w:t>
      </w:r>
      <w:r w:rsidR="006F4ABE" w:rsidRPr="00A73DAA">
        <w:rPr>
          <w:rFonts w:ascii="Times New Roman" w:hAnsi="Times New Roman" w:cs="Times New Roman"/>
          <w:sz w:val="24"/>
          <w:szCs w:val="24"/>
        </w:rPr>
        <w:t xml:space="preserve"> yields total household outlays for each household income </w:t>
      </w:r>
      <w:r w:rsidR="00A36483" w:rsidRPr="00A73DAA">
        <w:rPr>
          <w:rFonts w:ascii="Times New Roman" w:hAnsi="Times New Roman" w:cs="Times New Roman"/>
          <w:sz w:val="24"/>
          <w:szCs w:val="24"/>
        </w:rPr>
        <w:t xml:space="preserve">group. Since total households outlays must equal total household income for each household income group we use the former </w:t>
      </w:r>
      <w:r w:rsidR="004B437D" w:rsidRPr="00A73DAA">
        <w:rPr>
          <w:rFonts w:ascii="Times New Roman" w:hAnsi="Times New Roman" w:cs="Times New Roman"/>
          <w:sz w:val="24"/>
          <w:szCs w:val="24"/>
        </w:rPr>
        <w:t xml:space="preserve">as </w:t>
      </w:r>
      <w:r w:rsidR="00A36483" w:rsidRPr="00A73DAA">
        <w:rPr>
          <w:rFonts w:ascii="Times New Roman" w:hAnsi="Times New Roman" w:cs="Times New Roman"/>
          <w:sz w:val="24"/>
          <w:szCs w:val="24"/>
        </w:rPr>
        <w:t xml:space="preserve">our benchmark </w:t>
      </w:r>
      <w:r w:rsidR="00E278F7" w:rsidRPr="00A73DAA">
        <w:rPr>
          <w:rFonts w:ascii="Times New Roman" w:hAnsi="Times New Roman" w:cs="Times New Roman"/>
          <w:sz w:val="24"/>
          <w:szCs w:val="24"/>
        </w:rPr>
        <w:t>for</w:t>
      </w:r>
      <w:r w:rsidR="00A36483" w:rsidRPr="00A73DAA">
        <w:rPr>
          <w:rFonts w:ascii="Times New Roman" w:hAnsi="Times New Roman" w:cs="Times New Roman"/>
          <w:sz w:val="24"/>
          <w:szCs w:val="24"/>
        </w:rPr>
        <w:t xml:space="preserve"> the latter. Initial shares of household income by sources (wages &amp; salaries by educational attainment, capital income, dividends and various transfers</w:t>
      </w:r>
      <w:r w:rsidR="004B437D" w:rsidRPr="00A73DAA">
        <w:rPr>
          <w:rFonts w:ascii="Times New Roman" w:hAnsi="Times New Roman" w:cs="Times New Roman"/>
          <w:sz w:val="24"/>
          <w:szCs w:val="24"/>
        </w:rPr>
        <w:t>)</w:t>
      </w:r>
      <w:r w:rsidR="00A36483" w:rsidRPr="00A73DAA">
        <w:rPr>
          <w:rFonts w:ascii="Times New Roman" w:hAnsi="Times New Roman" w:cs="Times New Roman"/>
          <w:sz w:val="24"/>
          <w:szCs w:val="24"/>
        </w:rPr>
        <w:t xml:space="preserve"> are obtained from the </w:t>
      </w:r>
      <w:r w:rsidR="009A7D13" w:rsidRPr="00A73DAA">
        <w:rPr>
          <w:rFonts w:ascii="Times New Roman" w:eastAsia="Times New Roman" w:hAnsi="Times New Roman" w:cs="Times New Roman"/>
          <w:color w:val="000000"/>
          <w:sz w:val="24"/>
          <w:szCs w:val="24"/>
          <w:lang w:eastAsia="en-NZ"/>
        </w:rPr>
        <w:t>LCS data for 2014/15 (</w:t>
      </w:r>
      <w:proofErr w:type="spellStart"/>
      <w:r w:rsidR="009A7D13" w:rsidRPr="00A73DAA">
        <w:rPr>
          <w:rFonts w:ascii="Times New Roman" w:eastAsia="Times New Roman" w:hAnsi="Times New Roman" w:cs="Times New Roman"/>
          <w:color w:val="000000"/>
          <w:sz w:val="24"/>
          <w:szCs w:val="24"/>
          <w:lang w:eastAsia="en-NZ"/>
        </w:rPr>
        <w:t>StatsSA</w:t>
      </w:r>
      <w:proofErr w:type="spellEnd"/>
      <w:r w:rsidR="009A7D13" w:rsidRPr="00A73DAA">
        <w:rPr>
          <w:rFonts w:ascii="Times New Roman" w:eastAsia="Times New Roman" w:hAnsi="Times New Roman" w:cs="Times New Roman"/>
          <w:color w:val="000000"/>
          <w:sz w:val="24"/>
          <w:szCs w:val="24"/>
          <w:lang w:eastAsia="en-NZ"/>
        </w:rPr>
        <w:t>, 20</w:t>
      </w:r>
      <w:r w:rsidR="007B5B84">
        <w:rPr>
          <w:rFonts w:ascii="Times New Roman" w:eastAsia="Times New Roman" w:hAnsi="Times New Roman" w:cs="Times New Roman"/>
          <w:color w:val="000000"/>
          <w:sz w:val="24"/>
          <w:szCs w:val="24"/>
          <w:lang w:eastAsia="en-NZ"/>
        </w:rPr>
        <w:t>20</w:t>
      </w:r>
      <w:r w:rsidR="009A7D13" w:rsidRPr="00A73DAA">
        <w:rPr>
          <w:rFonts w:ascii="Times New Roman" w:eastAsia="Times New Roman" w:hAnsi="Times New Roman" w:cs="Times New Roman"/>
          <w:color w:val="000000"/>
          <w:sz w:val="24"/>
          <w:szCs w:val="24"/>
          <w:lang w:eastAsia="en-NZ"/>
        </w:rPr>
        <w:t>)</w:t>
      </w:r>
      <w:r w:rsidR="00A36483" w:rsidRPr="00A73DAA">
        <w:rPr>
          <w:rFonts w:ascii="Times New Roman" w:hAnsi="Times New Roman" w:cs="Times New Roman"/>
          <w:sz w:val="24"/>
          <w:szCs w:val="24"/>
        </w:rPr>
        <w:t>. These shares are then applied to the total outlays of each household income group. Finally, t</w:t>
      </w:r>
      <w:r w:rsidRPr="00A73DAA">
        <w:rPr>
          <w:rFonts w:ascii="Times New Roman" w:hAnsi="Times New Roman" w:cs="Times New Roman"/>
          <w:sz w:val="24"/>
          <w:szCs w:val="24"/>
        </w:rPr>
        <w:t xml:space="preserve">he household accounts were balanced using the </w:t>
      </w:r>
      <w:proofErr w:type="spellStart"/>
      <w:r w:rsidRPr="00A73DAA">
        <w:rPr>
          <w:rFonts w:ascii="Times New Roman" w:hAnsi="Times New Roman" w:cs="Times New Roman"/>
          <w:sz w:val="24"/>
          <w:szCs w:val="24"/>
        </w:rPr>
        <w:t>biproportional</w:t>
      </w:r>
      <w:proofErr w:type="spellEnd"/>
      <w:r w:rsidRPr="00A73DAA">
        <w:rPr>
          <w:rFonts w:ascii="Times New Roman" w:hAnsi="Times New Roman" w:cs="Times New Roman"/>
          <w:sz w:val="24"/>
          <w:szCs w:val="24"/>
        </w:rPr>
        <w:t xml:space="preserve"> scaling method, also known as RAS while holding all other non-household-related entries of the </w:t>
      </w:r>
      <w:r w:rsidR="0013438C" w:rsidRPr="00A73DAA">
        <w:rPr>
          <w:rFonts w:ascii="Times New Roman" w:hAnsi="Times New Roman" w:cs="Times New Roman"/>
          <w:sz w:val="24"/>
          <w:szCs w:val="24"/>
        </w:rPr>
        <w:t>SUT</w:t>
      </w:r>
      <w:r w:rsidRPr="00A73DAA">
        <w:rPr>
          <w:rFonts w:ascii="Times New Roman" w:hAnsi="Times New Roman" w:cs="Times New Roman"/>
          <w:sz w:val="24"/>
          <w:szCs w:val="24"/>
        </w:rPr>
        <w:t xml:space="preserve">SAM constant. </w:t>
      </w:r>
      <w:r w:rsidR="004B437D" w:rsidRPr="00A73DAA">
        <w:rPr>
          <w:rFonts w:ascii="Times New Roman" w:hAnsi="Times New Roman" w:cs="Times New Roman"/>
          <w:sz w:val="24"/>
          <w:szCs w:val="24"/>
        </w:rPr>
        <w:t>The result is a fully disaggregated micro SAM with detailed labour and household categories</w:t>
      </w:r>
      <w:r w:rsidR="00E278F7" w:rsidRPr="00A73DAA">
        <w:rPr>
          <w:rFonts w:ascii="Times New Roman" w:hAnsi="Times New Roman" w:cs="Times New Roman"/>
          <w:sz w:val="24"/>
          <w:szCs w:val="24"/>
        </w:rPr>
        <w:t xml:space="preserve"> which remains consistent with the National Accounts aggregates</w:t>
      </w:r>
      <w:r w:rsidR="004B437D" w:rsidRPr="00A73DAA">
        <w:rPr>
          <w:rFonts w:ascii="Times New Roman" w:hAnsi="Times New Roman" w:cs="Times New Roman"/>
          <w:sz w:val="24"/>
          <w:szCs w:val="24"/>
        </w:rPr>
        <w:t>.</w:t>
      </w:r>
    </w:p>
    <w:p w14:paraId="5923FB19" w14:textId="7FA3677D" w:rsidR="005559EE" w:rsidRDefault="002427C0" w:rsidP="005559EE">
      <w:pPr>
        <w:jc w:val="both"/>
        <w:rPr>
          <w:rFonts w:ascii="Times New Roman" w:hAnsi="Times New Roman" w:cs="Times New Roman"/>
          <w:sz w:val="24"/>
          <w:szCs w:val="24"/>
        </w:rPr>
      </w:pPr>
      <w:r w:rsidRPr="002427C0">
        <w:rPr>
          <w:rFonts w:ascii="Times New Roman" w:hAnsi="Times New Roman" w:cs="Times New Roman"/>
          <w:sz w:val="24"/>
          <w:szCs w:val="24"/>
        </w:rPr>
        <w:t xml:space="preserve">Although SAMs are typically presented in monetary values, modellers and other users might wish to refer to the physical quantities that are associated with certain flows. In particular, employment figures related to the wage flows recorded in the SAM can be useful. We derived these figures from the </w:t>
      </w:r>
      <w:r w:rsidR="0088583E">
        <w:rPr>
          <w:rFonts w:ascii="Times New Roman" w:hAnsi="Times New Roman" w:cs="Times New Roman"/>
          <w:sz w:val="24"/>
          <w:szCs w:val="24"/>
        </w:rPr>
        <w:t xml:space="preserve">2018 </w:t>
      </w:r>
      <w:r w:rsidRPr="002427C0">
        <w:rPr>
          <w:rFonts w:ascii="Times New Roman" w:hAnsi="Times New Roman" w:cs="Times New Roman"/>
          <w:sz w:val="24"/>
          <w:szCs w:val="24"/>
        </w:rPr>
        <w:t xml:space="preserve">LMD </w:t>
      </w:r>
      <w:r w:rsidR="005559EE">
        <w:rPr>
          <w:rFonts w:ascii="Times New Roman" w:hAnsi="Times New Roman" w:cs="Times New Roman"/>
          <w:sz w:val="24"/>
          <w:szCs w:val="24"/>
        </w:rPr>
        <w:t>(</w:t>
      </w:r>
      <w:proofErr w:type="spellStart"/>
      <w:r w:rsidR="005559EE">
        <w:rPr>
          <w:rFonts w:ascii="Times New Roman" w:hAnsi="Times New Roman" w:cs="Times New Roman"/>
          <w:sz w:val="24"/>
          <w:szCs w:val="24"/>
        </w:rPr>
        <w:t>StatsSA</w:t>
      </w:r>
      <w:proofErr w:type="spellEnd"/>
      <w:r w:rsidR="005559EE">
        <w:rPr>
          <w:rFonts w:ascii="Times New Roman" w:hAnsi="Times New Roman" w:cs="Times New Roman"/>
          <w:sz w:val="24"/>
          <w:szCs w:val="24"/>
        </w:rPr>
        <w:t xml:space="preserve">, 2020a) </w:t>
      </w:r>
      <w:r w:rsidRPr="002427C0">
        <w:rPr>
          <w:rFonts w:ascii="Times New Roman" w:hAnsi="Times New Roman" w:cs="Times New Roman"/>
          <w:sz w:val="24"/>
          <w:szCs w:val="24"/>
        </w:rPr>
        <w:t xml:space="preserve">using the same method of allocating labour as we did </w:t>
      </w:r>
      <w:r>
        <w:rPr>
          <w:rFonts w:ascii="Times New Roman" w:hAnsi="Times New Roman" w:cs="Times New Roman"/>
          <w:sz w:val="24"/>
          <w:szCs w:val="24"/>
        </w:rPr>
        <w:t xml:space="preserve">for </w:t>
      </w:r>
      <w:r w:rsidRPr="002427C0">
        <w:rPr>
          <w:rFonts w:ascii="Times New Roman" w:hAnsi="Times New Roman" w:cs="Times New Roman"/>
          <w:sz w:val="24"/>
          <w:szCs w:val="24"/>
        </w:rPr>
        <w:t>wage</w:t>
      </w:r>
      <w:r w:rsidR="005559EE">
        <w:rPr>
          <w:rFonts w:ascii="Times New Roman" w:hAnsi="Times New Roman" w:cs="Times New Roman"/>
          <w:sz w:val="24"/>
          <w:szCs w:val="24"/>
        </w:rPr>
        <w:t xml:space="preserve"> earnings. Informal sector employment (of employees, employers and own account worker) is allocated to the last activity in the SAM</w:t>
      </w:r>
      <w:r w:rsidR="005C3D86">
        <w:rPr>
          <w:rFonts w:ascii="Times New Roman" w:hAnsi="Times New Roman" w:cs="Times New Roman"/>
          <w:sz w:val="24"/>
          <w:szCs w:val="24"/>
        </w:rPr>
        <w:t xml:space="preserve"> (</w:t>
      </w:r>
      <w:r w:rsidR="005C3D86" w:rsidRPr="005C3D86">
        <w:rPr>
          <w:rFonts w:ascii="Times New Roman" w:hAnsi="Times New Roman" w:cs="Times New Roman"/>
          <w:sz w:val="24"/>
          <w:szCs w:val="24"/>
        </w:rPr>
        <w:t>Non-observed, informal, non-profit, households</w:t>
      </w:r>
      <w:r w:rsidR="005C3D86">
        <w:rPr>
          <w:rFonts w:ascii="Times New Roman" w:hAnsi="Times New Roman" w:cs="Times New Roman"/>
          <w:sz w:val="24"/>
          <w:szCs w:val="24"/>
        </w:rPr>
        <w:t>).</w:t>
      </w:r>
      <w:r w:rsidR="0088583E">
        <w:rPr>
          <w:rFonts w:ascii="Times New Roman" w:hAnsi="Times New Roman" w:cs="Times New Roman"/>
          <w:sz w:val="24"/>
          <w:szCs w:val="24"/>
        </w:rPr>
        <w:t xml:space="preserve"> 2018 employment data were updated to 2019 using higher level control totals from the QLFS for total employment by level of education attained (Stats SA</w:t>
      </w:r>
      <w:r w:rsidR="00A90DFA">
        <w:rPr>
          <w:rFonts w:ascii="Times New Roman" w:hAnsi="Times New Roman" w:cs="Times New Roman"/>
          <w:sz w:val="24"/>
          <w:szCs w:val="24"/>
        </w:rPr>
        <w:t>, 2020c</w:t>
      </w:r>
      <w:r w:rsidR="0088583E">
        <w:rPr>
          <w:rFonts w:ascii="Times New Roman" w:hAnsi="Times New Roman" w:cs="Times New Roman"/>
          <w:sz w:val="24"/>
          <w:szCs w:val="24"/>
        </w:rPr>
        <w:t>, Table 3.3</w:t>
      </w:r>
      <w:r w:rsidR="00A90DFA">
        <w:rPr>
          <w:rFonts w:ascii="Times New Roman" w:hAnsi="Times New Roman" w:cs="Times New Roman"/>
          <w:sz w:val="24"/>
          <w:szCs w:val="24"/>
        </w:rPr>
        <w:t xml:space="preserve">) and </w:t>
      </w:r>
      <w:r w:rsidR="0088583E">
        <w:rPr>
          <w:rFonts w:ascii="Times New Roman" w:hAnsi="Times New Roman" w:cs="Times New Roman"/>
          <w:sz w:val="24"/>
          <w:szCs w:val="24"/>
        </w:rPr>
        <w:t xml:space="preserve">total employment of 1 </w:t>
      </w:r>
      <w:r w:rsidR="00407FEA">
        <w:rPr>
          <w:rFonts w:ascii="Times New Roman" w:hAnsi="Times New Roman" w:cs="Times New Roman"/>
          <w:sz w:val="24"/>
          <w:szCs w:val="24"/>
        </w:rPr>
        <w:t>d</w:t>
      </w:r>
      <w:r w:rsidR="0088583E">
        <w:rPr>
          <w:rFonts w:ascii="Times New Roman" w:hAnsi="Times New Roman" w:cs="Times New Roman"/>
          <w:sz w:val="24"/>
          <w:szCs w:val="24"/>
        </w:rPr>
        <w:t xml:space="preserve">igit industries </w:t>
      </w:r>
      <w:r w:rsidR="00A90DFA">
        <w:rPr>
          <w:rFonts w:ascii="Times New Roman" w:hAnsi="Times New Roman" w:cs="Times New Roman"/>
          <w:sz w:val="24"/>
          <w:szCs w:val="24"/>
        </w:rPr>
        <w:t>(Stats SA, 2020c, Table 6)</w:t>
      </w:r>
      <w:r w:rsidR="00407FEA">
        <w:rPr>
          <w:rFonts w:ascii="Times New Roman" w:hAnsi="Times New Roman" w:cs="Times New Roman"/>
          <w:sz w:val="24"/>
          <w:szCs w:val="24"/>
        </w:rPr>
        <w:t xml:space="preserve"> based on disaggregation shares of the 2018 LMD. Final balancing was achieved</w:t>
      </w:r>
      <w:r w:rsidR="001A5D0C">
        <w:rPr>
          <w:rFonts w:ascii="Times New Roman" w:hAnsi="Times New Roman" w:cs="Times New Roman"/>
          <w:sz w:val="24"/>
          <w:szCs w:val="24"/>
        </w:rPr>
        <w:t xml:space="preserve"> using</w:t>
      </w:r>
      <w:r w:rsidR="001A5D0C" w:rsidRPr="001A5D0C">
        <w:rPr>
          <w:rFonts w:ascii="Times New Roman" w:hAnsi="Times New Roman" w:cs="Times New Roman"/>
          <w:sz w:val="24"/>
          <w:szCs w:val="24"/>
        </w:rPr>
        <w:t xml:space="preserve"> </w:t>
      </w:r>
      <w:r w:rsidR="001A5D0C" w:rsidRPr="00A73DAA">
        <w:rPr>
          <w:rFonts w:ascii="Times New Roman" w:hAnsi="Times New Roman" w:cs="Times New Roman"/>
          <w:sz w:val="24"/>
          <w:szCs w:val="24"/>
        </w:rPr>
        <w:t xml:space="preserve">the </w:t>
      </w:r>
      <w:proofErr w:type="spellStart"/>
      <w:r w:rsidR="001A5D0C" w:rsidRPr="00A73DAA">
        <w:rPr>
          <w:rFonts w:ascii="Times New Roman" w:hAnsi="Times New Roman" w:cs="Times New Roman"/>
          <w:sz w:val="24"/>
          <w:szCs w:val="24"/>
        </w:rPr>
        <w:t>biproportional</w:t>
      </w:r>
      <w:proofErr w:type="spellEnd"/>
      <w:r w:rsidR="001A5D0C" w:rsidRPr="00A73DAA">
        <w:rPr>
          <w:rFonts w:ascii="Times New Roman" w:hAnsi="Times New Roman" w:cs="Times New Roman"/>
          <w:sz w:val="24"/>
          <w:szCs w:val="24"/>
        </w:rPr>
        <w:t xml:space="preserve"> scaling method</w:t>
      </w:r>
      <w:r w:rsidR="001A5D0C">
        <w:rPr>
          <w:rFonts w:ascii="Times New Roman" w:hAnsi="Times New Roman" w:cs="Times New Roman"/>
          <w:sz w:val="24"/>
          <w:szCs w:val="24"/>
        </w:rPr>
        <w:t>.</w:t>
      </w:r>
    </w:p>
    <w:p w14:paraId="50456D53" w14:textId="4D64B051" w:rsidR="00EF3777" w:rsidRPr="00136B78" w:rsidRDefault="00EF3777" w:rsidP="00EF3777">
      <w:pPr>
        <w:pStyle w:val="Heading1"/>
        <w:jc w:val="center"/>
        <w:rPr>
          <w:sz w:val="28"/>
        </w:rPr>
      </w:pPr>
      <w:r>
        <w:rPr>
          <w:sz w:val="28"/>
        </w:rPr>
        <w:t>5</w:t>
      </w:r>
      <w:r w:rsidRPr="00136B78">
        <w:rPr>
          <w:sz w:val="28"/>
        </w:rPr>
        <w:t xml:space="preserve">. </w:t>
      </w:r>
      <w:r w:rsidR="001D70EC">
        <w:rPr>
          <w:sz w:val="28"/>
        </w:rPr>
        <w:t>Conclusions and Potential Improvements</w:t>
      </w:r>
    </w:p>
    <w:p w14:paraId="34BB3458" w14:textId="6C24F03D" w:rsidR="001D70EC" w:rsidRPr="001D70EC" w:rsidRDefault="001D70EC" w:rsidP="001D70EC">
      <w:pPr>
        <w:spacing w:before="100" w:beforeAutospacing="1" w:after="100" w:afterAutospacing="1"/>
        <w:rPr>
          <w:rFonts w:ascii="Times New Roman" w:hAnsi="Times New Roman" w:cs="Times New Roman"/>
          <w:sz w:val="24"/>
          <w:szCs w:val="24"/>
          <w:lang w:val="en-ZA"/>
        </w:rPr>
      </w:pPr>
      <w:r>
        <w:rPr>
          <w:rFonts w:ascii="Times New Roman" w:hAnsi="Times New Roman" w:cs="Times New Roman"/>
          <w:sz w:val="24"/>
          <w:szCs w:val="24"/>
          <w:lang w:val="en-ZA"/>
        </w:rPr>
        <w:t>The SAM construction discussed in this Appendix is consistent with the limited underlying data source</w:t>
      </w:r>
      <w:r w:rsidR="00B94D6F">
        <w:rPr>
          <w:rFonts w:ascii="Times New Roman" w:hAnsi="Times New Roman" w:cs="Times New Roman"/>
          <w:sz w:val="24"/>
          <w:szCs w:val="24"/>
          <w:lang w:val="en-ZA"/>
        </w:rPr>
        <w:t xml:space="preserve"> used</w:t>
      </w:r>
      <w:r>
        <w:rPr>
          <w:rFonts w:ascii="Times New Roman" w:hAnsi="Times New Roman" w:cs="Times New Roman"/>
          <w:sz w:val="24"/>
          <w:szCs w:val="24"/>
          <w:lang w:val="en-ZA"/>
        </w:rPr>
        <w:t xml:space="preserve">. These data sources are the 2017 </w:t>
      </w:r>
      <w:proofErr w:type="spellStart"/>
      <w:r>
        <w:rPr>
          <w:rFonts w:ascii="Times New Roman" w:hAnsi="Times New Roman" w:cs="Times New Roman"/>
          <w:sz w:val="24"/>
          <w:szCs w:val="24"/>
          <w:lang w:val="en-ZA"/>
        </w:rPr>
        <w:t>StastSA</w:t>
      </w:r>
      <w:proofErr w:type="spellEnd"/>
      <w:r>
        <w:rPr>
          <w:rFonts w:ascii="Times New Roman" w:hAnsi="Times New Roman" w:cs="Times New Roman"/>
          <w:sz w:val="24"/>
          <w:szCs w:val="24"/>
          <w:lang w:val="en-ZA"/>
        </w:rPr>
        <w:t xml:space="preserve"> SUT, the 2019 National Accounts from the SARB Quarterly Bulletin, Stats SA labour market data from the 2018 LMD and 2019 QLFS and household income and expenditure data from the 2015 </w:t>
      </w:r>
      <w:proofErr w:type="spellStart"/>
      <w:r>
        <w:rPr>
          <w:rFonts w:ascii="Times New Roman" w:hAnsi="Times New Roman" w:cs="Times New Roman"/>
          <w:sz w:val="24"/>
          <w:szCs w:val="24"/>
          <w:lang w:val="en-ZA"/>
        </w:rPr>
        <w:t>StatsSA</w:t>
      </w:r>
      <w:proofErr w:type="spellEnd"/>
      <w:r>
        <w:rPr>
          <w:rFonts w:ascii="Times New Roman" w:hAnsi="Times New Roman" w:cs="Times New Roman"/>
          <w:sz w:val="24"/>
          <w:szCs w:val="24"/>
          <w:lang w:val="en-ZA"/>
        </w:rPr>
        <w:t xml:space="preserve"> LCS. There are a number of options to expand the underlying data</w:t>
      </w:r>
      <w:r w:rsidR="00B46E1B">
        <w:rPr>
          <w:rFonts w:ascii="Times New Roman" w:hAnsi="Times New Roman" w:cs="Times New Roman"/>
          <w:sz w:val="24"/>
          <w:szCs w:val="24"/>
          <w:lang w:val="en-ZA"/>
        </w:rPr>
        <w:t>:</w:t>
      </w:r>
      <w:r>
        <w:rPr>
          <w:rFonts w:ascii="Times New Roman" w:hAnsi="Times New Roman" w:cs="Times New Roman"/>
          <w:sz w:val="24"/>
          <w:szCs w:val="24"/>
          <w:lang w:val="en-ZA"/>
        </w:rPr>
        <w:t xml:space="preserve"> </w:t>
      </w:r>
    </w:p>
    <w:p w14:paraId="0CD3F4B4" w14:textId="0A3F96AF" w:rsidR="001D70EC" w:rsidRPr="001D70EC" w:rsidRDefault="001D70EC" w:rsidP="00B46E1B">
      <w:pPr>
        <w:numPr>
          <w:ilvl w:val="0"/>
          <w:numId w:val="7"/>
        </w:numPr>
        <w:tabs>
          <w:tab w:val="clear" w:pos="720"/>
        </w:tabs>
        <w:spacing w:before="100" w:beforeAutospacing="1" w:after="100" w:afterAutospacing="1" w:line="240" w:lineRule="auto"/>
        <w:ind w:left="360"/>
        <w:rPr>
          <w:rFonts w:ascii="Times New Roman" w:eastAsia="Times New Roman" w:hAnsi="Times New Roman" w:cs="Times New Roman"/>
          <w:sz w:val="24"/>
          <w:szCs w:val="24"/>
          <w:lang w:val="en-ZA"/>
        </w:rPr>
      </w:pPr>
      <w:r w:rsidRPr="001D70EC">
        <w:rPr>
          <w:rFonts w:ascii="Times New Roman" w:eastAsia="Times New Roman" w:hAnsi="Times New Roman" w:cs="Times New Roman"/>
          <w:sz w:val="24"/>
          <w:szCs w:val="24"/>
          <w:lang w:val="en-ZA"/>
        </w:rPr>
        <w:lastRenderedPageBreak/>
        <w:t xml:space="preserve">We use the expenditure structure from the 2017 SUT for </w:t>
      </w:r>
      <w:r w:rsidR="00C500A0">
        <w:rPr>
          <w:rFonts w:ascii="Times New Roman" w:eastAsia="Times New Roman" w:hAnsi="Times New Roman" w:cs="Times New Roman"/>
          <w:sz w:val="24"/>
          <w:szCs w:val="24"/>
          <w:lang w:val="en-ZA"/>
        </w:rPr>
        <w:t>a s</w:t>
      </w:r>
      <w:r w:rsidRPr="001D70EC">
        <w:rPr>
          <w:rFonts w:ascii="Times New Roman" w:eastAsia="Times New Roman" w:hAnsi="Times New Roman" w:cs="Times New Roman"/>
          <w:sz w:val="24"/>
          <w:szCs w:val="24"/>
          <w:lang w:val="en-ZA"/>
        </w:rPr>
        <w:t xml:space="preserve">ingle </w:t>
      </w:r>
      <w:r w:rsidR="00C500A0">
        <w:rPr>
          <w:rFonts w:ascii="Times New Roman" w:eastAsia="Times New Roman" w:hAnsi="Times New Roman" w:cs="Times New Roman"/>
          <w:sz w:val="24"/>
          <w:szCs w:val="24"/>
          <w:lang w:val="en-ZA"/>
        </w:rPr>
        <w:t xml:space="preserve">representative </w:t>
      </w:r>
      <w:r w:rsidRPr="001D70EC">
        <w:rPr>
          <w:rFonts w:ascii="Times New Roman" w:eastAsia="Times New Roman" w:hAnsi="Times New Roman" w:cs="Times New Roman"/>
          <w:sz w:val="24"/>
          <w:szCs w:val="24"/>
          <w:lang w:val="en-ZA"/>
        </w:rPr>
        <w:t>household</w:t>
      </w:r>
      <w:r w:rsidR="00C500A0">
        <w:rPr>
          <w:rFonts w:ascii="Times New Roman" w:eastAsia="Times New Roman" w:hAnsi="Times New Roman" w:cs="Times New Roman"/>
          <w:sz w:val="24"/>
          <w:szCs w:val="24"/>
          <w:lang w:val="en-ZA"/>
        </w:rPr>
        <w:t xml:space="preserve"> which is matched up to total household expenditure from the National Accounts. It would be possible to</w:t>
      </w:r>
      <w:r w:rsidRPr="001D70EC">
        <w:rPr>
          <w:rFonts w:ascii="Times New Roman" w:eastAsia="Times New Roman" w:hAnsi="Times New Roman" w:cs="Times New Roman"/>
          <w:sz w:val="24"/>
          <w:szCs w:val="24"/>
          <w:lang w:val="en-ZA"/>
        </w:rPr>
        <w:t xml:space="preserve"> improve on this </w:t>
      </w:r>
      <w:r w:rsidR="00C500A0">
        <w:rPr>
          <w:rFonts w:ascii="Times New Roman" w:eastAsia="Times New Roman" w:hAnsi="Times New Roman" w:cs="Times New Roman"/>
          <w:sz w:val="24"/>
          <w:szCs w:val="24"/>
          <w:lang w:val="en-ZA"/>
        </w:rPr>
        <w:t xml:space="preserve">by matching the structure up to </w:t>
      </w:r>
      <w:r w:rsidRPr="001D70EC">
        <w:rPr>
          <w:rFonts w:ascii="Times New Roman" w:eastAsia="Times New Roman" w:hAnsi="Times New Roman" w:cs="Times New Roman"/>
          <w:sz w:val="24"/>
          <w:szCs w:val="24"/>
          <w:lang w:val="en-ZA"/>
        </w:rPr>
        <w:t xml:space="preserve">SARB Quarterly Bulletin </w:t>
      </w:r>
      <w:r w:rsidR="00C500A0">
        <w:rPr>
          <w:rFonts w:ascii="Times New Roman" w:eastAsia="Times New Roman" w:hAnsi="Times New Roman" w:cs="Times New Roman"/>
          <w:sz w:val="24"/>
          <w:szCs w:val="24"/>
          <w:lang w:val="en-ZA"/>
        </w:rPr>
        <w:t>household expenditure data which is available at a lower level of disaggregation for the year 2019</w:t>
      </w:r>
      <w:r w:rsidRPr="001D70EC">
        <w:rPr>
          <w:rFonts w:ascii="Times New Roman" w:eastAsia="Times New Roman" w:hAnsi="Times New Roman" w:cs="Times New Roman"/>
          <w:sz w:val="24"/>
          <w:szCs w:val="24"/>
          <w:lang w:val="en-ZA"/>
        </w:rPr>
        <w:t>.</w:t>
      </w:r>
      <w:r w:rsidR="00C500A0">
        <w:rPr>
          <w:rFonts w:ascii="Times New Roman" w:eastAsia="Times New Roman" w:hAnsi="Times New Roman" w:cs="Times New Roman"/>
          <w:sz w:val="24"/>
          <w:szCs w:val="24"/>
          <w:lang w:val="en-ZA"/>
        </w:rPr>
        <w:t xml:space="preserve"> This would capture broad structural shifts in household expenditure but requires a mapping to the 2017 SUT commodities.</w:t>
      </w:r>
    </w:p>
    <w:p w14:paraId="3A5F63F9" w14:textId="159BBB7E" w:rsidR="001D70EC" w:rsidRPr="001D70EC" w:rsidRDefault="001D70EC" w:rsidP="00B46E1B">
      <w:pPr>
        <w:numPr>
          <w:ilvl w:val="0"/>
          <w:numId w:val="7"/>
        </w:numPr>
        <w:tabs>
          <w:tab w:val="clear" w:pos="720"/>
        </w:tabs>
        <w:spacing w:before="100" w:beforeAutospacing="1" w:after="100" w:afterAutospacing="1" w:line="240" w:lineRule="auto"/>
        <w:ind w:left="360"/>
        <w:rPr>
          <w:rFonts w:ascii="Times New Roman" w:eastAsia="Times New Roman" w:hAnsi="Times New Roman" w:cs="Times New Roman"/>
          <w:sz w:val="24"/>
          <w:szCs w:val="24"/>
          <w:lang w:val="en-ZA"/>
        </w:rPr>
      </w:pPr>
      <w:r w:rsidRPr="001D70EC">
        <w:rPr>
          <w:rFonts w:ascii="Times New Roman" w:eastAsia="Times New Roman" w:hAnsi="Times New Roman" w:cs="Times New Roman"/>
          <w:sz w:val="24"/>
          <w:szCs w:val="24"/>
          <w:lang w:val="en-ZA"/>
        </w:rPr>
        <w:t xml:space="preserve">We use the trade structure from the SUT 2017 and assume </w:t>
      </w:r>
      <w:r w:rsidR="00C500A0">
        <w:rPr>
          <w:rFonts w:ascii="Times New Roman" w:eastAsia="Times New Roman" w:hAnsi="Times New Roman" w:cs="Times New Roman"/>
          <w:sz w:val="24"/>
          <w:szCs w:val="24"/>
          <w:lang w:val="en-ZA"/>
        </w:rPr>
        <w:t>that this</w:t>
      </w:r>
      <w:r w:rsidRPr="001D70EC">
        <w:rPr>
          <w:rFonts w:ascii="Times New Roman" w:eastAsia="Times New Roman" w:hAnsi="Times New Roman" w:cs="Times New Roman"/>
          <w:sz w:val="24"/>
          <w:szCs w:val="24"/>
          <w:lang w:val="en-ZA"/>
        </w:rPr>
        <w:t xml:space="preserve"> applied in 2019. There is probably more recent data </w:t>
      </w:r>
      <w:r w:rsidR="00C500A0">
        <w:rPr>
          <w:rFonts w:ascii="Times New Roman" w:eastAsia="Times New Roman" w:hAnsi="Times New Roman" w:cs="Times New Roman"/>
          <w:sz w:val="24"/>
          <w:szCs w:val="24"/>
          <w:lang w:val="en-ZA"/>
        </w:rPr>
        <w:t xml:space="preserve">available </w:t>
      </w:r>
      <w:r w:rsidRPr="001D70EC">
        <w:rPr>
          <w:rFonts w:ascii="Times New Roman" w:eastAsia="Times New Roman" w:hAnsi="Times New Roman" w:cs="Times New Roman"/>
          <w:sz w:val="24"/>
          <w:szCs w:val="24"/>
          <w:lang w:val="en-ZA"/>
        </w:rPr>
        <w:t>from SARS</w:t>
      </w:r>
      <w:r w:rsidR="00C500A0">
        <w:rPr>
          <w:rFonts w:ascii="Times New Roman" w:eastAsia="Times New Roman" w:hAnsi="Times New Roman" w:cs="Times New Roman"/>
          <w:sz w:val="24"/>
          <w:szCs w:val="24"/>
          <w:lang w:val="en-ZA"/>
        </w:rPr>
        <w:t xml:space="preserve"> but this requires a mapping from the detailed Harmonised System commodities to those of the 2017 SUT</w:t>
      </w:r>
      <w:r w:rsidRPr="001D70EC">
        <w:rPr>
          <w:rFonts w:ascii="Times New Roman" w:eastAsia="Times New Roman" w:hAnsi="Times New Roman" w:cs="Times New Roman"/>
          <w:sz w:val="24"/>
          <w:szCs w:val="24"/>
          <w:lang w:val="en-ZA"/>
        </w:rPr>
        <w:t xml:space="preserve">. Trade in services is more </w:t>
      </w:r>
      <w:r w:rsidR="00C500A0">
        <w:rPr>
          <w:rFonts w:ascii="Times New Roman" w:eastAsia="Times New Roman" w:hAnsi="Times New Roman" w:cs="Times New Roman"/>
          <w:sz w:val="24"/>
          <w:szCs w:val="24"/>
          <w:lang w:val="en-ZA"/>
        </w:rPr>
        <w:t>complicated and would need access to detailed Balance of Payment data.</w:t>
      </w:r>
    </w:p>
    <w:p w14:paraId="788B2557" w14:textId="2946BAB3" w:rsidR="001D70EC" w:rsidRPr="001D70EC" w:rsidRDefault="001D70EC" w:rsidP="00B46E1B">
      <w:pPr>
        <w:numPr>
          <w:ilvl w:val="0"/>
          <w:numId w:val="7"/>
        </w:numPr>
        <w:tabs>
          <w:tab w:val="clear" w:pos="720"/>
        </w:tabs>
        <w:spacing w:before="100" w:beforeAutospacing="1" w:after="100" w:afterAutospacing="1" w:line="240" w:lineRule="auto"/>
        <w:ind w:left="360"/>
        <w:rPr>
          <w:rFonts w:ascii="Times New Roman" w:eastAsia="Times New Roman" w:hAnsi="Times New Roman" w:cs="Times New Roman"/>
          <w:sz w:val="24"/>
          <w:szCs w:val="24"/>
          <w:lang w:val="en-ZA"/>
        </w:rPr>
      </w:pPr>
      <w:r w:rsidRPr="001D70EC">
        <w:rPr>
          <w:rFonts w:ascii="Times New Roman" w:eastAsia="Times New Roman" w:hAnsi="Times New Roman" w:cs="Times New Roman"/>
          <w:sz w:val="24"/>
          <w:szCs w:val="24"/>
          <w:lang w:val="en-ZA"/>
        </w:rPr>
        <w:t>There are also the investment data that might be updated.</w:t>
      </w:r>
      <w:r w:rsidR="00C500A0">
        <w:rPr>
          <w:rFonts w:ascii="Times New Roman" w:eastAsia="Times New Roman" w:hAnsi="Times New Roman" w:cs="Times New Roman"/>
          <w:sz w:val="24"/>
          <w:szCs w:val="24"/>
          <w:lang w:val="en-ZA"/>
        </w:rPr>
        <w:t xml:space="preserve"> The SARB Quarterly Bulletin publishes gross domestic fixed investment as well as inventory changes by broad asset type and by 1 digit industries demanding</w:t>
      </w:r>
      <w:r w:rsidR="00B46E1B">
        <w:rPr>
          <w:rFonts w:ascii="Times New Roman" w:eastAsia="Times New Roman" w:hAnsi="Times New Roman" w:cs="Times New Roman"/>
          <w:sz w:val="24"/>
          <w:szCs w:val="24"/>
          <w:lang w:val="en-ZA"/>
        </w:rPr>
        <w:t xml:space="preserve"> investment good. The SUT and SAM present investment goods supplied at the commodity level. A mapping is required to convert investment by asset types to specific commodities identified in the SUT</w:t>
      </w:r>
    </w:p>
    <w:p w14:paraId="0D246B4D" w14:textId="1CC4A737" w:rsidR="001D70EC" w:rsidRDefault="00B46E1B" w:rsidP="00B46E1B">
      <w:pPr>
        <w:numPr>
          <w:ilvl w:val="0"/>
          <w:numId w:val="7"/>
        </w:numPr>
        <w:tabs>
          <w:tab w:val="clear" w:pos="720"/>
        </w:tabs>
        <w:spacing w:before="100" w:beforeAutospacing="1" w:after="100" w:afterAutospacing="1" w:line="240" w:lineRule="auto"/>
        <w:ind w:left="360"/>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 xml:space="preserve">Finally, </w:t>
      </w:r>
      <w:r w:rsidR="001D70EC" w:rsidRPr="001D70EC">
        <w:rPr>
          <w:rFonts w:ascii="Times New Roman" w:eastAsia="Times New Roman" w:hAnsi="Times New Roman" w:cs="Times New Roman"/>
          <w:sz w:val="24"/>
          <w:szCs w:val="24"/>
          <w:lang w:val="en-ZA"/>
        </w:rPr>
        <w:t xml:space="preserve">there </w:t>
      </w:r>
      <w:r>
        <w:rPr>
          <w:rFonts w:ascii="Times New Roman" w:eastAsia="Times New Roman" w:hAnsi="Times New Roman" w:cs="Times New Roman"/>
          <w:sz w:val="24"/>
          <w:szCs w:val="24"/>
          <w:lang w:val="en-ZA"/>
        </w:rPr>
        <w:t xml:space="preserve">may be more recent data for </w:t>
      </w:r>
      <w:r w:rsidR="001D70EC" w:rsidRPr="001D70EC">
        <w:rPr>
          <w:rFonts w:ascii="Times New Roman" w:eastAsia="Times New Roman" w:hAnsi="Times New Roman" w:cs="Times New Roman"/>
          <w:sz w:val="24"/>
          <w:szCs w:val="24"/>
          <w:lang w:val="en-ZA"/>
        </w:rPr>
        <w:t xml:space="preserve">indirect taxes </w:t>
      </w:r>
      <w:r>
        <w:rPr>
          <w:rFonts w:ascii="Times New Roman" w:eastAsia="Times New Roman" w:hAnsi="Times New Roman" w:cs="Times New Roman"/>
          <w:sz w:val="24"/>
          <w:szCs w:val="24"/>
          <w:lang w:val="en-ZA"/>
        </w:rPr>
        <w:t>on products such as VAT, excise duties as well as import duties.</w:t>
      </w:r>
    </w:p>
    <w:p w14:paraId="0FCA5018" w14:textId="77777777" w:rsidR="00430798" w:rsidRPr="00D02B65" w:rsidRDefault="00430798" w:rsidP="008A61A3">
      <w:pPr>
        <w:pStyle w:val="Heading1"/>
        <w:rPr>
          <w:sz w:val="28"/>
        </w:rPr>
      </w:pPr>
      <w:bookmarkStart w:id="3" w:name="_Toc512114418"/>
      <w:r w:rsidRPr="00136B78">
        <w:rPr>
          <w:sz w:val="28"/>
        </w:rPr>
        <w:t>References</w:t>
      </w:r>
      <w:bookmarkEnd w:id="3"/>
    </w:p>
    <w:p w14:paraId="2F435835" w14:textId="5499667A" w:rsidR="008A61A3" w:rsidRPr="008A61A3" w:rsidRDefault="008A61A3" w:rsidP="00430798">
      <w:pPr>
        <w:ind w:left="360" w:hanging="360"/>
        <w:rPr>
          <w:rFonts w:ascii="Times New Roman" w:hAnsi="Times New Roman" w:cs="Times New Roman"/>
          <w:sz w:val="24"/>
          <w:szCs w:val="24"/>
        </w:rPr>
      </w:pPr>
      <w:r>
        <w:rPr>
          <w:rFonts w:ascii="Times New Roman" w:hAnsi="Times New Roman" w:cs="Times New Roman"/>
          <w:sz w:val="24"/>
          <w:szCs w:val="24"/>
        </w:rPr>
        <w:t xml:space="preserve">Robinson, S, </w:t>
      </w:r>
      <w:proofErr w:type="spellStart"/>
      <w:r>
        <w:rPr>
          <w:rFonts w:ascii="Times New Roman" w:hAnsi="Times New Roman" w:cs="Times New Roman"/>
          <w:sz w:val="24"/>
          <w:szCs w:val="24"/>
        </w:rPr>
        <w:t>Cattaneo</w:t>
      </w:r>
      <w:proofErr w:type="spellEnd"/>
      <w:r>
        <w:rPr>
          <w:rFonts w:ascii="Times New Roman" w:hAnsi="Times New Roman" w:cs="Times New Roman"/>
          <w:sz w:val="24"/>
          <w:szCs w:val="24"/>
        </w:rPr>
        <w:t xml:space="preserve">, A and El-Said, M, 1998, </w:t>
      </w:r>
      <w:r w:rsidRPr="008A61A3">
        <w:rPr>
          <w:rFonts w:ascii="Times New Roman" w:hAnsi="Times New Roman" w:cs="Times New Roman"/>
          <w:sz w:val="24"/>
          <w:szCs w:val="24"/>
        </w:rPr>
        <w:t>Estimating a social accounting matrix using cross entropy methods</w:t>
      </w:r>
      <w:r>
        <w:rPr>
          <w:rFonts w:ascii="Times New Roman" w:hAnsi="Times New Roman" w:cs="Times New Roman"/>
          <w:sz w:val="24"/>
          <w:szCs w:val="24"/>
        </w:rPr>
        <w:t xml:space="preserve">, IFPRI, TMD Discussion Paper, </w:t>
      </w:r>
      <w:hyperlink r:id="rId8" w:history="1">
        <w:r w:rsidRPr="008A61A3">
          <w:rPr>
            <w:rStyle w:val="Hyperlink"/>
            <w:rFonts w:ascii="Times New Roman" w:hAnsi="Times New Roman" w:cs="Times New Roman"/>
            <w:sz w:val="24"/>
            <w:szCs w:val="24"/>
          </w:rPr>
          <w:t>https://www.ifpri.org/publication/estimating-social-accounting-matrix-using-cross-entropy-methods</w:t>
        </w:r>
      </w:hyperlink>
      <w:r w:rsidR="00A90DFA">
        <w:rPr>
          <w:rStyle w:val="Hyperlink"/>
          <w:rFonts w:ascii="Times New Roman" w:hAnsi="Times New Roman" w:cs="Times New Roman"/>
          <w:sz w:val="24"/>
          <w:szCs w:val="24"/>
        </w:rPr>
        <w:t>.</w:t>
      </w:r>
    </w:p>
    <w:p w14:paraId="23239A5F" w14:textId="0BDF04B5" w:rsidR="00430798" w:rsidRPr="00136B78" w:rsidRDefault="00430798" w:rsidP="00430798">
      <w:pPr>
        <w:ind w:left="360" w:hanging="360"/>
        <w:rPr>
          <w:rFonts w:ascii="Times New Roman" w:hAnsi="Times New Roman" w:cs="Times New Roman"/>
          <w:sz w:val="24"/>
          <w:szCs w:val="24"/>
        </w:rPr>
      </w:pPr>
      <w:r w:rsidRPr="00136B78">
        <w:rPr>
          <w:rFonts w:ascii="Times New Roman" w:hAnsi="Times New Roman" w:cs="Times New Roman"/>
          <w:sz w:val="24"/>
          <w:szCs w:val="24"/>
        </w:rPr>
        <w:t>SARB. 20</w:t>
      </w:r>
      <w:r w:rsidR="0018361A">
        <w:rPr>
          <w:rFonts w:ascii="Times New Roman" w:hAnsi="Times New Roman" w:cs="Times New Roman"/>
          <w:sz w:val="24"/>
          <w:szCs w:val="24"/>
        </w:rPr>
        <w:t>20</w:t>
      </w:r>
      <w:r w:rsidRPr="00136B78">
        <w:rPr>
          <w:rFonts w:ascii="Times New Roman" w:hAnsi="Times New Roman" w:cs="Times New Roman"/>
          <w:sz w:val="24"/>
          <w:szCs w:val="24"/>
        </w:rPr>
        <w:t xml:space="preserve">. “Quarterly Bulletin of Statistics: </w:t>
      </w:r>
      <w:r w:rsidR="00886F95">
        <w:rPr>
          <w:rFonts w:ascii="Times New Roman" w:hAnsi="Times New Roman" w:cs="Times New Roman"/>
          <w:sz w:val="24"/>
          <w:szCs w:val="24"/>
        </w:rPr>
        <w:t>Sept</w:t>
      </w:r>
      <w:r w:rsidR="004F2E1B">
        <w:rPr>
          <w:rFonts w:ascii="Times New Roman" w:hAnsi="Times New Roman" w:cs="Times New Roman"/>
          <w:sz w:val="24"/>
          <w:szCs w:val="24"/>
        </w:rPr>
        <w:t xml:space="preserve"> 201</w:t>
      </w:r>
      <w:r w:rsidR="006D409D">
        <w:rPr>
          <w:rFonts w:ascii="Times New Roman" w:hAnsi="Times New Roman" w:cs="Times New Roman"/>
          <w:sz w:val="24"/>
          <w:szCs w:val="24"/>
        </w:rPr>
        <w:t>8</w:t>
      </w:r>
      <w:r w:rsidRPr="00136B78">
        <w:rPr>
          <w:rFonts w:ascii="Times New Roman" w:hAnsi="Times New Roman" w:cs="Times New Roman"/>
          <w:sz w:val="24"/>
          <w:szCs w:val="24"/>
        </w:rPr>
        <w:t>”</w:t>
      </w:r>
      <w:r w:rsidR="00C62C61" w:rsidRPr="00136B78">
        <w:rPr>
          <w:rFonts w:ascii="Times New Roman" w:hAnsi="Times New Roman" w:cs="Times New Roman"/>
          <w:sz w:val="24"/>
          <w:szCs w:val="24"/>
        </w:rPr>
        <w:t>,</w:t>
      </w:r>
      <w:r w:rsidRPr="00136B78">
        <w:rPr>
          <w:rFonts w:ascii="Times New Roman" w:hAnsi="Times New Roman" w:cs="Times New Roman"/>
          <w:sz w:val="24"/>
          <w:szCs w:val="24"/>
        </w:rPr>
        <w:t xml:space="preserve"> Pretoria, South Africa: South African Reserve Bank.</w:t>
      </w:r>
      <w:r w:rsidR="004F2E1B">
        <w:rPr>
          <w:rFonts w:ascii="Times New Roman" w:hAnsi="Times New Roman" w:cs="Times New Roman"/>
          <w:sz w:val="24"/>
          <w:szCs w:val="24"/>
        </w:rPr>
        <w:t xml:space="preserve"> </w:t>
      </w:r>
      <w:r w:rsidR="00886F95" w:rsidRPr="00886F95">
        <w:rPr>
          <w:rStyle w:val="Hyperlink"/>
          <w:rFonts w:ascii="Times New Roman" w:hAnsi="Times New Roman" w:cs="Times New Roman"/>
          <w:sz w:val="24"/>
          <w:szCs w:val="24"/>
        </w:rPr>
        <w:t>https://www.resbank.co.za/Lists/News%20and%20Publications/Attachments/10267/10Statistical%20tables%20%E2%80%93%20National%20accounts.pdf</w:t>
      </w:r>
    </w:p>
    <w:p w14:paraId="3D939C1D" w14:textId="6004B068" w:rsidR="00430798" w:rsidRPr="007C6EA8" w:rsidRDefault="00430798" w:rsidP="00430798">
      <w:pPr>
        <w:ind w:left="360" w:hanging="360"/>
        <w:rPr>
          <w:rFonts w:ascii="Times New Roman" w:hAnsi="Times New Roman" w:cs="Times New Roman"/>
          <w:sz w:val="24"/>
          <w:szCs w:val="24"/>
          <w:highlight w:val="yellow"/>
        </w:rPr>
      </w:pPr>
      <w:proofErr w:type="spellStart"/>
      <w:r w:rsidRPr="00590111">
        <w:rPr>
          <w:rFonts w:ascii="Times New Roman" w:hAnsi="Times New Roman" w:cs="Times New Roman"/>
          <w:sz w:val="24"/>
          <w:szCs w:val="24"/>
        </w:rPr>
        <w:t>StatsSA</w:t>
      </w:r>
      <w:proofErr w:type="spellEnd"/>
      <w:r w:rsidRPr="00590111">
        <w:rPr>
          <w:rFonts w:ascii="Times New Roman" w:hAnsi="Times New Roman" w:cs="Times New Roman"/>
          <w:sz w:val="24"/>
          <w:szCs w:val="24"/>
        </w:rPr>
        <w:t xml:space="preserve">. </w:t>
      </w:r>
      <w:r w:rsidR="00590111" w:rsidRPr="00590111">
        <w:rPr>
          <w:rFonts w:ascii="Times New Roman" w:hAnsi="Times New Roman" w:cs="Times New Roman"/>
          <w:sz w:val="24"/>
          <w:szCs w:val="24"/>
        </w:rPr>
        <w:t>2017</w:t>
      </w:r>
      <w:r w:rsidR="00C62C61" w:rsidRPr="00590111">
        <w:rPr>
          <w:rFonts w:ascii="Times New Roman" w:hAnsi="Times New Roman" w:cs="Times New Roman"/>
          <w:sz w:val="24"/>
          <w:szCs w:val="24"/>
        </w:rPr>
        <w:t>.</w:t>
      </w:r>
      <w:r w:rsidRPr="00590111">
        <w:rPr>
          <w:rFonts w:ascii="Times New Roman" w:hAnsi="Times New Roman" w:cs="Times New Roman"/>
          <w:sz w:val="24"/>
          <w:szCs w:val="24"/>
        </w:rPr>
        <w:t xml:space="preserve"> </w:t>
      </w:r>
      <w:r w:rsidR="00C62C61" w:rsidRPr="00590111">
        <w:rPr>
          <w:rFonts w:ascii="Times New Roman" w:hAnsi="Times New Roman" w:cs="Times New Roman"/>
          <w:sz w:val="24"/>
          <w:szCs w:val="24"/>
        </w:rPr>
        <w:t>“Living Conditions Survey</w:t>
      </w:r>
      <w:r w:rsidR="00590111" w:rsidRPr="00590111">
        <w:rPr>
          <w:rFonts w:ascii="Times New Roman" w:hAnsi="Times New Roman" w:cs="Times New Roman"/>
          <w:sz w:val="24"/>
          <w:szCs w:val="24"/>
        </w:rPr>
        <w:t xml:space="preserve"> 2014/15</w:t>
      </w:r>
      <w:r w:rsidRPr="00590111">
        <w:rPr>
          <w:rFonts w:ascii="Times New Roman" w:hAnsi="Times New Roman" w:cs="Times New Roman"/>
          <w:sz w:val="24"/>
          <w:szCs w:val="24"/>
        </w:rPr>
        <w:t>”</w:t>
      </w:r>
      <w:r w:rsidR="00590111" w:rsidRPr="00590111">
        <w:rPr>
          <w:rFonts w:ascii="Times New Roman" w:hAnsi="Times New Roman" w:cs="Times New Roman"/>
          <w:sz w:val="24"/>
          <w:szCs w:val="24"/>
        </w:rPr>
        <w:t xml:space="preserve"> dataset</w:t>
      </w:r>
      <w:r w:rsidR="00C62C61" w:rsidRPr="00590111">
        <w:rPr>
          <w:rFonts w:ascii="Times New Roman" w:hAnsi="Times New Roman" w:cs="Times New Roman"/>
          <w:sz w:val="24"/>
          <w:szCs w:val="24"/>
        </w:rPr>
        <w:t xml:space="preserve">, </w:t>
      </w:r>
      <w:r w:rsidRPr="00590111">
        <w:rPr>
          <w:rFonts w:ascii="Times New Roman" w:hAnsi="Times New Roman" w:cs="Times New Roman"/>
          <w:sz w:val="24"/>
          <w:szCs w:val="24"/>
        </w:rPr>
        <w:t xml:space="preserve">Pretoria, </w:t>
      </w:r>
      <w:r w:rsidR="00590111" w:rsidRPr="00590111">
        <w:rPr>
          <w:rFonts w:ascii="Times New Roman" w:hAnsi="Times New Roman" w:cs="Times New Roman"/>
          <w:sz w:val="24"/>
          <w:szCs w:val="24"/>
        </w:rPr>
        <w:t>Statistics South Africa [producer], 201</w:t>
      </w:r>
      <w:r w:rsidR="00590111">
        <w:rPr>
          <w:rFonts w:ascii="Times New Roman" w:hAnsi="Times New Roman" w:cs="Times New Roman"/>
          <w:sz w:val="24"/>
          <w:szCs w:val="24"/>
        </w:rPr>
        <w:t>7</w:t>
      </w:r>
      <w:r w:rsidR="00590111" w:rsidRPr="00590111">
        <w:rPr>
          <w:rFonts w:ascii="Times New Roman" w:hAnsi="Times New Roman" w:cs="Times New Roman"/>
          <w:sz w:val="24"/>
          <w:szCs w:val="24"/>
        </w:rPr>
        <w:t xml:space="preserve">. Cape Town. </w:t>
      </w:r>
      <w:proofErr w:type="spellStart"/>
      <w:r w:rsidR="00590111" w:rsidRPr="00590111">
        <w:rPr>
          <w:rFonts w:ascii="Times New Roman" w:hAnsi="Times New Roman" w:cs="Times New Roman"/>
          <w:sz w:val="24"/>
          <w:szCs w:val="24"/>
        </w:rPr>
        <w:t>DataFirst</w:t>
      </w:r>
      <w:proofErr w:type="spellEnd"/>
      <w:r w:rsidR="00590111" w:rsidRPr="00590111">
        <w:rPr>
          <w:rFonts w:ascii="Times New Roman" w:hAnsi="Times New Roman" w:cs="Times New Roman"/>
          <w:sz w:val="24"/>
          <w:szCs w:val="24"/>
        </w:rPr>
        <w:t xml:space="preserve"> [distributor]</w:t>
      </w:r>
      <w:r w:rsidR="00A90DFA">
        <w:rPr>
          <w:rFonts w:ascii="Times New Roman" w:hAnsi="Times New Roman" w:cs="Times New Roman"/>
          <w:sz w:val="24"/>
          <w:szCs w:val="24"/>
        </w:rPr>
        <w:t xml:space="preserve">, </w:t>
      </w:r>
      <w:hyperlink r:id="rId9" w:history="1">
        <w:r w:rsidR="00A90DFA" w:rsidRPr="00522539">
          <w:rPr>
            <w:rStyle w:val="Hyperlink"/>
            <w:rFonts w:ascii="Times New Roman" w:hAnsi="Times New Roman" w:cs="Times New Roman"/>
            <w:sz w:val="24"/>
            <w:szCs w:val="24"/>
          </w:rPr>
          <w:t>https://www.datafirst.uct.ac.za/dataportal/index.php/catalog/608</w:t>
        </w:r>
      </w:hyperlink>
      <w:r w:rsidR="00A90DFA">
        <w:rPr>
          <w:rStyle w:val="Hyperlink"/>
          <w:rFonts w:ascii="Times New Roman" w:hAnsi="Times New Roman" w:cs="Times New Roman"/>
          <w:sz w:val="24"/>
          <w:szCs w:val="24"/>
        </w:rPr>
        <w:t>.</w:t>
      </w:r>
      <w:r w:rsidR="00590111">
        <w:rPr>
          <w:rFonts w:ascii="Times New Roman" w:hAnsi="Times New Roman" w:cs="Times New Roman"/>
          <w:sz w:val="24"/>
          <w:szCs w:val="24"/>
        </w:rPr>
        <w:t xml:space="preserve"> </w:t>
      </w:r>
    </w:p>
    <w:p w14:paraId="34D4FAAD" w14:textId="5E9C658F" w:rsidR="00430798" w:rsidRPr="00136B78" w:rsidRDefault="00430798" w:rsidP="00430798">
      <w:pPr>
        <w:ind w:left="360" w:hanging="360"/>
        <w:rPr>
          <w:rFonts w:ascii="Times New Roman" w:hAnsi="Times New Roman" w:cs="Times New Roman"/>
          <w:sz w:val="24"/>
          <w:szCs w:val="24"/>
        </w:rPr>
      </w:pPr>
      <w:proofErr w:type="spellStart"/>
      <w:r w:rsidRPr="00590111">
        <w:rPr>
          <w:rFonts w:ascii="Times New Roman" w:hAnsi="Times New Roman" w:cs="Times New Roman"/>
          <w:sz w:val="24"/>
          <w:szCs w:val="24"/>
        </w:rPr>
        <w:t>StatsSA</w:t>
      </w:r>
      <w:proofErr w:type="spellEnd"/>
      <w:r w:rsidRPr="00590111">
        <w:rPr>
          <w:rFonts w:ascii="Times New Roman" w:hAnsi="Times New Roman" w:cs="Times New Roman"/>
          <w:sz w:val="24"/>
          <w:szCs w:val="24"/>
        </w:rPr>
        <w:t>. 20</w:t>
      </w:r>
      <w:r w:rsidR="0018361A">
        <w:rPr>
          <w:rFonts w:ascii="Times New Roman" w:hAnsi="Times New Roman" w:cs="Times New Roman"/>
          <w:sz w:val="24"/>
          <w:szCs w:val="24"/>
        </w:rPr>
        <w:t>20</w:t>
      </w:r>
      <w:r w:rsidR="00AA1631">
        <w:rPr>
          <w:rFonts w:ascii="Times New Roman" w:hAnsi="Times New Roman" w:cs="Times New Roman"/>
          <w:sz w:val="24"/>
          <w:szCs w:val="24"/>
        </w:rPr>
        <w:t>a</w:t>
      </w:r>
      <w:r w:rsidRPr="00590111">
        <w:rPr>
          <w:rFonts w:ascii="Times New Roman" w:hAnsi="Times New Roman" w:cs="Times New Roman"/>
          <w:sz w:val="24"/>
          <w:szCs w:val="24"/>
        </w:rPr>
        <w:t>. “</w:t>
      </w:r>
      <w:r w:rsidR="00C62C61" w:rsidRPr="00590111">
        <w:rPr>
          <w:rFonts w:ascii="Times New Roman" w:hAnsi="Times New Roman" w:cs="Times New Roman"/>
          <w:sz w:val="24"/>
          <w:szCs w:val="24"/>
        </w:rPr>
        <w:t xml:space="preserve">Labour Market Dynamics </w:t>
      </w:r>
      <w:r w:rsidR="00590111" w:rsidRPr="00590111">
        <w:rPr>
          <w:rFonts w:ascii="Times New Roman" w:hAnsi="Times New Roman" w:cs="Times New Roman"/>
          <w:sz w:val="24"/>
          <w:szCs w:val="24"/>
        </w:rPr>
        <w:t>i</w:t>
      </w:r>
      <w:r w:rsidR="00E03CA7" w:rsidRPr="00590111">
        <w:rPr>
          <w:rFonts w:ascii="Times New Roman" w:hAnsi="Times New Roman" w:cs="Times New Roman"/>
          <w:sz w:val="24"/>
          <w:szCs w:val="24"/>
        </w:rPr>
        <w:t>n South Africa 201</w:t>
      </w:r>
      <w:r w:rsidR="0018361A">
        <w:rPr>
          <w:rFonts w:ascii="Times New Roman" w:hAnsi="Times New Roman" w:cs="Times New Roman"/>
          <w:sz w:val="24"/>
          <w:szCs w:val="24"/>
        </w:rPr>
        <w:t>8</w:t>
      </w:r>
      <w:r w:rsidR="00C62C61" w:rsidRPr="00590111">
        <w:rPr>
          <w:rFonts w:ascii="Times New Roman" w:hAnsi="Times New Roman" w:cs="Times New Roman"/>
          <w:sz w:val="24"/>
          <w:szCs w:val="24"/>
        </w:rPr>
        <w:t xml:space="preserve">”, </w:t>
      </w:r>
      <w:r w:rsidRPr="00590111">
        <w:rPr>
          <w:rFonts w:ascii="Times New Roman" w:hAnsi="Times New Roman" w:cs="Times New Roman"/>
          <w:sz w:val="24"/>
          <w:szCs w:val="24"/>
        </w:rPr>
        <w:t xml:space="preserve">Pretoria, Statistics South Africa, </w:t>
      </w:r>
      <w:r w:rsidR="00590111" w:rsidRPr="00590111">
        <w:rPr>
          <w:rFonts w:ascii="Times New Roman" w:hAnsi="Times New Roman" w:cs="Times New Roman"/>
          <w:sz w:val="24"/>
          <w:szCs w:val="24"/>
        </w:rPr>
        <w:t>[producer], 20</w:t>
      </w:r>
      <w:r w:rsidR="0018361A">
        <w:rPr>
          <w:rFonts w:ascii="Times New Roman" w:hAnsi="Times New Roman" w:cs="Times New Roman"/>
          <w:sz w:val="24"/>
          <w:szCs w:val="24"/>
        </w:rPr>
        <w:t>20</w:t>
      </w:r>
      <w:r w:rsidR="00590111" w:rsidRPr="00590111">
        <w:rPr>
          <w:rFonts w:ascii="Times New Roman" w:hAnsi="Times New Roman" w:cs="Times New Roman"/>
          <w:sz w:val="24"/>
          <w:szCs w:val="24"/>
        </w:rPr>
        <w:t xml:space="preserve">. Cape Town. </w:t>
      </w:r>
      <w:proofErr w:type="spellStart"/>
      <w:r w:rsidR="00590111" w:rsidRPr="00590111">
        <w:rPr>
          <w:rFonts w:ascii="Times New Roman" w:hAnsi="Times New Roman" w:cs="Times New Roman"/>
          <w:sz w:val="24"/>
          <w:szCs w:val="24"/>
        </w:rPr>
        <w:t>DataFirst</w:t>
      </w:r>
      <w:proofErr w:type="spellEnd"/>
      <w:r w:rsidR="00590111" w:rsidRPr="00590111">
        <w:rPr>
          <w:rFonts w:ascii="Times New Roman" w:hAnsi="Times New Roman" w:cs="Times New Roman"/>
          <w:sz w:val="24"/>
          <w:szCs w:val="24"/>
        </w:rPr>
        <w:t xml:space="preserve"> [distributor].</w:t>
      </w:r>
      <w:r w:rsidR="00590111">
        <w:rPr>
          <w:rFonts w:ascii="Times New Roman" w:hAnsi="Times New Roman" w:cs="Times New Roman"/>
          <w:sz w:val="24"/>
          <w:szCs w:val="24"/>
        </w:rPr>
        <w:t xml:space="preserve"> </w:t>
      </w:r>
      <w:hyperlink r:id="rId10" w:history="1">
        <w:r w:rsidR="00590111" w:rsidRPr="000855E6">
          <w:rPr>
            <w:rStyle w:val="Hyperlink"/>
            <w:rFonts w:ascii="Times New Roman" w:hAnsi="Times New Roman" w:cs="Times New Roman"/>
            <w:sz w:val="24"/>
            <w:szCs w:val="24"/>
          </w:rPr>
          <w:t>https://www.datafirst.uct.ac.za/dataportal/index.php/catalog/598</w:t>
        </w:r>
      </w:hyperlink>
      <w:r w:rsidR="00A90DFA">
        <w:rPr>
          <w:rStyle w:val="Hyperlink"/>
          <w:rFonts w:ascii="Times New Roman" w:hAnsi="Times New Roman" w:cs="Times New Roman"/>
          <w:sz w:val="24"/>
          <w:szCs w:val="24"/>
        </w:rPr>
        <w:t>.</w:t>
      </w:r>
      <w:r w:rsidR="00590111">
        <w:rPr>
          <w:rFonts w:ascii="Times New Roman" w:hAnsi="Times New Roman" w:cs="Times New Roman"/>
          <w:sz w:val="24"/>
          <w:szCs w:val="24"/>
        </w:rPr>
        <w:t xml:space="preserve"> </w:t>
      </w:r>
    </w:p>
    <w:p w14:paraId="77F84345" w14:textId="5F65C751" w:rsidR="00344029" w:rsidRDefault="00430798" w:rsidP="007C6EA8">
      <w:pPr>
        <w:ind w:left="360" w:hanging="360"/>
        <w:rPr>
          <w:rStyle w:val="Hyperlink"/>
          <w:rFonts w:ascii="Times New Roman" w:eastAsia="Times New Roman" w:hAnsi="Times New Roman" w:cs="Times New Roman"/>
          <w:sz w:val="24"/>
          <w:lang w:eastAsia="en-NZ"/>
        </w:rPr>
      </w:pPr>
      <w:proofErr w:type="spellStart"/>
      <w:r w:rsidRPr="00136B78">
        <w:rPr>
          <w:rFonts w:ascii="Times New Roman" w:hAnsi="Times New Roman" w:cs="Times New Roman"/>
          <w:sz w:val="24"/>
          <w:szCs w:val="24"/>
        </w:rPr>
        <w:t>StatsSA</w:t>
      </w:r>
      <w:proofErr w:type="spellEnd"/>
      <w:r w:rsidRPr="00136B78">
        <w:rPr>
          <w:rFonts w:ascii="Times New Roman" w:hAnsi="Times New Roman" w:cs="Times New Roman"/>
          <w:sz w:val="24"/>
          <w:szCs w:val="24"/>
        </w:rPr>
        <w:t xml:space="preserve">. </w:t>
      </w:r>
      <w:r w:rsidR="004F2E1B">
        <w:rPr>
          <w:rFonts w:ascii="Times New Roman" w:hAnsi="Times New Roman" w:cs="Times New Roman"/>
          <w:sz w:val="24"/>
          <w:szCs w:val="24"/>
        </w:rPr>
        <w:t>20</w:t>
      </w:r>
      <w:r w:rsidR="00AA1631">
        <w:rPr>
          <w:rFonts w:ascii="Times New Roman" w:hAnsi="Times New Roman" w:cs="Times New Roman"/>
          <w:sz w:val="24"/>
          <w:szCs w:val="24"/>
        </w:rPr>
        <w:t>20b</w:t>
      </w:r>
      <w:r w:rsidRPr="00136B78">
        <w:rPr>
          <w:rFonts w:ascii="Times New Roman" w:hAnsi="Times New Roman" w:cs="Times New Roman"/>
          <w:sz w:val="24"/>
          <w:szCs w:val="24"/>
        </w:rPr>
        <w:t xml:space="preserve">. </w:t>
      </w:r>
      <w:r w:rsidR="007C6EA8">
        <w:rPr>
          <w:rFonts w:ascii="Times New Roman" w:hAnsi="Times New Roman" w:cs="Times New Roman"/>
          <w:sz w:val="24"/>
          <w:szCs w:val="24"/>
        </w:rPr>
        <w:t>“</w:t>
      </w:r>
      <w:r w:rsidR="007C6EA8" w:rsidRPr="007C6EA8">
        <w:rPr>
          <w:rFonts w:ascii="Times New Roman" w:hAnsi="Times New Roman" w:cs="Times New Roman"/>
          <w:sz w:val="24"/>
          <w:szCs w:val="24"/>
        </w:rPr>
        <w:t xml:space="preserve">P0441 - Gross Domestic Product (GDP), </w:t>
      </w:r>
      <w:r w:rsidR="0018361A">
        <w:rPr>
          <w:rFonts w:ascii="Times New Roman" w:hAnsi="Times New Roman" w:cs="Times New Roman"/>
          <w:sz w:val="24"/>
          <w:szCs w:val="24"/>
        </w:rPr>
        <w:t>2</w:t>
      </w:r>
      <w:r w:rsidR="0018361A" w:rsidRPr="0018361A">
        <w:rPr>
          <w:rFonts w:ascii="Times New Roman" w:hAnsi="Times New Roman" w:cs="Times New Roman"/>
          <w:sz w:val="24"/>
          <w:szCs w:val="24"/>
          <w:vertAlign w:val="superscript"/>
        </w:rPr>
        <w:t>nd</w:t>
      </w:r>
      <w:r w:rsidR="0018361A">
        <w:rPr>
          <w:rFonts w:ascii="Times New Roman" w:hAnsi="Times New Roman" w:cs="Times New Roman"/>
          <w:sz w:val="24"/>
          <w:szCs w:val="24"/>
        </w:rPr>
        <w:t xml:space="preserve"> </w:t>
      </w:r>
      <w:r w:rsidR="007C6EA8" w:rsidRPr="007C6EA8">
        <w:rPr>
          <w:rFonts w:ascii="Times New Roman" w:hAnsi="Times New Roman" w:cs="Times New Roman"/>
          <w:sz w:val="24"/>
          <w:szCs w:val="24"/>
        </w:rPr>
        <w:t>Quarter 20</w:t>
      </w:r>
      <w:r w:rsidR="0018361A">
        <w:rPr>
          <w:rFonts w:ascii="Times New Roman" w:hAnsi="Times New Roman" w:cs="Times New Roman"/>
          <w:sz w:val="24"/>
          <w:szCs w:val="24"/>
        </w:rPr>
        <w:t>20</w:t>
      </w:r>
      <w:r w:rsidR="007C6EA8">
        <w:rPr>
          <w:rFonts w:ascii="Times New Roman" w:hAnsi="Times New Roman" w:cs="Times New Roman"/>
          <w:sz w:val="24"/>
          <w:szCs w:val="24"/>
        </w:rPr>
        <w:t>”</w:t>
      </w:r>
      <w:r w:rsidR="00D27CFD">
        <w:rPr>
          <w:rFonts w:ascii="Times New Roman" w:hAnsi="Times New Roman" w:cs="Times New Roman"/>
          <w:sz w:val="24"/>
          <w:szCs w:val="24"/>
        </w:rPr>
        <w:t xml:space="preserve"> </w:t>
      </w:r>
      <w:hyperlink r:id="rId11" w:history="1">
        <w:r w:rsidR="009E54D2" w:rsidRPr="00536CB3">
          <w:rPr>
            <w:rStyle w:val="Hyperlink"/>
            <w:rFonts w:ascii="Times New Roman" w:eastAsia="Times New Roman" w:hAnsi="Times New Roman" w:cs="Times New Roman"/>
            <w:sz w:val="24"/>
            <w:lang w:eastAsia="en-NZ"/>
          </w:rPr>
          <w:t>http://www.statssa.gov.za/?page_id=1854&amp;PPN=P0441&amp;SCH=7804</w:t>
        </w:r>
      </w:hyperlink>
      <w:r w:rsidR="00A90DFA">
        <w:rPr>
          <w:rStyle w:val="Hyperlink"/>
          <w:rFonts w:ascii="Times New Roman" w:eastAsia="Times New Roman" w:hAnsi="Times New Roman" w:cs="Times New Roman"/>
          <w:sz w:val="24"/>
          <w:lang w:eastAsia="en-NZ"/>
        </w:rPr>
        <w:t>.</w:t>
      </w:r>
    </w:p>
    <w:p w14:paraId="335612A4" w14:textId="22422A84" w:rsidR="00A90DFA" w:rsidRDefault="00A90DFA" w:rsidP="00A90DFA">
      <w:pPr>
        <w:ind w:left="360" w:hanging="360"/>
        <w:rPr>
          <w:rStyle w:val="Hyperlink"/>
          <w:rFonts w:ascii="Times New Roman" w:eastAsia="Times New Roman" w:hAnsi="Times New Roman" w:cs="Times New Roman"/>
          <w:sz w:val="24"/>
          <w:lang w:eastAsia="en-NZ"/>
        </w:rPr>
      </w:pPr>
      <w:proofErr w:type="spellStart"/>
      <w:r w:rsidRPr="00136B78">
        <w:rPr>
          <w:rFonts w:ascii="Times New Roman" w:hAnsi="Times New Roman" w:cs="Times New Roman"/>
          <w:sz w:val="24"/>
          <w:szCs w:val="24"/>
        </w:rPr>
        <w:t>StatsSA</w:t>
      </w:r>
      <w:proofErr w:type="spellEnd"/>
      <w:r w:rsidRPr="00136B78">
        <w:rPr>
          <w:rFonts w:ascii="Times New Roman" w:hAnsi="Times New Roman" w:cs="Times New Roman"/>
          <w:sz w:val="24"/>
          <w:szCs w:val="24"/>
        </w:rPr>
        <w:t xml:space="preserve">. </w:t>
      </w:r>
      <w:r>
        <w:rPr>
          <w:rFonts w:ascii="Times New Roman" w:hAnsi="Times New Roman" w:cs="Times New Roman"/>
          <w:sz w:val="24"/>
          <w:szCs w:val="24"/>
        </w:rPr>
        <w:t>2020c</w:t>
      </w:r>
      <w:r w:rsidRPr="00136B78">
        <w:rPr>
          <w:rFonts w:ascii="Times New Roman" w:hAnsi="Times New Roman" w:cs="Times New Roman"/>
          <w:sz w:val="24"/>
          <w:szCs w:val="24"/>
        </w:rPr>
        <w:t xml:space="preserve">. </w:t>
      </w:r>
      <w:r>
        <w:rPr>
          <w:rFonts w:ascii="Times New Roman" w:hAnsi="Times New Roman" w:cs="Times New Roman"/>
          <w:sz w:val="24"/>
          <w:szCs w:val="24"/>
        </w:rPr>
        <w:t>“</w:t>
      </w:r>
      <w:r w:rsidRPr="007C6EA8">
        <w:rPr>
          <w:rFonts w:ascii="Times New Roman" w:hAnsi="Times New Roman" w:cs="Times New Roman"/>
          <w:sz w:val="24"/>
          <w:szCs w:val="24"/>
        </w:rPr>
        <w:t>P0</w:t>
      </w:r>
      <w:r>
        <w:rPr>
          <w:rFonts w:ascii="Times New Roman" w:hAnsi="Times New Roman" w:cs="Times New Roman"/>
          <w:sz w:val="24"/>
          <w:szCs w:val="24"/>
        </w:rPr>
        <w:t>211</w:t>
      </w:r>
      <w:r w:rsidRPr="007C6EA8">
        <w:rPr>
          <w:rFonts w:ascii="Times New Roman" w:hAnsi="Times New Roman" w:cs="Times New Roman"/>
          <w:sz w:val="24"/>
          <w:szCs w:val="24"/>
        </w:rPr>
        <w:t xml:space="preserve"> - </w:t>
      </w:r>
      <w:r w:rsidRPr="00A90DFA">
        <w:rPr>
          <w:rFonts w:ascii="Times New Roman" w:hAnsi="Times New Roman" w:cs="Times New Roman"/>
          <w:sz w:val="24"/>
          <w:szCs w:val="24"/>
        </w:rPr>
        <w:t>Quarterly Labour Force Survey (QLFS),</w:t>
      </w:r>
      <w:r w:rsidRPr="007C6EA8">
        <w:rPr>
          <w:rFonts w:ascii="Times New Roman" w:hAnsi="Times New Roman" w:cs="Times New Roman"/>
          <w:sz w:val="24"/>
          <w:szCs w:val="24"/>
        </w:rPr>
        <w:t xml:space="preserve"> </w:t>
      </w:r>
      <w:r>
        <w:rPr>
          <w:rFonts w:ascii="Times New Roman" w:hAnsi="Times New Roman" w:cs="Times New Roman"/>
          <w:sz w:val="24"/>
          <w:szCs w:val="24"/>
        </w:rPr>
        <w:t>2</w:t>
      </w:r>
      <w:r w:rsidRPr="0018361A">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7C6EA8">
        <w:rPr>
          <w:rFonts w:ascii="Times New Roman" w:hAnsi="Times New Roman" w:cs="Times New Roman"/>
          <w:sz w:val="24"/>
          <w:szCs w:val="24"/>
        </w:rPr>
        <w:t>Quarter 20</w:t>
      </w:r>
      <w:r>
        <w:rPr>
          <w:rFonts w:ascii="Times New Roman" w:hAnsi="Times New Roman" w:cs="Times New Roman"/>
          <w:sz w:val="24"/>
          <w:szCs w:val="24"/>
        </w:rPr>
        <w:t xml:space="preserve">20” </w:t>
      </w:r>
      <w:r w:rsidRPr="00A90DFA">
        <w:rPr>
          <w:rStyle w:val="Hyperlink"/>
          <w:rFonts w:ascii="Times New Roman" w:eastAsia="Times New Roman" w:hAnsi="Times New Roman" w:cs="Times New Roman"/>
          <w:sz w:val="24"/>
          <w:lang w:eastAsia="en-NZ"/>
        </w:rPr>
        <w:t>http://www.statssa.gov.za/?page_id=1854&amp;PPN=P0211</w:t>
      </w:r>
      <w:r>
        <w:rPr>
          <w:rStyle w:val="Hyperlink"/>
          <w:rFonts w:ascii="Times New Roman" w:eastAsia="Times New Roman" w:hAnsi="Times New Roman" w:cs="Times New Roman"/>
          <w:sz w:val="24"/>
          <w:lang w:eastAsia="en-NZ"/>
        </w:rPr>
        <w:t>.</w:t>
      </w:r>
    </w:p>
    <w:p w14:paraId="38C2C6DF" w14:textId="0D46DECC" w:rsidR="009E54D2" w:rsidRDefault="009E54D2" w:rsidP="007C6EA8">
      <w:pPr>
        <w:ind w:left="360" w:hanging="360"/>
        <w:rPr>
          <w:rFonts w:ascii="Times New Roman" w:hAnsi="Times New Roman" w:cs="Times New Roman"/>
          <w:sz w:val="24"/>
          <w:szCs w:val="24"/>
        </w:rPr>
      </w:pPr>
      <w:r w:rsidRPr="007E598D">
        <w:rPr>
          <w:rFonts w:ascii="Times New Roman" w:hAnsi="Times New Roman" w:cs="Times New Roman"/>
          <w:sz w:val="24"/>
          <w:szCs w:val="24"/>
        </w:rPr>
        <w:t xml:space="preserve">van Seventer, D, </w:t>
      </w:r>
      <w:r w:rsidR="007E598D" w:rsidRPr="007E598D">
        <w:rPr>
          <w:rFonts w:ascii="Times New Roman" w:hAnsi="Times New Roman" w:cs="Times New Roman"/>
          <w:sz w:val="24"/>
          <w:szCs w:val="24"/>
        </w:rPr>
        <w:t>Bold, S, Gabriel, S a</w:t>
      </w:r>
      <w:r w:rsidR="007E598D">
        <w:rPr>
          <w:rFonts w:ascii="Times New Roman" w:hAnsi="Times New Roman" w:cs="Times New Roman"/>
          <w:sz w:val="24"/>
          <w:szCs w:val="24"/>
        </w:rPr>
        <w:t xml:space="preserve">nd Davies, R, 2019, </w:t>
      </w:r>
      <w:r w:rsidR="007E598D" w:rsidRPr="007E598D">
        <w:rPr>
          <w:rFonts w:ascii="Times New Roman" w:hAnsi="Times New Roman" w:cs="Times New Roman"/>
          <w:sz w:val="24"/>
          <w:szCs w:val="24"/>
        </w:rPr>
        <w:t xml:space="preserve">A 2015 </w:t>
      </w:r>
      <w:r w:rsidR="0011070A">
        <w:rPr>
          <w:rFonts w:ascii="Times New Roman" w:hAnsi="Times New Roman" w:cs="Times New Roman"/>
          <w:sz w:val="24"/>
          <w:szCs w:val="24"/>
        </w:rPr>
        <w:t>S</w:t>
      </w:r>
      <w:r w:rsidR="007E598D" w:rsidRPr="007E598D">
        <w:rPr>
          <w:rFonts w:ascii="Times New Roman" w:hAnsi="Times New Roman" w:cs="Times New Roman"/>
          <w:sz w:val="24"/>
          <w:szCs w:val="24"/>
        </w:rPr>
        <w:t xml:space="preserve">ocial </w:t>
      </w:r>
      <w:r w:rsidR="0011070A">
        <w:rPr>
          <w:rFonts w:ascii="Times New Roman" w:hAnsi="Times New Roman" w:cs="Times New Roman"/>
          <w:sz w:val="24"/>
          <w:szCs w:val="24"/>
        </w:rPr>
        <w:t>A</w:t>
      </w:r>
      <w:r w:rsidR="007E598D" w:rsidRPr="007E598D">
        <w:rPr>
          <w:rFonts w:ascii="Times New Roman" w:hAnsi="Times New Roman" w:cs="Times New Roman"/>
          <w:sz w:val="24"/>
          <w:szCs w:val="24"/>
        </w:rPr>
        <w:t xml:space="preserve">ccounting </w:t>
      </w:r>
      <w:r w:rsidR="0011070A">
        <w:rPr>
          <w:rFonts w:ascii="Times New Roman" w:hAnsi="Times New Roman" w:cs="Times New Roman"/>
          <w:sz w:val="24"/>
          <w:szCs w:val="24"/>
        </w:rPr>
        <w:t>M</w:t>
      </w:r>
      <w:r w:rsidR="007E598D" w:rsidRPr="007E598D">
        <w:rPr>
          <w:rFonts w:ascii="Times New Roman" w:hAnsi="Times New Roman" w:cs="Times New Roman"/>
          <w:sz w:val="24"/>
          <w:szCs w:val="24"/>
        </w:rPr>
        <w:t>atrix for South Africa</w:t>
      </w:r>
      <w:r w:rsidR="007E598D">
        <w:rPr>
          <w:rFonts w:ascii="Times New Roman" w:hAnsi="Times New Roman" w:cs="Times New Roman"/>
          <w:sz w:val="24"/>
          <w:szCs w:val="24"/>
        </w:rPr>
        <w:t xml:space="preserve">, </w:t>
      </w:r>
      <w:r w:rsidR="007E598D" w:rsidRPr="007E598D">
        <w:rPr>
          <w:rFonts w:ascii="Times New Roman" w:hAnsi="Times New Roman" w:cs="Times New Roman"/>
          <w:sz w:val="24"/>
          <w:szCs w:val="24"/>
        </w:rPr>
        <w:t>SA-TIED Working Paper #35</w:t>
      </w:r>
      <w:r w:rsidR="007E598D">
        <w:rPr>
          <w:rFonts w:ascii="Times New Roman" w:hAnsi="Times New Roman" w:cs="Times New Roman"/>
          <w:sz w:val="24"/>
          <w:szCs w:val="24"/>
        </w:rPr>
        <w:t xml:space="preserve">, </w:t>
      </w:r>
      <w:hyperlink r:id="rId12" w:history="1">
        <w:r w:rsidR="007E598D" w:rsidRPr="00536CB3">
          <w:rPr>
            <w:rStyle w:val="Hyperlink"/>
            <w:rFonts w:ascii="Times New Roman" w:hAnsi="Times New Roman" w:cs="Times New Roman"/>
            <w:sz w:val="24"/>
            <w:szCs w:val="24"/>
          </w:rPr>
          <w:t>https://sa-tied.wider.unu.edu/node/1459</w:t>
        </w:r>
      </w:hyperlink>
      <w:r w:rsidR="007E598D">
        <w:rPr>
          <w:rFonts w:ascii="Times New Roman" w:hAnsi="Times New Roman" w:cs="Times New Roman"/>
          <w:sz w:val="24"/>
          <w:szCs w:val="24"/>
        </w:rPr>
        <w:t>.</w:t>
      </w:r>
    </w:p>
    <w:p w14:paraId="7DB77AB9" w14:textId="77777777" w:rsidR="00B16C43" w:rsidRPr="007E598D" w:rsidRDefault="00B16C43" w:rsidP="007C6EA8">
      <w:pPr>
        <w:ind w:left="360" w:hanging="360"/>
        <w:rPr>
          <w:rFonts w:ascii="Times New Roman" w:hAnsi="Times New Roman" w:cs="Times New Roman"/>
          <w:sz w:val="24"/>
          <w:szCs w:val="24"/>
        </w:rPr>
      </w:pPr>
    </w:p>
    <w:p w14:paraId="0A39A3B5" w14:textId="192646F9" w:rsidR="0062012A" w:rsidRPr="007E598D" w:rsidRDefault="0062012A">
      <w:pPr>
        <w:rPr>
          <w:rFonts w:ascii="Times New Roman" w:hAnsi="Times New Roman" w:cs="Times New Roman"/>
          <w:i/>
          <w:sz w:val="24"/>
        </w:rPr>
        <w:sectPr w:rsidR="0062012A" w:rsidRPr="007E598D">
          <w:pgSz w:w="11906" w:h="16838"/>
          <w:pgMar w:top="1440" w:right="1440" w:bottom="1440" w:left="1440" w:header="708" w:footer="708" w:gutter="0"/>
          <w:cols w:space="708"/>
          <w:docGrid w:linePitch="360"/>
        </w:sectPr>
      </w:pPr>
      <w:bookmarkStart w:id="4" w:name="_Ref431986694"/>
    </w:p>
    <w:bookmarkEnd w:id="4"/>
    <w:p w14:paraId="46A96100" w14:textId="4FC38FC5" w:rsidR="00614F1C" w:rsidRPr="008D1ECC" w:rsidRDefault="00614F1C" w:rsidP="005559EE">
      <w:pPr>
        <w:pStyle w:val="Heading1"/>
        <w:jc w:val="center"/>
        <w:rPr>
          <w:i/>
          <w:sz w:val="20"/>
          <w:szCs w:val="20"/>
        </w:rPr>
      </w:pPr>
    </w:p>
    <w:sectPr w:rsidR="00614F1C" w:rsidRPr="008D1ECC" w:rsidSect="0062012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DF6AB" w14:textId="77777777" w:rsidR="007446E6" w:rsidRDefault="007446E6" w:rsidP="007547C4">
      <w:pPr>
        <w:spacing w:after="0" w:line="240" w:lineRule="auto"/>
      </w:pPr>
      <w:r>
        <w:separator/>
      </w:r>
    </w:p>
  </w:endnote>
  <w:endnote w:type="continuationSeparator" w:id="0">
    <w:p w14:paraId="610E33BD" w14:textId="77777777" w:rsidR="007446E6" w:rsidRDefault="007446E6" w:rsidP="0075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54EA" w14:textId="77777777" w:rsidR="007446E6" w:rsidRDefault="007446E6" w:rsidP="007547C4">
      <w:pPr>
        <w:spacing w:after="0" w:line="240" w:lineRule="auto"/>
      </w:pPr>
      <w:r>
        <w:separator/>
      </w:r>
    </w:p>
  </w:footnote>
  <w:footnote w:type="continuationSeparator" w:id="0">
    <w:p w14:paraId="169459E6" w14:textId="77777777" w:rsidR="007446E6" w:rsidRDefault="007446E6" w:rsidP="007547C4">
      <w:pPr>
        <w:spacing w:after="0" w:line="240" w:lineRule="auto"/>
      </w:pPr>
      <w:r>
        <w:continuationSeparator/>
      </w:r>
    </w:p>
  </w:footnote>
  <w:footnote w:id="1">
    <w:p w14:paraId="6F910723" w14:textId="2077DFBC" w:rsidR="002E1B98" w:rsidRDefault="002E1B98">
      <w:pPr>
        <w:pStyle w:val="FootnoteText"/>
      </w:pPr>
      <w:r w:rsidRPr="00DE6DC3">
        <w:rPr>
          <w:rStyle w:val="FootnoteReference"/>
          <w:b/>
          <w:bCs/>
          <w:color w:val="FF0000"/>
          <w:highlight w:val="yellow"/>
        </w:rPr>
        <w:footnoteRef/>
      </w:r>
      <w:r w:rsidRPr="00DE6DC3">
        <w:rPr>
          <w:b/>
          <w:bCs/>
          <w:color w:val="FF0000"/>
          <w:highlight w:val="yellow"/>
        </w:rPr>
        <w:t xml:space="preserve"> The final disaggregated SAM is quite large and is available on request or as an accompanying Excel workbook, depending on the decision made</w:t>
      </w:r>
      <w:r w:rsidRPr="00DE6DC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6956"/>
    <w:multiLevelType w:val="hybridMultilevel"/>
    <w:tmpl w:val="C2B89ED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15896486"/>
    <w:multiLevelType w:val="hybridMultilevel"/>
    <w:tmpl w:val="614C019C"/>
    <w:lvl w:ilvl="0" w:tplc="FA369C78">
      <w:start w:val="1"/>
      <w:numFmt w:val="bullet"/>
      <w:lvlText w:val="-"/>
      <w:lvlJc w:val="left"/>
      <w:pPr>
        <w:ind w:left="360" w:hanging="360"/>
      </w:pPr>
      <w:rPr>
        <w:rFonts w:ascii="Times New Roman" w:hAnsi="Times New Roman"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BEF525C"/>
    <w:multiLevelType w:val="hybridMultilevel"/>
    <w:tmpl w:val="A0CAE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6F68E4"/>
    <w:multiLevelType w:val="multilevel"/>
    <w:tmpl w:val="8166A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7F175F"/>
    <w:multiLevelType w:val="hybridMultilevel"/>
    <w:tmpl w:val="442819D6"/>
    <w:lvl w:ilvl="0" w:tplc="E2A8F02E">
      <w:start w:val="1"/>
      <w:numFmt w:val="bullet"/>
      <w:lvlText w:val=""/>
      <w:lvlJc w:val="left"/>
      <w:pPr>
        <w:ind w:left="1200" w:hanging="360"/>
      </w:pPr>
      <w:rPr>
        <w:rFonts w:ascii="Symbol" w:hAnsi="Symbol" w:hint="default"/>
      </w:rPr>
    </w:lvl>
    <w:lvl w:ilvl="1" w:tplc="14090003" w:tentative="1">
      <w:start w:val="1"/>
      <w:numFmt w:val="bullet"/>
      <w:lvlText w:val="o"/>
      <w:lvlJc w:val="left"/>
      <w:pPr>
        <w:ind w:left="1920" w:hanging="360"/>
      </w:pPr>
      <w:rPr>
        <w:rFonts w:ascii="Courier New" w:hAnsi="Courier New" w:cs="Courier New" w:hint="default"/>
      </w:rPr>
    </w:lvl>
    <w:lvl w:ilvl="2" w:tplc="14090005" w:tentative="1">
      <w:start w:val="1"/>
      <w:numFmt w:val="bullet"/>
      <w:lvlText w:val=""/>
      <w:lvlJc w:val="left"/>
      <w:pPr>
        <w:ind w:left="2640" w:hanging="360"/>
      </w:pPr>
      <w:rPr>
        <w:rFonts w:ascii="Wingdings" w:hAnsi="Wingdings" w:hint="default"/>
      </w:rPr>
    </w:lvl>
    <w:lvl w:ilvl="3" w:tplc="14090001" w:tentative="1">
      <w:start w:val="1"/>
      <w:numFmt w:val="bullet"/>
      <w:lvlText w:val=""/>
      <w:lvlJc w:val="left"/>
      <w:pPr>
        <w:ind w:left="3360" w:hanging="360"/>
      </w:pPr>
      <w:rPr>
        <w:rFonts w:ascii="Symbol" w:hAnsi="Symbol" w:hint="default"/>
      </w:rPr>
    </w:lvl>
    <w:lvl w:ilvl="4" w:tplc="14090003" w:tentative="1">
      <w:start w:val="1"/>
      <w:numFmt w:val="bullet"/>
      <w:lvlText w:val="o"/>
      <w:lvlJc w:val="left"/>
      <w:pPr>
        <w:ind w:left="4080" w:hanging="360"/>
      </w:pPr>
      <w:rPr>
        <w:rFonts w:ascii="Courier New" w:hAnsi="Courier New" w:cs="Courier New" w:hint="default"/>
      </w:rPr>
    </w:lvl>
    <w:lvl w:ilvl="5" w:tplc="14090005" w:tentative="1">
      <w:start w:val="1"/>
      <w:numFmt w:val="bullet"/>
      <w:lvlText w:val=""/>
      <w:lvlJc w:val="left"/>
      <w:pPr>
        <w:ind w:left="4800" w:hanging="360"/>
      </w:pPr>
      <w:rPr>
        <w:rFonts w:ascii="Wingdings" w:hAnsi="Wingdings" w:hint="default"/>
      </w:rPr>
    </w:lvl>
    <w:lvl w:ilvl="6" w:tplc="14090001" w:tentative="1">
      <w:start w:val="1"/>
      <w:numFmt w:val="bullet"/>
      <w:lvlText w:val=""/>
      <w:lvlJc w:val="left"/>
      <w:pPr>
        <w:ind w:left="5520" w:hanging="360"/>
      </w:pPr>
      <w:rPr>
        <w:rFonts w:ascii="Symbol" w:hAnsi="Symbol" w:hint="default"/>
      </w:rPr>
    </w:lvl>
    <w:lvl w:ilvl="7" w:tplc="14090003" w:tentative="1">
      <w:start w:val="1"/>
      <w:numFmt w:val="bullet"/>
      <w:lvlText w:val="o"/>
      <w:lvlJc w:val="left"/>
      <w:pPr>
        <w:ind w:left="6240" w:hanging="360"/>
      </w:pPr>
      <w:rPr>
        <w:rFonts w:ascii="Courier New" w:hAnsi="Courier New" w:cs="Courier New" w:hint="default"/>
      </w:rPr>
    </w:lvl>
    <w:lvl w:ilvl="8" w:tplc="14090005" w:tentative="1">
      <w:start w:val="1"/>
      <w:numFmt w:val="bullet"/>
      <w:lvlText w:val=""/>
      <w:lvlJc w:val="left"/>
      <w:pPr>
        <w:ind w:left="6960" w:hanging="360"/>
      </w:pPr>
      <w:rPr>
        <w:rFonts w:ascii="Wingdings" w:hAnsi="Wingdings" w:hint="default"/>
      </w:rPr>
    </w:lvl>
  </w:abstractNum>
  <w:abstractNum w:abstractNumId="5" w15:restartNumberingAfterBreak="0">
    <w:nsid w:val="742501B7"/>
    <w:multiLevelType w:val="hybridMultilevel"/>
    <w:tmpl w:val="D920186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796E504D"/>
    <w:multiLevelType w:val="hybridMultilevel"/>
    <w:tmpl w:val="ABCC66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27"/>
    <w:rsid w:val="00013FB9"/>
    <w:rsid w:val="000163F5"/>
    <w:rsid w:val="00036604"/>
    <w:rsid w:val="000400A6"/>
    <w:rsid w:val="00044331"/>
    <w:rsid w:val="00061078"/>
    <w:rsid w:val="00063849"/>
    <w:rsid w:val="000863A9"/>
    <w:rsid w:val="000A2866"/>
    <w:rsid w:val="000A4A48"/>
    <w:rsid w:val="000C66F3"/>
    <w:rsid w:val="000D1619"/>
    <w:rsid w:val="000E0E78"/>
    <w:rsid w:val="000E5809"/>
    <w:rsid w:val="0011070A"/>
    <w:rsid w:val="00110F9E"/>
    <w:rsid w:val="00114D57"/>
    <w:rsid w:val="00120C35"/>
    <w:rsid w:val="0013220E"/>
    <w:rsid w:val="0013438C"/>
    <w:rsid w:val="00136B78"/>
    <w:rsid w:val="00160FAA"/>
    <w:rsid w:val="0016597E"/>
    <w:rsid w:val="00165E5F"/>
    <w:rsid w:val="001679BF"/>
    <w:rsid w:val="00176614"/>
    <w:rsid w:val="001819C0"/>
    <w:rsid w:val="0018361A"/>
    <w:rsid w:val="001875C6"/>
    <w:rsid w:val="001A5D0C"/>
    <w:rsid w:val="001B5159"/>
    <w:rsid w:val="001C528C"/>
    <w:rsid w:val="001C6204"/>
    <w:rsid w:val="001C6E3B"/>
    <w:rsid w:val="001D70EC"/>
    <w:rsid w:val="001E4562"/>
    <w:rsid w:val="001F10E7"/>
    <w:rsid w:val="001F14BF"/>
    <w:rsid w:val="001F51CD"/>
    <w:rsid w:val="002031BC"/>
    <w:rsid w:val="00227772"/>
    <w:rsid w:val="00235206"/>
    <w:rsid w:val="00235A54"/>
    <w:rsid w:val="00236C3C"/>
    <w:rsid w:val="002427C0"/>
    <w:rsid w:val="002710F9"/>
    <w:rsid w:val="002718F2"/>
    <w:rsid w:val="00276A5D"/>
    <w:rsid w:val="00276FC0"/>
    <w:rsid w:val="00291F85"/>
    <w:rsid w:val="00294AFB"/>
    <w:rsid w:val="002B16A9"/>
    <w:rsid w:val="002B1905"/>
    <w:rsid w:val="002D0291"/>
    <w:rsid w:val="002D7E3E"/>
    <w:rsid w:val="002E1B98"/>
    <w:rsid w:val="002E223C"/>
    <w:rsid w:val="002F6B0D"/>
    <w:rsid w:val="00301D98"/>
    <w:rsid w:val="00344029"/>
    <w:rsid w:val="0036678A"/>
    <w:rsid w:val="00385B29"/>
    <w:rsid w:val="00387A64"/>
    <w:rsid w:val="00391353"/>
    <w:rsid w:val="003A63AB"/>
    <w:rsid w:val="003B1455"/>
    <w:rsid w:val="003B2020"/>
    <w:rsid w:val="003B2A22"/>
    <w:rsid w:val="003B5A9F"/>
    <w:rsid w:val="003D0C49"/>
    <w:rsid w:val="003E18E8"/>
    <w:rsid w:val="003E1FE1"/>
    <w:rsid w:val="003E3FDE"/>
    <w:rsid w:val="003E547B"/>
    <w:rsid w:val="003E56D7"/>
    <w:rsid w:val="003F4AC1"/>
    <w:rsid w:val="00400424"/>
    <w:rsid w:val="00407B3A"/>
    <w:rsid w:val="00407FEA"/>
    <w:rsid w:val="00414457"/>
    <w:rsid w:val="00416B1C"/>
    <w:rsid w:val="00430798"/>
    <w:rsid w:val="00434D82"/>
    <w:rsid w:val="00461283"/>
    <w:rsid w:val="00465C23"/>
    <w:rsid w:val="0047460F"/>
    <w:rsid w:val="00476ADC"/>
    <w:rsid w:val="00484C99"/>
    <w:rsid w:val="004858EA"/>
    <w:rsid w:val="00495472"/>
    <w:rsid w:val="004A159C"/>
    <w:rsid w:val="004B437D"/>
    <w:rsid w:val="004B5673"/>
    <w:rsid w:val="004F2E1B"/>
    <w:rsid w:val="004F3A89"/>
    <w:rsid w:val="0051150E"/>
    <w:rsid w:val="00521AA1"/>
    <w:rsid w:val="0052661A"/>
    <w:rsid w:val="00533DE1"/>
    <w:rsid w:val="00536F91"/>
    <w:rsid w:val="005518D4"/>
    <w:rsid w:val="00553B68"/>
    <w:rsid w:val="005559EE"/>
    <w:rsid w:val="0055638E"/>
    <w:rsid w:val="00561AB8"/>
    <w:rsid w:val="0056249D"/>
    <w:rsid w:val="0057786F"/>
    <w:rsid w:val="00590111"/>
    <w:rsid w:val="005A1C81"/>
    <w:rsid w:val="005C3D86"/>
    <w:rsid w:val="005C5382"/>
    <w:rsid w:val="005D2D52"/>
    <w:rsid w:val="005D633A"/>
    <w:rsid w:val="005E48BB"/>
    <w:rsid w:val="005E6DB4"/>
    <w:rsid w:val="005F3D89"/>
    <w:rsid w:val="0060273F"/>
    <w:rsid w:val="00614F1C"/>
    <w:rsid w:val="0062012A"/>
    <w:rsid w:val="00622951"/>
    <w:rsid w:val="0063067F"/>
    <w:rsid w:val="00643FB4"/>
    <w:rsid w:val="006451DF"/>
    <w:rsid w:val="00645967"/>
    <w:rsid w:val="00645AFC"/>
    <w:rsid w:val="00672163"/>
    <w:rsid w:val="00682EE5"/>
    <w:rsid w:val="00696EA5"/>
    <w:rsid w:val="006A510D"/>
    <w:rsid w:val="006B0454"/>
    <w:rsid w:val="006B2430"/>
    <w:rsid w:val="006B39D3"/>
    <w:rsid w:val="006D409D"/>
    <w:rsid w:val="006D5DF8"/>
    <w:rsid w:val="006F4ABE"/>
    <w:rsid w:val="00710A53"/>
    <w:rsid w:val="007446E6"/>
    <w:rsid w:val="00744BD8"/>
    <w:rsid w:val="00750731"/>
    <w:rsid w:val="007547C4"/>
    <w:rsid w:val="007571B6"/>
    <w:rsid w:val="007870E6"/>
    <w:rsid w:val="00794FA4"/>
    <w:rsid w:val="007B3A2D"/>
    <w:rsid w:val="007B5B84"/>
    <w:rsid w:val="007C6EA8"/>
    <w:rsid w:val="007D188E"/>
    <w:rsid w:val="007D6051"/>
    <w:rsid w:val="007E0732"/>
    <w:rsid w:val="007E598D"/>
    <w:rsid w:val="007E6E53"/>
    <w:rsid w:val="007F2A32"/>
    <w:rsid w:val="007F3F94"/>
    <w:rsid w:val="007F46D9"/>
    <w:rsid w:val="007F59FD"/>
    <w:rsid w:val="008059D8"/>
    <w:rsid w:val="00810C6C"/>
    <w:rsid w:val="008346BA"/>
    <w:rsid w:val="0087371E"/>
    <w:rsid w:val="00884E84"/>
    <w:rsid w:val="0088583E"/>
    <w:rsid w:val="00886F95"/>
    <w:rsid w:val="00887640"/>
    <w:rsid w:val="00887959"/>
    <w:rsid w:val="008905A3"/>
    <w:rsid w:val="00894DE2"/>
    <w:rsid w:val="008A61A3"/>
    <w:rsid w:val="008B1428"/>
    <w:rsid w:val="008B1C99"/>
    <w:rsid w:val="008D10C7"/>
    <w:rsid w:val="008D1ECC"/>
    <w:rsid w:val="008E68A5"/>
    <w:rsid w:val="008E719E"/>
    <w:rsid w:val="008E7CAF"/>
    <w:rsid w:val="009007A2"/>
    <w:rsid w:val="00905AF1"/>
    <w:rsid w:val="009150AB"/>
    <w:rsid w:val="00916922"/>
    <w:rsid w:val="00920D45"/>
    <w:rsid w:val="00930802"/>
    <w:rsid w:val="0094449D"/>
    <w:rsid w:val="00976CCF"/>
    <w:rsid w:val="00981FE4"/>
    <w:rsid w:val="00987C28"/>
    <w:rsid w:val="009A7D13"/>
    <w:rsid w:val="009B1E74"/>
    <w:rsid w:val="009C0157"/>
    <w:rsid w:val="009C2546"/>
    <w:rsid w:val="009C3E88"/>
    <w:rsid w:val="009D272E"/>
    <w:rsid w:val="009D5CF9"/>
    <w:rsid w:val="009D6086"/>
    <w:rsid w:val="009D66C1"/>
    <w:rsid w:val="009E1859"/>
    <w:rsid w:val="009E4C9B"/>
    <w:rsid w:val="009E5210"/>
    <w:rsid w:val="009E54D2"/>
    <w:rsid w:val="009F086C"/>
    <w:rsid w:val="009F0D3A"/>
    <w:rsid w:val="009F0E79"/>
    <w:rsid w:val="009F3B76"/>
    <w:rsid w:val="00A00968"/>
    <w:rsid w:val="00A00AA8"/>
    <w:rsid w:val="00A15E16"/>
    <w:rsid w:val="00A26F32"/>
    <w:rsid w:val="00A3052F"/>
    <w:rsid w:val="00A36483"/>
    <w:rsid w:val="00A406E3"/>
    <w:rsid w:val="00A44708"/>
    <w:rsid w:val="00A46097"/>
    <w:rsid w:val="00A47203"/>
    <w:rsid w:val="00A53F9A"/>
    <w:rsid w:val="00A5794F"/>
    <w:rsid w:val="00A73DAA"/>
    <w:rsid w:val="00A85100"/>
    <w:rsid w:val="00A85B5D"/>
    <w:rsid w:val="00A90DFA"/>
    <w:rsid w:val="00AA1631"/>
    <w:rsid w:val="00AA1F47"/>
    <w:rsid w:val="00AC5911"/>
    <w:rsid w:val="00AE41C1"/>
    <w:rsid w:val="00AE496F"/>
    <w:rsid w:val="00AF378D"/>
    <w:rsid w:val="00B05D9D"/>
    <w:rsid w:val="00B16C43"/>
    <w:rsid w:val="00B27E19"/>
    <w:rsid w:val="00B46E1B"/>
    <w:rsid w:val="00B472E4"/>
    <w:rsid w:val="00B63F81"/>
    <w:rsid w:val="00B763C3"/>
    <w:rsid w:val="00B77B27"/>
    <w:rsid w:val="00B94D6F"/>
    <w:rsid w:val="00BB2502"/>
    <w:rsid w:val="00BC1DFC"/>
    <w:rsid w:val="00BD11D0"/>
    <w:rsid w:val="00BE07B8"/>
    <w:rsid w:val="00BF02AB"/>
    <w:rsid w:val="00BF70BC"/>
    <w:rsid w:val="00BF7EAD"/>
    <w:rsid w:val="00C12560"/>
    <w:rsid w:val="00C1704D"/>
    <w:rsid w:val="00C373E5"/>
    <w:rsid w:val="00C500A0"/>
    <w:rsid w:val="00C52D1E"/>
    <w:rsid w:val="00C578C0"/>
    <w:rsid w:val="00C60AF9"/>
    <w:rsid w:val="00C62C61"/>
    <w:rsid w:val="00C632A8"/>
    <w:rsid w:val="00C75306"/>
    <w:rsid w:val="00C83000"/>
    <w:rsid w:val="00C856BA"/>
    <w:rsid w:val="00CA1D46"/>
    <w:rsid w:val="00CB161F"/>
    <w:rsid w:val="00CB3A0F"/>
    <w:rsid w:val="00CB4DE8"/>
    <w:rsid w:val="00CE3751"/>
    <w:rsid w:val="00D01643"/>
    <w:rsid w:val="00D02179"/>
    <w:rsid w:val="00D02B65"/>
    <w:rsid w:val="00D02F5F"/>
    <w:rsid w:val="00D114B1"/>
    <w:rsid w:val="00D20477"/>
    <w:rsid w:val="00D255D4"/>
    <w:rsid w:val="00D27CFD"/>
    <w:rsid w:val="00D52CBC"/>
    <w:rsid w:val="00D70284"/>
    <w:rsid w:val="00D75857"/>
    <w:rsid w:val="00DA11FC"/>
    <w:rsid w:val="00DB779B"/>
    <w:rsid w:val="00DC3037"/>
    <w:rsid w:val="00DD3084"/>
    <w:rsid w:val="00DE6DC3"/>
    <w:rsid w:val="00DF63F8"/>
    <w:rsid w:val="00E030BF"/>
    <w:rsid w:val="00E03CA7"/>
    <w:rsid w:val="00E278F7"/>
    <w:rsid w:val="00E419DC"/>
    <w:rsid w:val="00E421A1"/>
    <w:rsid w:val="00E44124"/>
    <w:rsid w:val="00E47C13"/>
    <w:rsid w:val="00E53EFC"/>
    <w:rsid w:val="00E60228"/>
    <w:rsid w:val="00E6588E"/>
    <w:rsid w:val="00E67C10"/>
    <w:rsid w:val="00E72F57"/>
    <w:rsid w:val="00E739E7"/>
    <w:rsid w:val="00E83DAD"/>
    <w:rsid w:val="00EA5CEA"/>
    <w:rsid w:val="00EB3D8D"/>
    <w:rsid w:val="00EC076C"/>
    <w:rsid w:val="00EC1407"/>
    <w:rsid w:val="00EC1A33"/>
    <w:rsid w:val="00ED1413"/>
    <w:rsid w:val="00ED1C0D"/>
    <w:rsid w:val="00EF0D03"/>
    <w:rsid w:val="00EF3727"/>
    <w:rsid w:val="00EF3777"/>
    <w:rsid w:val="00EF7797"/>
    <w:rsid w:val="00F0104E"/>
    <w:rsid w:val="00F01D40"/>
    <w:rsid w:val="00F30986"/>
    <w:rsid w:val="00F3358E"/>
    <w:rsid w:val="00F46974"/>
    <w:rsid w:val="00F5324D"/>
    <w:rsid w:val="00FA7B59"/>
    <w:rsid w:val="00FB2321"/>
    <w:rsid w:val="00FB51EB"/>
    <w:rsid w:val="00FC30B9"/>
    <w:rsid w:val="00FC7121"/>
    <w:rsid w:val="00FD11CC"/>
    <w:rsid w:val="00FD61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05F7"/>
  <w15:chartTrackingRefBased/>
  <w15:docId w15:val="{5BC29DF6-B2A6-4BAC-83BC-BC517C1E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547C4"/>
    <w:pPr>
      <w:keepNext/>
      <w:spacing w:after="0" w:line="240" w:lineRule="auto"/>
      <w:outlineLvl w:val="0"/>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7C6E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47C4"/>
    <w:rPr>
      <w:rFonts w:ascii="Times New Roman" w:eastAsia="Times New Roman" w:hAnsi="Times New Roman" w:cs="Times New Roman"/>
      <w:b/>
      <w:bCs/>
      <w:sz w:val="24"/>
      <w:szCs w:val="24"/>
      <w:lang w:val="en-US"/>
    </w:rPr>
  </w:style>
  <w:style w:type="paragraph" w:styleId="FootnoteText">
    <w:name w:val="footnote text"/>
    <w:basedOn w:val="Normal"/>
    <w:link w:val="FootnoteTextChar"/>
    <w:uiPriority w:val="99"/>
    <w:semiHidden/>
    <w:unhideWhenUsed/>
    <w:rsid w:val="007547C4"/>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7547C4"/>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7547C4"/>
    <w:rPr>
      <w:vertAlign w:val="superscript"/>
    </w:rPr>
  </w:style>
  <w:style w:type="character" w:styleId="Hyperlink">
    <w:name w:val="Hyperlink"/>
    <w:basedOn w:val="DefaultParagraphFont"/>
    <w:uiPriority w:val="99"/>
    <w:unhideWhenUsed/>
    <w:rsid w:val="007547C4"/>
    <w:rPr>
      <w:color w:val="0563C1" w:themeColor="hyperlink"/>
      <w:u w:val="single"/>
    </w:rPr>
  </w:style>
  <w:style w:type="paragraph" w:styleId="TOCHeading">
    <w:name w:val="TOC Heading"/>
    <w:basedOn w:val="Heading1"/>
    <w:next w:val="Normal"/>
    <w:uiPriority w:val="39"/>
    <w:unhideWhenUsed/>
    <w:qFormat/>
    <w:rsid w:val="007547C4"/>
    <w:pPr>
      <w:keepLines/>
      <w:spacing w:before="480" w:line="276" w:lineRule="auto"/>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7547C4"/>
    <w:pPr>
      <w:spacing w:after="100" w:line="276" w:lineRule="auto"/>
    </w:pPr>
    <w:rPr>
      <w:rFonts w:ascii="Calibri" w:eastAsia="Calibri" w:hAnsi="Calibri" w:cs="Times New Roman"/>
      <w:lang w:val="en-US"/>
    </w:rPr>
  </w:style>
  <w:style w:type="paragraph" w:styleId="ListParagraph">
    <w:name w:val="List Paragraph"/>
    <w:basedOn w:val="Normal"/>
    <w:uiPriority w:val="34"/>
    <w:qFormat/>
    <w:rsid w:val="007547C4"/>
    <w:pPr>
      <w:ind w:left="720"/>
      <w:contextualSpacing/>
    </w:pPr>
  </w:style>
  <w:style w:type="paragraph" w:styleId="Caption">
    <w:name w:val="caption"/>
    <w:basedOn w:val="Normal"/>
    <w:next w:val="Normal"/>
    <w:uiPriority w:val="35"/>
    <w:unhideWhenUsed/>
    <w:qFormat/>
    <w:rsid w:val="00EA5CE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C6EA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3B2A22"/>
    <w:rPr>
      <w:sz w:val="16"/>
      <w:szCs w:val="16"/>
    </w:rPr>
  </w:style>
  <w:style w:type="paragraph" w:styleId="CommentText">
    <w:name w:val="annotation text"/>
    <w:basedOn w:val="Normal"/>
    <w:link w:val="CommentTextChar"/>
    <w:uiPriority w:val="99"/>
    <w:semiHidden/>
    <w:unhideWhenUsed/>
    <w:rsid w:val="003B2A22"/>
    <w:pPr>
      <w:spacing w:line="240" w:lineRule="auto"/>
    </w:pPr>
    <w:rPr>
      <w:sz w:val="20"/>
      <w:szCs w:val="20"/>
    </w:rPr>
  </w:style>
  <w:style w:type="character" w:customStyle="1" w:styleId="CommentTextChar">
    <w:name w:val="Comment Text Char"/>
    <w:basedOn w:val="DefaultParagraphFont"/>
    <w:link w:val="CommentText"/>
    <w:uiPriority w:val="99"/>
    <w:semiHidden/>
    <w:rsid w:val="003B2A22"/>
    <w:rPr>
      <w:sz w:val="20"/>
      <w:szCs w:val="20"/>
    </w:rPr>
  </w:style>
  <w:style w:type="paragraph" w:styleId="CommentSubject">
    <w:name w:val="annotation subject"/>
    <w:basedOn w:val="CommentText"/>
    <w:next w:val="CommentText"/>
    <w:link w:val="CommentSubjectChar"/>
    <w:uiPriority w:val="99"/>
    <w:semiHidden/>
    <w:unhideWhenUsed/>
    <w:rsid w:val="003B2A22"/>
    <w:rPr>
      <w:b/>
      <w:bCs/>
    </w:rPr>
  </w:style>
  <w:style w:type="character" w:customStyle="1" w:styleId="CommentSubjectChar">
    <w:name w:val="Comment Subject Char"/>
    <w:basedOn w:val="CommentTextChar"/>
    <w:link w:val="CommentSubject"/>
    <w:uiPriority w:val="99"/>
    <w:semiHidden/>
    <w:rsid w:val="003B2A22"/>
    <w:rPr>
      <w:b/>
      <w:bCs/>
      <w:sz w:val="20"/>
      <w:szCs w:val="20"/>
    </w:rPr>
  </w:style>
  <w:style w:type="paragraph" w:styleId="BalloonText">
    <w:name w:val="Balloon Text"/>
    <w:basedOn w:val="Normal"/>
    <w:link w:val="BalloonTextChar"/>
    <w:uiPriority w:val="99"/>
    <w:semiHidden/>
    <w:unhideWhenUsed/>
    <w:rsid w:val="003B2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A22"/>
    <w:rPr>
      <w:rFonts w:ascii="Segoe UI" w:hAnsi="Segoe UI" w:cs="Segoe UI"/>
      <w:sz w:val="18"/>
      <w:szCs w:val="18"/>
    </w:rPr>
  </w:style>
  <w:style w:type="character" w:styleId="UnresolvedMention">
    <w:name w:val="Unresolved Mention"/>
    <w:basedOn w:val="DefaultParagraphFont"/>
    <w:uiPriority w:val="99"/>
    <w:semiHidden/>
    <w:unhideWhenUsed/>
    <w:rsid w:val="00590111"/>
    <w:rPr>
      <w:color w:val="808080"/>
      <w:shd w:val="clear" w:color="auto" w:fill="E6E6E6"/>
    </w:rPr>
  </w:style>
  <w:style w:type="character" w:styleId="FollowedHyperlink">
    <w:name w:val="FollowedHyperlink"/>
    <w:basedOn w:val="DefaultParagraphFont"/>
    <w:uiPriority w:val="99"/>
    <w:semiHidden/>
    <w:unhideWhenUsed/>
    <w:rsid w:val="00B47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9262">
      <w:bodyDiv w:val="1"/>
      <w:marLeft w:val="0"/>
      <w:marRight w:val="0"/>
      <w:marTop w:val="0"/>
      <w:marBottom w:val="0"/>
      <w:divBdr>
        <w:top w:val="none" w:sz="0" w:space="0" w:color="auto"/>
        <w:left w:val="none" w:sz="0" w:space="0" w:color="auto"/>
        <w:bottom w:val="none" w:sz="0" w:space="0" w:color="auto"/>
        <w:right w:val="none" w:sz="0" w:space="0" w:color="auto"/>
      </w:divBdr>
    </w:div>
    <w:div w:id="113671783">
      <w:bodyDiv w:val="1"/>
      <w:marLeft w:val="0"/>
      <w:marRight w:val="0"/>
      <w:marTop w:val="0"/>
      <w:marBottom w:val="0"/>
      <w:divBdr>
        <w:top w:val="none" w:sz="0" w:space="0" w:color="auto"/>
        <w:left w:val="none" w:sz="0" w:space="0" w:color="auto"/>
        <w:bottom w:val="none" w:sz="0" w:space="0" w:color="auto"/>
        <w:right w:val="none" w:sz="0" w:space="0" w:color="auto"/>
      </w:divBdr>
    </w:div>
    <w:div w:id="171842984">
      <w:bodyDiv w:val="1"/>
      <w:marLeft w:val="0"/>
      <w:marRight w:val="0"/>
      <w:marTop w:val="0"/>
      <w:marBottom w:val="0"/>
      <w:divBdr>
        <w:top w:val="none" w:sz="0" w:space="0" w:color="auto"/>
        <w:left w:val="none" w:sz="0" w:space="0" w:color="auto"/>
        <w:bottom w:val="none" w:sz="0" w:space="0" w:color="auto"/>
        <w:right w:val="none" w:sz="0" w:space="0" w:color="auto"/>
      </w:divBdr>
    </w:div>
    <w:div w:id="418604812">
      <w:bodyDiv w:val="1"/>
      <w:marLeft w:val="0"/>
      <w:marRight w:val="0"/>
      <w:marTop w:val="0"/>
      <w:marBottom w:val="0"/>
      <w:divBdr>
        <w:top w:val="none" w:sz="0" w:space="0" w:color="auto"/>
        <w:left w:val="none" w:sz="0" w:space="0" w:color="auto"/>
        <w:bottom w:val="none" w:sz="0" w:space="0" w:color="auto"/>
        <w:right w:val="none" w:sz="0" w:space="0" w:color="auto"/>
      </w:divBdr>
    </w:div>
    <w:div w:id="466823548">
      <w:bodyDiv w:val="1"/>
      <w:marLeft w:val="0"/>
      <w:marRight w:val="0"/>
      <w:marTop w:val="0"/>
      <w:marBottom w:val="0"/>
      <w:divBdr>
        <w:top w:val="none" w:sz="0" w:space="0" w:color="auto"/>
        <w:left w:val="none" w:sz="0" w:space="0" w:color="auto"/>
        <w:bottom w:val="none" w:sz="0" w:space="0" w:color="auto"/>
        <w:right w:val="none" w:sz="0" w:space="0" w:color="auto"/>
      </w:divBdr>
    </w:div>
    <w:div w:id="717513290">
      <w:bodyDiv w:val="1"/>
      <w:marLeft w:val="0"/>
      <w:marRight w:val="0"/>
      <w:marTop w:val="0"/>
      <w:marBottom w:val="0"/>
      <w:divBdr>
        <w:top w:val="none" w:sz="0" w:space="0" w:color="auto"/>
        <w:left w:val="none" w:sz="0" w:space="0" w:color="auto"/>
        <w:bottom w:val="none" w:sz="0" w:space="0" w:color="auto"/>
        <w:right w:val="none" w:sz="0" w:space="0" w:color="auto"/>
      </w:divBdr>
    </w:div>
    <w:div w:id="869145961">
      <w:bodyDiv w:val="1"/>
      <w:marLeft w:val="0"/>
      <w:marRight w:val="0"/>
      <w:marTop w:val="0"/>
      <w:marBottom w:val="0"/>
      <w:divBdr>
        <w:top w:val="none" w:sz="0" w:space="0" w:color="auto"/>
        <w:left w:val="none" w:sz="0" w:space="0" w:color="auto"/>
        <w:bottom w:val="none" w:sz="0" w:space="0" w:color="auto"/>
        <w:right w:val="none" w:sz="0" w:space="0" w:color="auto"/>
      </w:divBdr>
    </w:div>
    <w:div w:id="951281059">
      <w:bodyDiv w:val="1"/>
      <w:marLeft w:val="0"/>
      <w:marRight w:val="0"/>
      <w:marTop w:val="0"/>
      <w:marBottom w:val="0"/>
      <w:divBdr>
        <w:top w:val="none" w:sz="0" w:space="0" w:color="auto"/>
        <w:left w:val="none" w:sz="0" w:space="0" w:color="auto"/>
        <w:bottom w:val="none" w:sz="0" w:space="0" w:color="auto"/>
        <w:right w:val="none" w:sz="0" w:space="0" w:color="auto"/>
      </w:divBdr>
    </w:div>
    <w:div w:id="988287791">
      <w:bodyDiv w:val="1"/>
      <w:marLeft w:val="0"/>
      <w:marRight w:val="0"/>
      <w:marTop w:val="0"/>
      <w:marBottom w:val="0"/>
      <w:divBdr>
        <w:top w:val="none" w:sz="0" w:space="0" w:color="auto"/>
        <w:left w:val="none" w:sz="0" w:space="0" w:color="auto"/>
        <w:bottom w:val="none" w:sz="0" w:space="0" w:color="auto"/>
        <w:right w:val="none" w:sz="0" w:space="0" w:color="auto"/>
      </w:divBdr>
    </w:div>
    <w:div w:id="1020548050">
      <w:bodyDiv w:val="1"/>
      <w:marLeft w:val="0"/>
      <w:marRight w:val="0"/>
      <w:marTop w:val="0"/>
      <w:marBottom w:val="0"/>
      <w:divBdr>
        <w:top w:val="none" w:sz="0" w:space="0" w:color="auto"/>
        <w:left w:val="none" w:sz="0" w:space="0" w:color="auto"/>
        <w:bottom w:val="none" w:sz="0" w:space="0" w:color="auto"/>
        <w:right w:val="none" w:sz="0" w:space="0" w:color="auto"/>
      </w:divBdr>
    </w:div>
    <w:div w:id="1047028517">
      <w:bodyDiv w:val="1"/>
      <w:marLeft w:val="0"/>
      <w:marRight w:val="0"/>
      <w:marTop w:val="0"/>
      <w:marBottom w:val="0"/>
      <w:divBdr>
        <w:top w:val="none" w:sz="0" w:space="0" w:color="auto"/>
        <w:left w:val="none" w:sz="0" w:space="0" w:color="auto"/>
        <w:bottom w:val="none" w:sz="0" w:space="0" w:color="auto"/>
        <w:right w:val="none" w:sz="0" w:space="0" w:color="auto"/>
      </w:divBdr>
    </w:div>
    <w:div w:id="1130049409">
      <w:bodyDiv w:val="1"/>
      <w:marLeft w:val="0"/>
      <w:marRight w:val="0"/>
      <w:marTop w:val="0"/>
      <w:marBottom w:val="0"/>
      <w:divBdr>
        <w:top w:val="none" w:sz="0" w:space="0" w:color="auto"/>
        <w:left w:val="none" w:sz="0" w:space="0" w:color="auto"/>
        <w:bottom w:val="none" w:sz="0" w:space="0" w:color="auto"/>
        <w:right w:val="none" w:sz="0" w:space="0" w:color="auto"/>
      </w:divBdr>
    </w:div>
    <w:div w:id="1272472318">
      <w:bodyDiv w:val="1"/>
      <w:marLeft w:val="0"/>
      <w:marRight w:val="0"/>
      <w:marTop w:val="0"/>
      <w:marBottom w:val="0"/>
      <w:divBdr>
        <w:top w:val="none" w:sz="0" w:space="0" w:color="auto"/>
        <w:left w:val="none" w:sz="0" w:space="0" w:color="auto"/>
        <w:bottom w:val="none" w:sz="0" w:space="0" w:color="auto"/>
        <w:right w:val="none" w:sz="0" w:space="0" w:color="auto"/>
      </w:divBdr>
    </w:div>
    <w:div w:id="1300381645">
      <w:bodyDiv w:val="1"/>
      <w:marLeft w:val="0"/>
      <w:marRight w:val="0"/>
      <w:marTop w:val="0"/>
      <w:marBottom w:val="0"/>
      <w:divBdr>
        <w:top w:val="none" w:sz="0" w:space="0" w:color="auto"/>
        <w:left w:val="none" w:sz="0" w:space="0" w:color="auto"/>
        <w:bottom w:val="none" w:sz="0" w:space="0" w:color="auto"/>
        <w:right w:val="none" w:sz="0" w:space="0" w:color="auto"/>
      </w:divBdr>
    </w:div>
    <w:div w:id="1321276028">
      <w:bodyDiv w:val="1"/>
      <w:marLeft w:val="0"/>
      <w:marRight w:val="0"/>
      <w:marTop w:val="0"/>
      <w:marBottom w:val="0"/>
      <w:divBdr>
        <w:top w:val="none" w:sz="0" w:space="0" w:color="auto"/>
        <w:left w:val="none" w:sz="0" w:space="0" w:color="auto"/>
        <w:bottom w:val="none" w:sz="0" w:space="0" w:color="auto"/>
        <w:right w:val="none" w:sz="0" w:space="0" w:color="auto"/>
      </w:divBdr>
    </w:div>
    <w:div w:id="1511260218">
      <w:bodyDiv w:val="1"/>
      <w:marLeft w:val="0"/>
      <w:marRight w:val="0"/>
      <w:marTop w:val="0"/>
      <w:marBottom w:val="0"/>
      <w:divBdr>
        <w:top w:val="none" w:sz="0" w:space="0" w:color="auto"/>
        <w:left w:val="none" w:sz="0" w:space="0" w:color="auto"/>
        <w:bottom w:val="none" w:sz="0" w:space="0" w:color="auto"/>
        <w:right w:val="none" w:sz="0" w:space="0" w:color="auto"/>
      </w:divBdr>
    </w:div>
    <w:div w:id="1541212582">
      <w:bodyDiv w:val="1"/>
      <w:marLeft w:val="0"/>
      <w:marRight w:val="0"/>
      <w:marTop w:val="0"/>
      <w:marBottom w:val="0"/>
      <w:divBdr>
        <w:top w:val="none" w:sz="0" w:space="0" w:color="auto"/>
        <w:left w:val="none" w:sz="0" w:space="0" w:color="auto"/>
        <w:bottom w:val="none" w:sz="0" w:space="0" w:color="auto"/>
        <w:right w:val="none" w:sz="0" w:space="0" w:color="auto"/>
      </w:divBdr>
    </w:div>
    <w:div w:id="1565021568">
      <w:bodyDiv w:val="1"/>
      <w:marLeft w:val="0"/>
      <w:marRight w:val="0"/>
      <w:marTop w:val="0"/>
      <w:marBottom w:val="0"/>
      <w:divBdr>
        <w:top w:val="none" w:sz="0" w:space="0" w:color="auto"/>
        <w:left w:val="none" w:sz="0" w:space="0" w:color="auto"/>
        <w:bottom w:val="none" w:sz="0" w:space="0" w:color="auto"/>
        <w:right w:val="none" w:sz="0" w:space="0" w:color="auto"/>
      </w:divBdr>
    </w:div>
    <w:div w:id="1622227139">
      <w:bodyDiv w:val="1"/>
      <w:marLeft w:val="0"/>
      <w:marRight w:val="0"/>
      <w:marTop w:val="0"/>
      <w:marBottom w:val="0"/>
      <w:divBdr>
        <w:top w:val="none" w:sz="0" w:space="0" w:color="auto"/>
        <w:left w:val="none" w:sz="0" w:space="0" w:color="auto"/>
        <w:bottom w:val="none" w:sz="0" w:space="0" w:color="auto"/>
        <w:right w:val="none" w:sz="0" w:space="0" w:color="auto"/>
      </w:divBdr>
    </w:div>
    <w:div w:id="1765614226">
      <w:bodyDiv w:val="1"/>
      <w:marLeft w:val="0"/>
      <w:marRight w:val="0"/>
      <w:marTop w:val="0"/>
      <w:marBottom w:val="0"/>
      <w:divBdr>
        <w:top w:val="none" w:sz="0" w:space="0" w:color="auto"/>
        <w:left w:val="none" w:sz="0" w:space="0" w:color="auto"/>
        <w:bottom w:val="none" w:sz="0" w:space="0" w:color="auto"/>
        <w:right w:val="none" w:sz="0" w:space="0" w:color="auto"/>
      </w:divBdr>
    </w:div>
    <w:div w:id="1970698373">
      <w:bodyDiv w:val="1"/>
      <w:marLeft w:val="0"/>
      <w:marRight w:val="0"/>
      <w:marTop w:val="0"/>
      <w:marBottom w:val="0"/>
      <w:divBdr>
        <w:top w:val="none" w:sz="0" w:space="0" w:color="auto"/>
        <w:left w:val="none" w:sz="0" w:space="0" w:color="auto"/>
        <w:bottom w:val="none" w:sz="0" w:space="0" w:color="auto"/>
        <w:right w:val="none" w:sz="0" w:space="0" w:color="auto"/>
      </w:divBdr>
    </w:div>
    <w:div w:id="1972129398">
      <w:bodyDiv w:val="1"/>
      <w:marLeft w:val="0"/>
      <w:marRight w:val="0"/>
      <w:marTop w:val="0"/>
      <w:marBottom w:val="0"/>
      <w:divBdr>
        <w:top w:val="none" w:sz="0" w:space="0" w:color="auto"/>
        <w:left w:val="none" w:sz="0" w:space="0" w:color="auto"/>
        <w:bottom w:val="none" w:sz="0" w:space="0" w:color="auto"/>
        <w:right w:val="none" w:sz="0" w:space="0" w:color="auto"/>
      </w:divBdr>
    </w:div>
    <w:div w:id="20216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pri.org/publication/estimating-social-accounting-matrix-using-cross-entropy-metho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tied.wider.unu.edu/node/14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ssa.gov.za/?page_id=1854&amp;PPN=P0441&amp;SCH=7804" TargetMode="External"/><Relationship Id="rId5" Type="http://schemas.openxmlformats.org/officeDocument/2006/relationships/webSettings" Target="webSettings.xml"/><Relationship Id="rId10" Type="http://schemas.openxmlformats.org/officeDocument/2006/relationships/hyperlink" Target="https://www.datafirst.uct.ac.za/dataportal/index.php/catalog/598" TargetMode="External"/><Relationship Id="rId4" Type="http://schemas.openxmlformats.org/officeDocument/2006/relationships/settings" Target="settings.xml"/><Relationship Id="rId9" Type="http://schemas.openxmlformats.org/officeDocument/2006/relationships/hyperlink" Target="https://www.datafirst.uct.ac.za/dataportal/index.php/catalog/6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A509-581F-4F9A-9349-ABBB5F9E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DirkLenovo</dc:creator>
  <cp:keywords/>
  <dc:description/>
  <cp:lastModifiedBy>Dirk van Seventer</cp:lastModifiedBy>
  <cp:revision>2</cp:revision>
  <dcterms:created xsi:type="dcterms:W3CDTF">2020-11-03T02:33:00Z</dcterms:created>
  <dcterms:modified xsi:type="dcterms:W3CDTF">2020-11-03T02:33:00Z</dcterms:modified>
</cp:coreProperties>
</file>