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>Table 1.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Baseline characteristics of subjects with major depressive disorder stratified by depressive episode severity in the follow-up.</w:t>
      </w:r>
    </w:p>
    <w:tbl>
      <w:tblPr>
        <w:tblStyle w:val="Table1"/>
        <w:tblW w:w="132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83"/>
        <w:gridCol w:w="2100"/>
        <w:gridCol w:w="1725"/>
        <w:gridCol w:w="2280"/>
        <w:gridCol w:w="1995"/>
        <w:gridCol w:w="1455"/>
        <w:gridCol w:w="1110"/>
      </w:tblGrid>
      <w:tr>
        <w:trPr>
          <w:tblHeader w:val="true"/>
          <w:trHeight w:val="624" w:hRule="atLeast"/>
          <w:cantSplit w:val="true"/>
        </w:trPr>
        <w:tc>
          <w:tcPr>
            <w:tcW w:w="2583" w:type="dxa"/>
            <w:tcBorders>
              <w:top w:val="single" w:sz="16" w:space="0" w:color="666666"/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16" w:space="0" w:color="666666"/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Euthymic depression</w:t>
              <w:br/>
              <w:t>(N=140)</w:t>
            </w:r>
          </w:p>
        </w:tc>
        <w:tc>
          <w:tcPr>
            <w:tcW w:w="1725" w:type="dxa"/>
            <w:tcBorders>
              <w:top w:val="single" w:sz="16" w:space="0" w:color="666666"/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Mild depression</w:t>
              <w:br/>
              <w:t>(N=44)</w:t>
            </w:r>
          </w:p>
        </w:tc>
        <w:tc>
          <w:tcPr>
            <w:tcW w:w="2280" w:type="dxa"/>
            <w:tcBorders>
              <w:top w:val="single" w:sz="16" w:space="0" w:color="666666"/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Moderate depression</w:t>
              <w:br/>
              <w:t>(N=63)</w:t>
            </w:r>
          </w:p>
        </w:tc>
        <w:tc>
          <w:tcPr>
            <w:tcW w:w="1995" w:type="dxa"/>
            <w:tcBorders>
              <w:top w:val="single" w:sz="16" w:space="0" w:color="666666"/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Severe depression</w:t>
              <w:br/>
              <w:t>(N=121)</w:t>
            </w:r>
          </w:p>
        </w:tc>
        <w:tc>
          <w:tcPr>
            <w:tcW w:w="1455" w:type="dxa"/>
            <w:tcBorders>
              <w:top w:val="single" w:sz="16" w:space="0" w:color="666666"/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Overall</w:t>
              <w:br/>
              <w:t>(N=368)</w:t>
            </w:r>
          </w:p>
        </w:tc>
        <w:tc>
          <w:tcPr>
            <w:tcW w:w="1110" w:type="dxa"/>
            <w:tcBorders>
              <w:top w:val="single" w:sz="16" w:space="0" w:color="666666"/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p-value</w:t>
            </w:r>
          </w:p>
        </w:tc>
      </w:tr>
      <w:tr>
        <w:trPr>
          <w:trHeight w:val="57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31 (22.1%)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10 (22.7%)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11 (17.5%)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12 (9.9%)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64 (17.4%)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0.1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109 (77.9%)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34 (77.3%)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52 (82.5%)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109 (90.1%)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304 (82.6%)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3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37.9 (11.6)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36.1 (12.5)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34.3 (11.0)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38.5 (10.9)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37.3 (11.5)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0.149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37.0 [18.0, 59.0]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35.0 [18.0, 60.0]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32.0 [18.0, 58.0]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37.0 [18.0, 60.0]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36.0 [18.0, 60.0]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581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Skin color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113 (80.7%)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34 (77.3%)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49 (77.8%)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90 (74.4%)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286 (77.7%)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0.871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Non-white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27 (19.3%)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10 (22.7%)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14 (22.2%)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30 (24.8%)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81 (22.0%)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581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Years of education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11.2 (3.53)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10.4 (3.34)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11.1 (3.69)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10.2 (3.52)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10.8 (3.55)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0.21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11.0 [2.00, 21.0]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11.0 [1.00, 16.0]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11.0 [4.00, 19.0]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11.0 [3.00, 20.0]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11.0 [1.00, 21.0]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581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Socioeconomic status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Lower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77 (55.0%)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25 (56.8%)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34 (54.0%)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72 (59.5%)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208 (56.5%)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0.926</w:t>
            </w:r>
          </w:p>
        </w:tc>
      </w:tr>
      <w:tr>
        <w:trPr>
          <w:trHeight w:val="61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Upper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63 (45.0%)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19 (43.2%)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29 (46.0%)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48 (39.7%)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159 (43.2%)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Lives with partner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66 (47.1%)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16 (36.4%)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29 (46.0%)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41 (33.9%)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152 (41.3%)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0.219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74 (52.9%)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28 (63.6%)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34 (54.0%)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80 (66.1%)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216 (58.7%)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Current occupation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Does not work/study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43 (30.7%)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14 (31.8%)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23 (36.5%)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57 (47.1%)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137 (37.2%)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0.0745</w:t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Works/study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97 (69.3%)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30 (68.2%)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40 (63.5%)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63 (52.1%)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230 (62.5%)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 (0.8%)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 (0.3%)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581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Suicide risk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87 (62.1%)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26 (59.1%)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29 (46.0%)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38 (31.4%)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180 (48.9%)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&lt;0.001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53 (37.9%)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18 (40.9%)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34 (54.0%)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83 (68.6%)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188 (51.1%)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Alcohol abuse/dependence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100 (71.4%)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26 (59.1%)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44 (69.8%)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93 (76.9%)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263 (71.5%)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0.215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32 (22.9%)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16 (36.4%)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17 (27.0%)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23 (19.0%)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88 (23.9%)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 (5.7%)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 (4.5%)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 (3.2%)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 (4.1%)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17 (4.6%)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Cannabis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 xml:space="preserve"> abuse/dependence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130 (92.9%)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39 (88.6%)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59 (93.7%)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108 (89.3%)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336 (91.3%)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0.249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 (1.4%)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 (6.8%)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 (3.2%)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 (6.6%)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15 (4.1%)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 (5.7%)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 (4.5%)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 (3.2%)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 (4.1%)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17 (4.6%)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Hallucinogens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 xml:space="preserve"> abuse/dependence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132 (94.3%)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42 (95.5%)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61 (96.8%)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116 (95.9%)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351 (95.4%)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NA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 (5.7%)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 (4.5%)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 (3.2%)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 (4.1%)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17 (4.6%)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Other drugs abuse/dependence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99 (70.7%)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31 (70.5%)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46 (73.0%)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71 (58.7%)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247 (67.1%)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0.135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33 (23.6%)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11 (25.0%)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15 (23.8%)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45 (37.2%)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104 (28.3%)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 (5.7%)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 (4.5%)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 (3.2%)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 (4.1%)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17 (4.6%)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Hypnotics abuse/dependence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128 (91.4%)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38 (86.4%)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59 (93.7%)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107 (88.4%)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332 (90.2%)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0.326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 (2.9%)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 (9.1%)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 (3.2%)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9 (7.4%)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19 (5.2%)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 (5.7%)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 (4.5%)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 (3.2%)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 (4.1%)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17 (4.6%)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Tobacco abuse/dependence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100 (71.4%)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31 (70.5%)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48 (76.2%)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91 (75.2%)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270 (73.4%)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0.964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32 (22.9%)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11 (25.0%)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13 (20.6%)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25 (20.7%)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81 (22.0%)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 (5.7%)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 (4.5%)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 (3.2%)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 (4.1%)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17 (4.6%)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581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Panic disorder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134 (95.7%)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39 (88.6%)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57 (90.5%)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108 (89.3%)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338 (91.8%)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0.326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6 (4.3%)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 (11.4%)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6 (9.5%)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13 (10.7%)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30 (8.2%)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Social phobia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129 (92.1%)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40 (90.9%)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55 (87.3%)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93 (76.9%)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317 (86.1%)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0.00774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11 (7.9%)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 (9.1%)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 (12.7%)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28 (23.1%)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51 (13.9%)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Specific phobia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131 (93.6%)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37 (84.1%)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58 (92.1%)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96 (79.3%)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322 (87.5%)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0.00812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9 (6.4%)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7 (15.9%)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 (7.9%)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25 (20.7%)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46 (12.5%)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Generalized anxiety disorder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99 (70.7%)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31 (70.5%)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46 (73.0%)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76 (62.8%)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252 (68.5%)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0.591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41 (29.3%)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13 (29.5%)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17 (27.0%)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45 (37.2%)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116 (31.5%)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581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Posttraumatic stress disorder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135 (96.4%)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40 (90.9%)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59 (93.7%)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113 (93.4%)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347 (94.3%)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0.671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 (3.6%)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 (9.1%)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 (6.3%)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 (6.6%)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21 (5.7%)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Obsessive-compulsive disorder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109 (77.9%)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36 (81.8%)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48 (76.2%)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89 (73.6%)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282 (76.6%)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0.84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31 (22.1%)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 (18.2%)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15 (23.8%)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32 (26.4%)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86 (23.4%)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Maternal psychiatric illness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92 (65.7%)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24 (54.5%)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38 (60.3%)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74 (61.2%)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228 (62.0%)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0.742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48 (34.3%)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20 (45.5%)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25 (39.7%)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47 (38.8%)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140 (38.0%)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24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Paternal psychiatric illness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0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112 (80.0%)</w:t>
            </w:r>
          </w:p>
        </w:tc>
        <w:tc>
          <w:tcPr>
            <w:tcW w:w="172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39 (88.6%)</w:t>
            </w:r>
          </w:p>
        </w:tc>
        <w:tc>
          <w:tcPr>
            <w:tcW w:w="228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51 (81.0%)</w:t>
            </w:r>
          </w:p>
        </w:tc>
        <w:tc>
          <w:tcPr>
            <w:tcW w:w="199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91 (75.2%)</w:t>
            </w:r>
          </w:p>
        </w:tc>
        <w:tc>
          <w:tcPr>
            <w:tcW w:w="1455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293 (79.6%)</w:t>
            </w:r>
          </w:p>
        </w:tc>
        <w:tc>
          <w:tcPr>
            <w:tcW w:w="1110" w:type="dxa"/>
            <w:tcBorders/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0.443</w:t>
            </w:r>
          </w:p>
        </w:tc>
      </w:tr>
      <w:tr>
        <w:trPr>
          <w:trHeight w:val="607" w:hRule="atLeast"/>
          <w:cantSplit w:val="true"/>
        </w:trPr>
        <w:tc>
          <w:tcPr>
            <w:tcW w:w="2583" w:type="dxa"/>
            <w:tcBorders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  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00" w:type="dxa"/>
            <w:tcBorders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28 (20.0%)</w:t>
            </w:r>
          </w:p>
        </w:tc>
        <w:tc>
          <w:tcPr>
            <w:tcW w:w="1725" w:type="dxa"/>
            <w:tcBorders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5 (11.4%)</w:t>
            </w:r>
          </w:p>
        </w:tc>
        <w:tc>
          <w:tcPr>
            <w:tcW w:w="2280" w:type="dxa"/>
            <w:tcBorders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12 (19.0%)</w:t>
            </w:r>
          </w:p>
        </w:tc>
        <w:tc>
          <w:tcPr>
            <w:tcW w:w="1995" w:type="dxa"/>
            <w:tcBorders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30 (24.8%)</w:t>
            </w:r>
          </w:p>
        </w:tc>
        <w:tc>
          <w:tcPr>
            <w:tcW w:w="1455" w:type="dxa"/>
            <w:tcBorders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75 (20.4%)</w:t>
            </w:r>
          </w:p>
        </w:tc>
        <w:tc>
          <w:tcPr>
            <w:tcW w:w="1110" w:type="dxa"/>
            <w:tcBorders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00" w:after="100"/>
              <w:ind w:left="100" w:right="10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/>
      </w:r>
    </w:p>
    <w:sectPr>
      <w:type w:val="nextPage"/>
      <w:pgSz w:orient="landscape" w:w="16838" w:h="11951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swiss"/>
    <w:pitch w:val="variable"/>
  </w:font>
  <w:font w:name="Calibri">
    <w:charset w:val="01"/>
    <w:family w:val="roman"/>
    <w:pitch w:val="default"/>
  </w:font>
  <w:font w:name="Lucida Grande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Georg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LOnormal"/>
    <w:next w:val="LOnormal"/>
    <w:link w:val="Titre1Car"/>
    <w:uiPriority w:val="9"/>
    <w:qFormat/>
    <w:rsid w:val="00362e65"/>
    <w:pPr>
      <w:keepNext w:val="true"/>
      <w:keepLines/>
      <w:pBdr>
        <w:bottom w:val="single" w:sz="4" w:space="1" w:color="000000"/>
      </w:pBd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LOnormal"/>
    <w:next w:val="LOnormal"/>
    <w:link w:val="Titre2Car"/>
    <w:uiPriority w:val="9"/>
    <w:semiHidden/>
    <w:unhideWhenUsed/>
    <w:qFormat/>
    <w:rsid w:val="00362e65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LOnormal"/>
    <w:next w:val="LOnormal"/>
    <w:link w:val="Titre3Car"/>
    <w:uiPriority w:val="9"/>
    <w:semiHidden/>
    <w:unhideWhenUsed/>
    <w:qFormat/>
    <w:rsid w:val="00362e65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Heading1"/>
    <w:uiPriority w:val="9"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ascii="Times New Roman" w:hAnsi="Times New Roman"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entered" w:customStyle="1">
    <w:name w:val="centered"/>
    <w:basedOn w:val="LOnormal"/>
    <w:qFormat/>
    <w:rsid w:val="001d75ab"/>
    <w:pPr>
      <w:jc w:val="center"/>
    </w:pPr>
    <w:rPr/>
  </w:style>
  <w:style w:type="paragraph" w:styleId="ImageCaption" w:customStyle="1">
    <w:name w:val="Image Caption"/>
    <w:basedOn w:val="LO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LOnormal"/>
    <w:next w:val="LO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LOnormal"/>
    <w:next w:val="LO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LO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LOnormal"/>
    <w:qFormat/>
    <w:rsid w:val="0035500d"/>
    <w:pPr/>
    <w:rPr/>
  </w:style>
  <w:style w:type="paragraph" w:styleId="Tabletitle" w:customStyle="1">
    <w:name w:val="table title"/>
    <w:basedOn w:val="TableCaption"/>
    <w:next w:val="LOnormal"/>
    <w:qFormat/>
    <w:rsid w:val="00901463"/>
    <w:pPr/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  <w:tl2br w:val="nil" w:sz="0" w:space="0"/>
          <w:tr2bl w:val="nil" w:sz="0" w:space="0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+4TfCUwAzQf6VwLFTRC39a13UMw==">AMUW2mVCWWx0wkzoTM0H+dXZKl/R/WrsFQwTIa5D/Zb16XRtUjkQMftDM9EaGFnjvz2XWE/IOLA4Md5FgZIJm7YzBmBrX7i0wkzut7U/c3TVrC7mrX3JPmE=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LibreOffice/7.3.3.2$Linux_X86_64 LibreOffice_project/30$Build-2</Application>
  <AppVersion>15.0000</AppVersion>
  <Pages>8</Pages>
  <Words>717</Words>
  <Characters>3386</Characters>
  <CharactersWithSpaces>3836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>Bruno Montezano</cp:lastModifiedBy>
  <dcterms:modified xsi:type="dcterms:W3CDTF">2022-06-09T10:57:35Z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