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b/>
          <w:bCs/>
          <w:caps/>
          <w:color w:val="666666"/>
          <w:sz w:val="20"/>
          <w:szCs w:val="20"/>
        </w:rPr>
        <w:t xml:space="preserve">PROJETO DE PARCERIA SEMANTIX</w:t>
      </w:r>
    </w:p>
    <w:p>
      <w:pPr>
        <w:spacing w:after="80" w:before="0"/>
        <w:jc w:val="center"/>
      </w:pPr>
      <w:r>
        <w:rPr>
          <w:b/>
          <w:bCs/>
          <w:color w:val="1A5276"/>
          <w:sz w:val="44"/>
          <w:szCs w:val="44"/>
        </w:rPr>
        <w:t xml:space="preserve">Mortalidade Infantil no Brasil:</w:t>
      </w:r>
    </w:p>
    <w:p>
      <w:pPr>
        <w:spacing w:after="400" w:before="0"/>
        <w:jc w:val="center"/>
      </w:pPr>
      <w:r>
        <w:rPr>
          <w:b/>
          <w:bCs/>
          <w:color w:val="2874A6"/>
          <w:sz w:val="36"/>
          <w:szCs w:val="36"/>
        </w:rPr>
        <w:t xml:space="preserve">Uma Abordagem por Análise de Dados</w:t>
      </w:r>
    </w:p>
    <w:p>
      <w:pPr>
        <w:spacing w:after="80" w:before="0"/>
        <w:jc w:val="center"/>
      </w:pPr>
      <w:r>
        <w:rPr>
          <w:i/>
          <w:iCs/>
          <w:color w:val="888888"/>
          <w:sz w:val="20"/>
          <w:szCs w:val="20"/>
        </w:rPr>
        <w:t xml:space="preserve">Documento 1 de 4 — Dissertação do Problema e Justificativa</w:t>
      </w:r>
    </w:p>
    <w:p>
      <w:pPr>
        <w:spacing w:after="600" w:before="0"/>
        <w:jc w:val="center"/>
      </w:pPr>
      <w:r>
        <w:rPr>
          <w:color w:val="888888"/>
          <w:sz w:val="20"/>
          <w:szCs w:val="20"/>
        </w:rPr>
        <w:t xml:space="preserve">Junho de 2026</w:t>
      </w:r>
    </w:p>
    <w:p>
      <w:pPr>
        <w:pBdr>
          <w:bottom w:val="single" w:color="1A5276" w:sz="6" w:space="1"/>
        </w:pBdr>
        <w:spacing w:after="200" w:before="200"/>
      </w:pPr>
    </w:p>
    <w:p>
      <w:pPr>
        <w:pStyle w:val="Heading1"/>
        <w:spacing w:after="200" w:before="400"/>
      </w:pPr>
      <w:r>
        <w:rPr>
          <w:b/>
          <w:bCs/>
          <w:color w:val="1A5276"/>
          <w:sz w:val="32"/>
          <w:szCs w:val="32"/>
        </w:rPr>
        <w:t xml:space="preserve">1. Introdução</w:t>
      </w:r>
    </w:p>
    <w:p>
      <w:pPr>
        <w:spacing w:after="120" w:before="120"/>
      </w:pPr>
      <w:r>
        <w:rPr>
          <w:sz w:val="22"/>
          <w:szCs w:val="22"/>
        </w:rPr>
        <w:t xml:space="preserve">A mortalidade infantil é um dos indicadores socioeconômicos mais sensíveis e reveladores do desenvolvimento de uma nação. Reflete, de maneira direta, as condições de saúde pública, acesso a serviços médicos, qualidade da alimentação, saneamento básico e nível educacional da população. No Brasil, apesar dos avanços obtidos nas últimas décadas, a taxa de mortalidade infantil ainda apresenta disparidades regionais profundas, configurando-se como um problema estrutural que demanda atenção contínua e soluções baseadas em evidências.</w:t>
      </w:r>
    </w:p>
    <w:p>
      <w:pPr>
        <w:spacing w:after="120" w:before="120"/>
      </w:pPr>
      <w:r>
        <w:rPr>
          <w:sz w:val="22"/>
          <w:szCs w:val="22"/>
        </w:rPr>
        <w:t xml:space="preserve">Este projeto propõe o uso de análise de dados públicos para compreender os padrões, causas e distribuição geográfica da mortalidade infantil no país, gerando insights acionáveis para políticas públicas de saúde.</w:t>
      </w:r>
    </w:p>
    <w:p>
      <w:pPr>
        <w:pBdr>
          <w:bottom w:val="single" w:color="1A5276" w:sz="6" w:space="1"/>
        </w:pBdr>
        <w:spacing w:after="200" w:before="200"/>
      </w:pPr>
    </w:p>
    <w:p>
      <w:pPr>
        <w:pStyle w:val="Heading1"/>
        <w:spacing w:after="200" w:before="400"/>
      </w:pPr>
      <w:r>
        <w:rPr>
          <w:b/>
          <w:bCs/>
          <w:color w:val="1A5276"/>
          <w:sz w:val="32"/>
          <w:szCs w:val="32"/>
        </w:rPr>
        <w:t xml:space="preserve">2. Descrição Detalhada do Problema</w:t>
      </w:r>
    </w:p>
    <w:p>
      <w:pPr>
        <w:pStyle w:val="Heading2"/>
        <w:spacing w:after="150" w:before="300"/>
      </w:pPr>
      <w:r>
        <w:rPr>
          <w:b/>
          <w:bCs/>
          <w:color w:val="2874A6"/>
          <w:sz w:val="26"/>
          <w:szCs w:val="26"/>
        </w:rPr>
        <w:t xml:space="preserve">2.1 Definição e Conceito</w:t>
      </w:r>
    </w:p>
    <w:p>
      <w:pPr>
        <w:spacing w:after="120" w:before="120"/>
      </w:pPr>
      <w:r>
        <w:rPr>
          <w:sz w:val="22"/>
          <w:szCs w:val="22"/>
        </w:rPr>
        <w:t xml:space="preserve">A mortalidade infantil é definida como o número de óbitos de crianças menores de 1 ano de idade por cada 1.000 nascidos vivos em um determinado período e local. Este indicador é subdividido em:</w:t>
      </w:r>
    </w:p>
    <w:p>
      <w:pPr>
        <w:pStyle w:val="ListParagraph"/>
        <w:numPr>
          <w:ilvl w:val="0"/>
          <w:numId w:val="2"/>
        </w:numPr>
        <w:spacing w:after="80" w:before="80"/>
      </w:pPr>
      <w:r>
        <w:rPr>
          <w:sz w:val="22"/>
          <w:szCs w:val="22"/>
        </w:rPr>
        <w:t xml:space="preserve">Mortalidade neonatal precoce: óbitos nos primeiros 6 dias de vida</w:t>
      </w:r>
    </w:p>
    <w:p>
      <w:pPr>
        <w:pStyle w:val="ListParagraph"/>
        <w:numPr>
          <w:ilvl w:val="0"/>
          <w:numId w:val="2"/>
        </w:numPr>
        <w:spacing w:after="80" w:before="80"/>
      </w:pPr>
      <w:r>
        <w:rPr>
          <w:sz w:val="22"/>
          <w:szCs w:val="22"/>
        </w:rPr>
        <w:t xml:space="preserve">Mortalidade neonatal tardia: óbitos entre 7 e 27 dias de vida</w:t>
      </w:r>
    </w:p>
    <w:p>
      <w:pPr>
        <w:pStyle w:val="ListParagraph"/>
        <w:numPr>
          <w:ilvl w:val="0"/>
          <w:numId w:val="2"/>
        </w:numPr>
        <w:spacing w:after="80" w:before="80"/>
      </w:pPr>
      <w:r>
        <w:rPr>
          <w:sz w:val="22"/>
          <w:szCs w:val="22"/>
        </w:rPr>
        <w:t xml:space="preserve">Mortalidade pós-neonatal: óbitos entre 28 dias e 11 meses de vida</w:t>
      </w:r>
    </w:p>
    <w:p>
      <w:pPr>
        <w:spacing w:after="120" w:before="120"/>
      </w:pPr>
      <w:r>
        <w:rPr>
          <w:sz w:val="22"/>
          <w:szCs w:val="22"/>
        </w:rPr>
        <w:t xml:space="preserve">Cada categoria reflete causas distintas e requer intervenções específicas, tornando a análise granular essencial para o planejamento de ações efetivas.</w:t>
      </w:r>
    </w:p>
    <w:p>
      <w:pPr>
        <w:pStyle w:val="Heading2"/>
        <w:spacing w:after="150" w:before="300"/>
      </w:pPr>
      <w:r>
        <w:rPr>
          <w:b/>
          <w:bCs/>
          <w:color w:val="2874A6"/>
          <w:sz w:val="26"/>
          <w:szCs w:val="26"/>
        </w:rPr>
        <w:t xml:space="preserve">2.2 Panorama Nacional</w:t>
      </w:r>
    </w:p>
    <w:p>
      <w:pPr>
        <w:spacing w:after="120" w:before="120"/>
      </w:pPr>
      <w:r>
        <w:rPr>
          <w:sz w:val="22"/>
          <w:szCs w:val="22"/>
        </w:rPr>
        <w:t xml:space="preserve">Segundo dados do Sistema de Informações sobre Mortalidade (SIM) e do Sistema de Informações sobre Nascidos Vivos (SINASC), do Ministério da Saúde, o Brasil registrou uma redução significativa da Taxa de Mortalidade Infantil (TMI) nas últimas três décadas: de 47,1 óbitos por mil nascidos vivos em 1990 para aproximadamente 12,4 em 2023. Entretanto, este número ainda supera a meta estabelecida pelos Objetivos de Desenvolvimento Sustentável (ODS) da ONU, que prevê reduzir a mortalidade neonatal a pelo menos 12 por 1.000 nascidos vivos até 2030.</w:t>
      </w:r>
    </w:p>
    <w:p>
      <w:pPr>
        <w:spacing w:after="120" w:before="120"/>
      </w:pPr>
      <w:r>
        <w:rPr>
          <w:sz w:val="22"/>
          <w:szCs w:val="22"/>
        </w:rPr>
        <w:t xml:space="preserve">Mais alarmante do que a média nacional são as disparidades regionais: enquanto estados do Sul e Sudeste registram taxas próximas às de países desenvolvidos (em torno de 8-9 por mil), estados do Norte e Nordeste apresentam taxas que chegam a ultrapassar 20 por mil nascidos vivos.</w:t>
      </w:r>
    </w:p>
    <w:p>
      <w:pPr>
        <w:pStyle w:val="Heading2"/>
        <w:spacing w:after="150" w:before="300"/>
      </w:pPr>
      <w:r>
        <w:rPr>
          <w:b/>
          <w:bCs/>
          <w:color w:val="2874A6"/>
          <w:sz w:val="26"/>
          <w:szCs w:val="26"/>
        </w:rPr>
        <w:t xml:space="preserve">2.3 Principais Causas de Mortalidade Infantil no Brasil</w:t>
      </w:r>
    </w:p>
    <w:p>
      <w:pPr>
        <w:pStyle w:val="ListParagraph"/>
        <w:numPr>
          <w:ilvl w:val="0"/>
          <w:numId w:val="2"/>
        </w:numPr>
        <w:spacing w:after="80" w:before="80"/>
      </w:pPr>
      <w:r>
        <w:rPr>
          <w:sz w:val="22"/>
          <w:szCs w:val="22"/>
        </w:rPr>
        <w:t xml:space="preserve">Afecções perinatais (prematuridade, baixo peso ao nascer, asfixia): representam ~70% dos óbitos neonatais</w:t>
      </w:r>
    </w:p>
    <w:p>
      <w:pPr>
        <w:pStyle w:val="ListParagraph"/>
        <w:numPr>
          <w:ilvl w:val="0"/>
          <w:numId w:val="2"/>
        </w:numPr>
        <w:spacing w:after="80" w:before="80"/>
      </w:pPr>
      <w:r>
        <w:rPr>
          <w:sz w:val="22"/>
          <w:szCs w:val="22"/>
        </w:rPr>
        <w:t xml:space="preserve">Malformações congênitas: segunda maior causa de óbitos no primeiro ano</w:t>
      </w:r>
    </w:p>
    <w:p>
      <w:pPr>
        <w:pStyle w:val="ListParagraph"/>
        <w:numPr>
          <w:ilvl w:val="0"/>
          <w:numId w:val="2"/>
        </w:numPr>
        <w:spacing w:after="80" w:before="80"/>
      </w:pPr>
      <w:r>
        <w:rPr>
          <w:sz w:val="22"/>
          <w:szCs w:val="22"/>
        </w:rPr>
        <w:t xml:space="preserve">Pneumonia e doenças respiratórias: principal causa no período pós-neonatal</w:t>
      </w:r>
    </w:p>
    <w:p>
      <w:pPr>
        <w:pStyle w:val="ListParagraph"/>
        <w:numPr>
          <w:ilvl w:val="0"/>
          <w:numId w:val="2"/>
        </w:numPr>
        <w:spacing w:after="80" w:before="80"/>
      </w:pPr>
      <w:r>
        <w:rPr>
          <w:sz w:val="22"/>
          <w:szCs w:val="22"/>
        </w:rPr>
        <w:t xml:space="preserve">Doenças diarreicas e infecciosas: fortemente ligadas ao saneamento básico</w:t>
      </w:r>
    </w:p>
    <w:p>
      <w:pPr>
        <w:pStyle w:val="ListParagraph"/>
        <w:numPr>
          <w:ilvl w:val="0"/>
          <w:numId w:val="2"/>
        </w:numPr>
        <w:spacing w:after="80" w:before="80"/>
      </w:pPr>
      <w:r>
        <w:rPr>
          <w:sz w:val="22"/>
          <w:szCs w:val="22"/>
        </w:rPr>
        <w:t xml:space="preserve">Causas externas e acidentes: crescentes no segundo semestre de vida</w:t>
      </w:r>
    </w:p>
    <w:p>
      <w:pPr>
        <w:pStyle w:val="Heading2"/>
        <w:spacing w:after="150" w:before="300"/>
      </w:pPr>
      <w:r>
        <w:rPr>
          <w:b/>
          <w:bCs/>
          <w:color w:val="2874A6"/>
          <w:sz w:val="26"/>
          <w:szCs w:val="26"/>
        </w:rPr>
        <w:t xml:space="preserve">2.4 Determinantes Sociais</w:t>
      </w:r>
    </w:p>
    <w:p>
      <w:pPr>
        <w:spacing w:after="120" w:before="120"/>
      </w:pPr>
      <w:r>
        <w:rPr>
          <w:sz w:val="22"/>
          <w:szCs w:val="22"/>
        </w:rPr>
        <w:t xml:space="preserve">A literatura científica aponta forte correlação entre mortalidade infantil e determinantes sociais como: renda familiar, escolaridade materna, acesso ao pré-natal, cobertura de saneamento básico, taxa de urbanização e disponibilidade de leitos hospitalares por habitante. Uma análise de dados robusta permite identificar quais determinantes têm maior impacto em cada região, orientando intervenções custo-efetivas.</w:t>
      </w:r>
    </w:p>
    <w:p>
      <w:pPr>
        <w:pBdr>
          <w:bottom w:val="single" w:color="1A5276" w:sz="6" w:space="1"/>
        </w:pBdr>
        <w:spacing w:after="200" w:before="200"/>
      </w:pPr>
    </w:p>
    <w:p>
      <w:pPr>
        <w:pStyle w:val="Heading1"/>
        <w:spacing w:after="200" w:before="400"/>
      </w:pPr>
      <w:r>
        <w:rPr>
          <w:b/>
          <w:bCs/>
          <w:color w:val="1A5276"/>
          <w:sz w:val="32"/>
          <w:szCs w:val="32"/>
        </w:rPr>
        <w:t xml:space="preserve">3. Relevância e Importância Social</w:t>
      </w:r>
    </w:p>
    <w:p>
      <w:pPr>
        <w:spacing w:after="120" w:before="120"/>
      </w:pPr>
      <w:r>
        <w:rPr>
          <w:sz w:val="22"/>
          <w:szCs w:val="22"/>
        </w:rPr>
        <w:t xml:space="preserve">A escolha da mortalidade infantil como objeto deste projeto justifica-se por múltiplas razões:</w:t>
      </w:r>
    </w:p>
    <w:p>
      <w:pPr>
        <w:pStyle w:val="Heading2"/>
        <w:spacing w:after="150" w:before="300"/>
      </w:pPr>
      <w:r>
        <w:rPr>
          <w:b/>
          <w:bCs/>
          <w:color w:val="2874A6"/>
          <w:sz w:val="26"/>
          <w:szCs w:val="26"/>
        </w:rPr>
        <w:t xml:space="preserve">3.1 Dimensão Ética e Humanitária</w:t>
      </w:r>
    </w:p>
    <w:p>
      <w:pPr>
        <w:spacing w:after="120" w:before="120"/>
      </w:pPr>
      <w:r>
        <w:rPr>
          <w:sz w:val="22"/>
          <w:szCs w:val="22"/>
        </w:rPr>
        <w:t xml:space="preserve">A morte de crianças antes de completar um ano de vida representa uma das formas mais dramáticas de inequidade social. Em grande parte dos casos, esses óbitos são evitáveis com acesso adequado a serviços de saúde, saneamento e alimentação. Analisar e compreender esses dados é um ato de responsabilidade social.</w:t>
      </w:r>
    </w:p>
    <w:p>
      <w:pPr>
        <w:pStyle w:val="Heading2"/>
        <w:spacing w:after="150" w:before="300"/>
      </w:pPr>
      <w:r>
        <w:rPr>
          <w:b/>
          <w:bCs/>
          <w:color w:val="2874A6"/>
          <w:sz w:val="26"/>
          <w:szCs w:val="26"/>
        </w:rPr>
        <w:t xml:space="preserve">3.2 Indicador Proxy de Desenvolvimento</w:t>
      </w:r>
    </w:p>
    <w:p>
      <w:pPr>
        <w:spacing w:after="120" w:before="120"/>
      </w:pPr>
      <w:r>
        <w:rPr>
          <w:sz w:val="22"/>
          <w:szCs w:val="22"/>
        </w:rPr>
        <w:t xml:space="preserve">Organismos internacionais como OMS, UNICEF e IBGE utilizam a TMI como indicador sintético de desenvolvimento socioeconômico. Melhorias neste indicador refletem avanços simultâneos em saúde, educação, renda e infraestrutura. É, portanto, um alvo estratégico para políticas públicas integradas.</w:t>
      </w:r>
    </w:p>
    <w:p>
      <w:pPr>
        <w:pStyle w:val="Heading2"/>
        <w:spacing w:after="150" w:before="300"/>
      </w:pPr>
      <w:r>
        <w:rPr>
          <w:b/>
          <w:bCs/>
          <w:color w:val="2874A6"/>
          <w:sz w:val="26"/>
          <w:szCs w:val="26"/>
        </w:rPr>
        <w:t xml:space="preserve">3.3 Volume e Disponibilidade de Dados</w:t>
      </w:r>
    </w:p>
    <w:p>
      <w:pPr>
        <w:spacing w:after="120" w:before="120"/>
      </w:pPr>
      <w:r>
        <w:rPr>
          <w:sz w:val="22"/>
          <w:szCs w:val="22"/>
        </w:rPr>
        <w:t xml:space="preserve">O Brasil possui um dos sistemas de informação em saúde pública mais completos do mundo, com décadas de dados sistematizados no DATASUS. Isso torna o problema ideal para demonstrar o poder da análise de dados: há volume suficiente para análises estatisticamente robustas e granularidade suficiente para análises regionais e temporais.</w:t>
      </w:r>
    </w:p>
    <w:p>
      <w:pPr>
        <w:pStyle w:val="Heading2"/>
        <w:spacing w:after="150" w:before="300"/>
      </w:pPr>
      <w:r>
        <w:rPr>
          <w:b/>
          <w:bCs/>
          <w:color w:val="2874A6"/>
          <w:sz w:val="26"/>
          <w:szCs w:val="26"/>
        </w:rPr>
        <w:t xml:space="preserve">3.4 Potencial de Impacto das Soluções</w:t>
      </w:r>
    </w:p>
    <w:p>
      <w:pPr>
        <w:spacing w:after="120" w:before="120"/>
      </w:pPr>
      <w:r>
        <w:rPr>
          <w:sz w:val="22"/>
          <w:szCs w:val="22"/>
        </w:rPr>
        <w:t xml:space="preserve">Insights derivados da análise de dados podem diretamente subsidiar decisões de gestores municipais, estaduais e federais na alocação de recursos, priorização de intervenções e avaliação de programas como o Programa Nacional de Imunizações (PNI), o Bolsa Família e o Programa Saúde da Família (PSF).</w:t>
      </w:r>
    </w:p>
    <w:p>
      <w:pPr>
        <w:pBdr>
          <w:bottom w:val="single" w:color="1A5276" w:sz="6" w:space="1"/>
        </w:pBdr>
        <w:spacing w:after="200" w:before="200"/>
      </w:pPr>
    </w:p>
    <w:p>
      <w:pPr>
        <w:pStyle w:val="Heading1"/>
        <w:spacing w:after="200" w:before="400"/>
      </w:pPr>
      <w:r>
        <w:rPr>
          <w:b/>
          <w:bCs/>
          <w:color w:val="1A5276"/>
          <w:sz w:val="32"/>
          <w:szCs w:val="32"/>
        </w:rPr>
        <w:t xml:space="preserve">4. Como a Análise de Dados Pode Contribuir</w:t>
      </w:r>
    </w:p>
    <w:p>
      <w:pPr>
        <w:pStyle w:val="Heading2"/>
        <w:spacing w:after="150" w:before="300"/>
      </w:pPr>
      <w:r>
        <w:rPr>
          <w:b/>
          <w:bCs/>
          <w:color w:val="2874A6"/>
          <w:sz w:val="26"/>
          <w:szCs w:val="26"/>
        </w:rPr>
        <w:t xml:space="preserve">4.1 Identificação de Padrões Geográficos</w:t>
      </w:r>
    </w:p>
    <w:p>
      <w:pPr>
        <w:spacing w:after="120" w:before="120"/>
      </w:pPr>
      <w:r>
        <w:rPr>
          <w:sz w:val="22"/>
          <w:szCs w:val="22"/>
        </w:rPr>
        <w:t xml:space="preserve">Técnicas de análise espacial e clusterização permitem identificar municípios e regiões com comportamento anômalo — seja positivo (boas práticas replicáveis) ou negativo (focos que demandam intervenção urgente). Mapas de calor e análise de autocorrelação espacial (Índice de Moran) são ferramentas poderosas neste contexto.</w:t>
      </w:r>
    </w:p>
    <w:p>
      <w:pPr>
        <w:pStyle w:val="Heading2"/>
        <w:spacing w:after="150" w:before="300"/>
      </w:pPr>
      <w:r>
        <w:rPr>
          <w:b/>
          <w:bCs/>
          <w:color w:val="2874A6"/>
          <w:sz w:val="26"/>
          <w:szCs w:val="26"/>
        </w:rPr>
        <w:t xml:space="preserve">4.2 Análise de Séries Temporais</w:t>
      </w:r>
    </w:p>
    <w:p>
      <w:pPr>
        <w:spacing w:after="120" w:before="120"/>
      </w:pPr>
      <w:r>
        <w:rPr>
          <w:sz w:val="22"/>
          <w:szCs w:val="22"/>
        </w:rPr>
        <w:t xml:space="preserve">O acompanhamento histórico das taxas permite identificar tendências, sazonalidades e o impacto de políticas públicas específicas ao longo do tempo. É possível, por exemplo, mensurar o impacto da expansão do programa de Agentes Comunitários de Saúde na redução da mortalidade pós-neonatal.</w:t>
      </w:r>
    </w:p>
    <w:p>
      <w:pPr>
        <w:pStyle w:val="Heading2"/>
        <w:spacing w:after="150" w:before="300"/>
      </w:pPr>
      <w:r>
        <w:rPr>
          <w:b/>
          <w:bCs/>
          <w:color w:val="2874A6"/>
          <w:sz w:val="26"/>
          <w:szCs w:val="26"/>
        </w:rPr>
        <w:t xml:space="preserve">4.3 Modelagem Preditiva</w:t>
      </w:r>
    </w:p>
    <w:p>
      <w:pPr>
        <w:spacing w:after="120" w:before="120"/>
      </w:pPr>
      <w:r>
        <w:rPr>
          <w:sz w:val="22"/>
          <w:szCs w:val="22"/>
        </w:rPr>
        <w:t xml:space="preserve">Com base em variáveis socioeconômicas e de saúde disponíveis, modelos de machine learning podem prever municípios com maior risco de aumento de TMI nos próximos anos, permitindo ação preventiva antes que a situação se agrave.</w:t>
      </w:r>
    </w:p>
    <w:p>
      <w:pPr>
        <w:pStyle w:val="Heading2"/>
        <w:spacing w:after="150" w:before="300"/>
      </w:pPr>
      <w:r>
        <w:rPr>
          <w:b/>
          <w:bCs/>
          <w:color w:val="2874A6"/>
          <w:sz w:val="26"/>
          <w:szCs w:val="26"/>
        </w:rPr>
        <w:t xml:space="preserve">4.4 Correlações e Causalidade</w:t>
      </w:r>
    </w:p>
    <w:p>
      <w:pPr>
        <w:spacing w:after="120" w:before="120"/>
      </w:pPr>
      <w:r>
        <w:rPr>
          <w:sz w:val="22"/>
          <w:szCs w:val="22"/>
        </w:rPr>
        <w:t xml:space="preserve">A análise multivariada permite identificar quais variáveis — cobertura de pré-natal, renda per capita, taxa de saneamento, escolaridade materna — têm maior poder explicativo sobre as variações na TMI, orientando onde investir recursos de forma mais eficiente.</w:t>
      </w:r>
    </w:p>
    <w:p>
      <w:pPr>
        <w:pStyle w:val="Heading2"/>
        <w:spacing w:after="150" w:before="300"/>
      </w:pPr>
      <w:r>
        <w:rPr>
          <w:b/>
          <w:bCs/>
          <w:color w:val="2874A6"/>
          <w:sz w:val="26"/>
          <w:szCs w:val="26"/>
        </w:rPr>
        <w:t xml:space="preserve">4.5 Segmentação por Causa de Óbito</w:t>
      </w:r>
    </w:p>
    <w:p>
      <w:pPr>
        <w:spacing w:after="120" w:before="120"/>
      </w:pPr>
      <w:r>
        <w:rPr>
          <w:sz w:val="22"/>
          <w:szCs w:val="22"/>
        </w:rPr>
        <w:t xml:space="preserve">A decomposição da TMI por causa permite direcionar intervenções específicas: reduzir óbitos por pneumonia requer ações diferentes de reduzir óbitos por malformações congênitas. A análise de dados torna essa distinção operacionalizável em escala nacional.</w:t>
      </w:r>
    </w:p>
    <w:p>
      <w:pPr>
        <w:pBdr>
          <w:bottom w:val="single" w:color="1A5276" w:sz="6" w:space="1"/>
        </w:pBdr>
        <w:spacing w:after="200" w:before="200"/>
      </w:pPr>
    </w:p>
    <w:p>
      <w:pPr>
        <w:pStyle w:val="Heading1"/>
        <w:spacing w:after="200" w:before="400"/>
      </w:pPr>
      <w:r>
        <w:rPr>
          <w:b/>
          <w:bCs/>
          <w:color w:val="1A5276"/>
          <w:sz w:val="32"/>
          <w:szCs w:val="32"/>
        </w:rPr>
        <w:t xml:space="preserve">5. Hipóteses de Pesquisa</w:t>
      </w:r>
    </w:p>
    <w:p>
      <w:pPr>
        <w:spacing w:after="120" w:before="120"/>
      </w:pPr>
      <w:r>
        <w:rPr>
          <w:sz w:val="22"/>
          <w:szCs w:val="22"/>
        </w:rPr>
        <w:t xml:space="preserve">Com base na revisão da literatura e no conhecimento do contexto, este projeto testará as seguintes hipóteses:</w:t>
      </w:r>
    </w:p>
    <w:p>
      <w:pPr>
        <w:pStyle w:val="ListParagraph"/>
        <w:numPr>
          <w:ilvl w:val="0"/>
          <w:numId w:val="2"/>
        </w:numPr>
        <w:spacing w:after="80" w:before="80"/>
      </w:pPr>
      <w:r>
        <w:rPr>
          <w:sz w:val="22"/>
          <w:szCs w:val="22"/>
        </w:rPr>
        <w:t xml:space="preserve">H1: Existe correlação negativa significativa entre cobertura de pré-natal e TMI municipal</w:t>
      </w:r>
    </w:p>
    <w:p>
      <w:pPr>
        <w:pStyle w:val="ListParagraph"/>
        <w:numPr>
          <w:ilvl w:val="0"/>
          <w:numId w:val="2"/>
        </w:numPr>
        <w:spacing w:after="80" w:before="80"/>
      </w:pPr>
      <w:r>
        <w:rPr>
          <w:sz w:val="22"/>
          <w:szCs w:val="22"/>
        </w:rPr>
        <w:t xml:space="preserve">H2: Municípios com menor IDH apresentam TMI proporcionalmente mais elevada e com menor taxa de redução ao longo do tempo</w:t>
      </w:r>
    </w:p>
    <w:p>
      <w:pPr>
        <w:pStyle w:val="ListParagraph"/>
        <w:numPr>
          <w:ilvl w:val="0"/>
          <w:numId w:val="2"/>
        </w:numPr>
        <w:spacing w:after="80" w:before="80"/>
      </w:pPr>
      <w:r>
        <w:rPr>
          <w:sz w:val="22"/>
          <w:szCs w:val="22"/>
        </w:rPr>
        <w:t xml:space="preserve">H3: A expansão da Estratégia Saúde da Família está associada à redução da mortalidade pós-neonatal</w:t>
      </w:r>
    </w:p>
    <w:p>
      <w:pPr>
        <w:pStyle w:val="ListParagraph"/>
        <w:numPr>
          <w:ilvl w:val="0"/>
          <w:numId w:val="2"/>
        </w:numPr>
        <w:spacing w:after="80" w:before="80"/>
      </w:pPr>
      <w:r>
        <w:rPr>
          <w:sz w:val="22"/>
          <w:szCs w:val="22"/>
        </w:rPr>
        <w:t xml:space="preserve">H4: As causas de mortalidade infantil diferem significativamente entre regiões Norte/Nordeste e Sul/Sudeste</w:t>
      </w:r>
    </w:p>
    <w:p>
      <w:pPr>
        <w:pStyle w:val="ListParagraph"/>
        <w:numPr>
          <w:ilvl w:val="0"/>
          <w:numId w:val="2"/>
        </w:numPr>
        <w:spacing w:after="80" w:before="80"/>
      </w:pPr>
      <w:r>
        <w:rPr>
          <w:sz w:val="22"/>
          <w:szCs w:val="22"/>
        </w:rPr>
        <w:t xml:space="preserve">H5: O saneamento básico tem maior poder preditivo sobre a TMI do que a renda per capita</w:t>
      </w:r>
    </w:p>
    <w:p>
      <w:pPr>
        <w:pBdr>
          <w:bottom w:val="single" w:color="1A5276" w:sz="6" w:space="1"/>
        </w:pBdr>
        <w:spacing w:after="200" w:before="200"/>
      </w:pPr>
    </w:p>
    <w:p>
      <w:pPr>
        <w:pStyle w:val="Heading1"/>
        <w:spacing w:after="200" w:before="400"/>
      </w:pPr>
      <w:r>
        <w:rPr>
          <w:b/>
          <w:bCs/>
          <w:color w:val="1A5276"/>
          <w:sz w:val="32"/>
          <w:szCs w:val="32"/>
        </w:rPr>
        <w:t xml:space="preserve">6. Conclusão da Dissertação</w:t>
      </w:r>
    </w:p>
    <w:p>
      <w:pPr>
        <w:spacing w:after="120" w:before="120"/>
      </w:pPr>
      <w:r>
        <w:rPr>
          <w:sz w:val="22"/>
          <w:szCs w:val="22"/>
        </w:rPr>
        <w:t xml:space="preserve">A mortalidade infantil no Brasil é um problema real, mensurável, com dados públicos abundantes e com imenso potencial de mitigação através de políticas baseadas em evidências. A análise de dados não é apenas adequada para abordar este problema — ela é essencial. Somente através de uma leitura sistemática, granular e comparativa dos dados disponíveis é possível superar análises superficiais e identificar as alavancas reais de mudança que podem salvar vidas.</w:t>
      </w:r>
    </w:p>
    <w:p>
      <w:pPr>
        <w:spacing w:after="120" w:before="120"/>
      </w:pPr>
      <w:r>
        <w:rPr>
          <w:sz w:val="22"/>
          <w:szCs w:val="22"/>
        </w:rPr>
        <w:t xml:space="preserve">Este projeto demonstrará, em cada etapa subsequente, como ferramentas de análise de dados transformam números brutos em conhecimento acionável, cumprindo a missão central da ciência de dados aplicada ao bem público.</w:t>
      </w:r>
    </w:p>
    <w:p>
      <w:pPr>
        <w:pBdr>
          <w:bottom w:val="single" w:color="1A5276" w:sz="6" w:space="1"/>
        </w:pBdr>
        <w:spacing w:after="200" w:before="200"/>
      </w:pPr>
    </w:p>
    <w:p>
      <w:pPr>
        <w:spacing w:before="300"/>
        <w:jc w:val="center"/>
      </w:pPr>
      <w:r>
        <w:rPr>
          <w:i/>
          <w:iCs/>
          <w:color w:val="999999"/>
          <w:sz w:val="18"/>
          <w:szCs w:val="18"/>
        </w:rPr>
        <w:t xml:space="preserve">Documento preparado como parte do Projeto de Parceria Semantix — 2026</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Projeto de Parceria Semantix | Análise de Mortalidade Infantil no Brasil | Página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5276"/>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874A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2026-06-23T15:12:00.136Z</dcterms:created>
  <dcterms:modified xsi:type="dcterms:W3CDTF">2026-06-23T15:12:00.137Z</dcterms:modified>
</cp:coreProperties>
</file>

<file path=docProps/custom.xml><?xml version="1.0" encoding="utf-8"?>
<Properties xmlns="http://schemas.openxmlformats.org/officeDocument/2006/custom-properties" xmlns:vt="http://schemas.openxmlformats.org/officeDocument/2006/docPropsVTypes"/>
</file>