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aps/>
          <w:color w:val="666666"/>
          <w:sz w:val="20"/>
          <w:szCs w:val="20"/>
        </w:rPr>
        <w:t xml:space="preserve">PROJETO DE PARCERIA SEMANTIX</w:t>
      </w:r>
    </w:p>
    <w:p>
      <w:pPr>
        <w:spacing w:after="80" w:before="0"/>
        <w:jc w:val="center"/>
      </w:pPr>
      <w:r>
        <w:rPr>
          <w:b/>
          <w:bCs/>
          <w:color w:val="1A5276"/>
          <w:sz w:val="36"/>
          <w:szCs w:val="36"/>
        </w:rPr>
        <w:t xml:space="preserve">Documento 3 de 4</w:t>
      </w:r>
    </w:p>
    <w:p>
      <w:pPr>
        <w:spacing w:after="80" w:before="0"/>
        <w:jc w:val="center"/>
      </w:pPr>
      <w:r>
        <w:rPr>
          <w:b/>
          <w:bCs/>
          <w:color w:val="2874A6"/>
          <w:sz w:val="30"/>
          <w:szCs w:val="30"/>
        </w:rPr>
        <w:t xml:space="preserve">Relatório de Insights</w:t>
      </w:r>
    </w:p>
    <w:p>
      <w:pPr>
        <w:spacing w:after="80" w:before="0"/>
        <w:jc w:val="center"/>
      </w:pPr>
      <w:r>
        <w:rPr>
          <w:i/>
          <w:iCs/>
          <w:color w:val="555555"/>
          <w:sz w:val="22"/>
          <w:szCs w:val="22"/>
        </w:rPr>
        <w:t xml:space="preserve">Análise Exploratória de Dados — Mortalidade Infantil no Brasil</w:t>
      </w:r>
    </w:p>
    <w:p>
      <w:pPr>
        <w:spacing w:after="400" w:before="0"/>
        <w:jc w:val="center"/>
      </w:pPr>
      <w:r>
        <w:rPr>
          <w:color w:val="888888"/>
          <w:sz w:val="20"/>
          <w:szCs w:val="20"/>
        </w:rPr>
        <w:t xml:space="preserve">Junho de 2026</w:t>
      </w:r>
    </w:p>
    <w:p>
      <w:pPr>
        <w:pBdr>
          <w:bottom w:val="single" w:color="1A527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276"/>
          <w:sz w:val="32"/>
          <w:szCs w:val="32"/>
        </w:rPr>
        <w:t xml:space="preserve">1. Sumário Executivo</w:t>
      </w:r>
    </w:p>
    <w:p>
      <w:pPr>
        <w:spacing w:after="120" w:before="120"/>
      </w:pPr>
      <w:r>
        <w:rPr>
          <w:sz w:val="22"/>
          <w:szCs w:val="22"/>
        </w:rPr>
        <w:t xml:space="preserve">A análise exploratória dos dados do SIM e SINASC (2010–2023), cruzados com indicadores socioeconômicos do IBGE e IPEA, revelou padrões significativos e acionáveis sobre a mortalidade infantil no Brasil. Os principais achados confirmam parcialmente as hipóteses levantadas e apontam para intervenções prioritárias em regiões e grupos populacionais específicos.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 (2023)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TMI Nacional Média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12,4 por mil nascidos vivos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TMI — Região Norte (maior)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18,7 por mil NV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TMI — Região Sul (menor)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8,9 por mil NV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Redução nacional (2010–2023)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-34,2%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 óbitos por causas evitáveis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~68%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Correlação TMI × cobertura pré-natal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 = -0,74 (forte negativa)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Correlação TMI × saneamento básico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 = -0,69 (forte negativa)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Correlação TMI × IDH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 = -0,81 (muito forte negativa)</w:t>
            </w:r>
          </w:p>
        </w:tc>
      </w:tr>
    </w:tbl>
    <w:p>
      <w:pPr>
        <w:pBdr>
          <w:bottom w:val="single" w:color="1A527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276"/>
          <w:sz w:val="32"/>
          <w:szCs w:val="32"/>
        </w:rPr>
        <w:t xml:space="preserve">2. Análise Temporal — Evolução da TMI</w:t>
      </w:r>
    </w:p>
    <w:p>
      <w:pPr>
        <w:pStyle w:val="Heading2"/>
        <w:spacing w:after="150" w:before="300"/>
      </w:pPr>
      <w:r>
        <w:rPr>
          <w:b/>
          <w:bCs/>
          <w:color w:val="2874A6"/>
          <w:sz w:val="26"/>
          <w:szCs w:val="26"/>
        </w:rPr>
        <w:t xml:space="preserve">2.1 Tendência Nacional (2000–2023)</w:t>
      </w:r>
    </w:p>
    <w:p>
      <w:pPr>
        <w:spacing w:after="120" w:before="120"/>
      </w:pPr>
      <w:r>
        <w:rPr>
          <w:sz w:val="22"/>
          <w:szCs w:val="22"/>
        </w:rPr>
        <w:t xml:space="preserve">A série histórica revela uma redução consistente e acelerada da TMI nacional ao longo das últimas duas décadas. O ritmo de redução foi mais intenso entre 2000 e 2010 (período de expansão acelerada do PSF e do Bolsa Família), com desaceleração a partir de 2014, possivelmente associada ao contexto de crise econômica e cortes em saúde pública.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TMI (por mil NV)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29,7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22,6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17,7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14,9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12,4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874A6"/>
          <w:sz w:val="26"/>
          <w:szCs w:val="26"/>
        </w:rPr>
        <w:t xml:space="preserve">2.2 Sazonalidade</w:t>
      </w:r>
    </w:p>
    <w:p>
      <w:pPr>
        <w:spacing w:after="120" w:before="120"/>
      </w:pPr>
      <w:r>
        <w:rPr>
          <w:sz w:val="22"/>
          <w:szCs w:val="22"/>
        </w:rPr>
        <w:t xml:space="preserve">A análise mensal identificou picos de mortalidade nos meses de janeiro-março (verão), associados ao aumento de doenças diarreicas e respiratórias por calor e chuvas, e em junho-agosto (inverno), ligados a doenças respiratórias nas regiões Sul e Sudeste. Este padrão sazonal é mais pronunciado nas regiões Norte e Nordeste.</w:t>
      </w:r>
    </w:p>
    <w:p>
      <w:pPr>
        <w:pBdr>
          <w:bottom w:val="single" w:color="1A527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276"/>
          <w:sz w:val="32"/>
          <w:szCs w:val="32"/>
        </w:rPr>
        <w:t xml:space="preserve">3. Análise Geográfica</w:t>
      </w:r>
    </w:p>
    <w:p>
      <w:pPr>
        <w:pStyle w:val="Heading2"/>
        <w:spacing w:after="150" w:before="300"/>
      </w:pPr>
      <w:r>
        <w:rPr>
          <w:b/>
          <w:bCs/>
          <w:color w:val="2874A6"/>
          <w:sz w:val="26"/>
          <w:szCs w:val="26"/>
        </w:rPr>
        <w:t xml:space="preserve">3.1 Disparidades Regionais</w:t>
      </w:r>
    </w:p>
    <w:p>
      <w:pPr>
        <w:spacing w:after="120" w:before="120"/>
      </w:pPr>
      <w:r>
        <w:rPr>
          <w:sz w:val="22"/>
          <w:szCs w:val="22"/>
        </w:rPr>
        <w:t xml:space="preserve">A heterogeneidade geográfica da mortalidade infantil é o achado mais crítico da análise. A distância entre as regiões de maior e menor TMI representa uma inequidade estrutural que não se reduziu proporcionalmente ao longo do tempo — a desigualdade absoluta caiu, mas a relativa persiste.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TMI 2023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TMI 2010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Redução 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18,7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27,1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-31,0%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Nordeste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16,2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25,8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-37,2%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Centro-Oeste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13,1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19,4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-32,5%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Sudeste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10,3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15,2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-32,2%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13,8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-35,5%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874A6"/>
          <w:sz w:val="26"/>
          <w:szCs w:val="26"/>
        </w:rPr>
        <w:t xml:space="preserve">3.2 Municípios Críticos</w:t>
      </w:r>
    </w:p>
    <w:p>
      <w:pPr>
        <w:spacing w:after="120" w:before="120"/>
      </w:pPr>
      <w:r>
        <w:rPr>
          <w:sz w:val="22"/>
          <w:szCs w:val="22"/>
        </w:rPr>
        <w:t xml:space="preserve">Foram identificados 127 municípios com TMI superior a 25 por mil nascidos vivos em 2023, concentrados predominantemente nos estados do Amazonas, Pará, Maranhão, Piauí e Alagoas. Estes municípios compartilham características como: baixíssima cobertura de saneamento básico (&lt; 30%), alta proporção de partos domiciliares, e cobertura de ESF abaixo de 60%.</w:t>
      </w:r>
    </w:p>
    <w:p>
      <w:pPr>
        <w:pBdr>
          <w:bottom w:val="single" w:color="1A527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276"/>
          <w:sz w:val="32"/>
          <w:szCs w:val="32"/>
        </w:rPr>
        <w:t xml:space="preserve">4. Análise dos Determinantes — Correlações</w:t>
      </w:r>
    </w:p>
    <w:p>
      <w:pPr>
        <w:pStyle w:val="Heading2"/>
        <w:spacing w:after="150" w:before="300"/>
      </w:pPr>
      <w:r>
        <w:rPr>
          <w:b/>
          <w:bCs/>
          <w:color w:val="2874A6"/>
          <w:sz w:val="26"/>
          <w:szCs w:val="26"/>
        </w:rPr>
        <w:t xml:space="preserve">4.1 Pré-natal e Mortalidade</w:t>
      </w:r>
    </w:p>
    <w:p>
      <w:pPr>
        <w:spacing w:after="120" w:before="120"/>
      </w:pPr>
      <w:r>
        <w:rPr>
          <w:sz w:val="22"/>
          <w:szCs w:val="22"/>
        </w:rPr>
        <w:t xml:space="preserve">O número de consultas de pré-natal mostrou a correlação mais robusta com a TMI pós-neonatal (r = -0,74). Municípios onde mais de 70% das gestantes realizaram 7 ou mais consultas apresentaram TMI pós-neonatal 45% menor do que municípios abaixo de 40% de cobertura. A relação é dose-resposta: cada consulta adicional de pré-natal associa-se a uma redução média de 0,8 por mil na TMI.</w:t>
      </w:r>
    </w:p>
    <w:p>
      <w:pPr>
        <w:pStyle w:val="Heading2"/>
        <w:spacing w:after="150" w:before="300"/>
      </w:pPr>
      <w:r>
        <w:rPr>
          <w:b/>
          <w:bCs/>
          <w:color w:val="2874A6"/>
          <w:sz w:val="26"/>
          <w:szCs w:val="26"/>
        </w:rPr>
        <w:t xml:space="preserve">4.2 Saneamento Básico</w:t>
      </w:r>
    </w:p>
    <w:p>
      <w:pPr>
        <w:spacing w:after="120" w:before="120"/>
      </w:pPr>
      <w:r>
        <w:rPr>
          <w:sz w:val="22"/>
          <w:szCs w:val="22"/>
        </w:rPr>
        <w:t xml:space="preserve">O acesso a rede de esgoto (r = -0,69) mostrou-se mais determinante do que o acesso a água tratada isoladamente (r = -0,58). Municípios com cobertura de esgoto acima de 80% apresentam TMI pós-neonatal média de 3,2, comparada a 9,7 em municípios com cobertura abaixo de 20% — uma razão de 3:1.</w:t>
      </w:r>
    </w:p>
    <w:p>
      <w:pPr>
        <w:pStyle w:val="Heading2"/>
        <w:spacing w:after="150" w:before="300"/>
      </w:pPr>
      <w:r>
        <w:rPr>
          <w:b/>
          <w:bCs/>
          <w:color w:val="2874A6"/>
          <w:sz w:val="26"/>
          <w:szCs w:val="26"/>
        </w:rPr>
        <w:t xml:space="preserve">4.3 IDH e Renda</w:t>
      </w:r>
    </w:p>
    <w:p>
      <w:pPr>
        <w:spacing w:after="120" w:before="120"/>
      </w:pPr>
      <w:r>
        <w:rPr>
          <w:sz w:val="22"/>
          <w:szCs w:val="22"/>
        </w:rPr>
        <w:t xml:space="preserve">O IDH municipal apresentou a correlação mais forte com a TMI total (r = -0,81). Contudo, a decomposição por componente revela que o IDH-Educação (escolaridade) tem poder explicativo superior ao IDH-Renda, sugerindo que a educação — especialmente materna — é mediadora crítica entre condições socioeconômicas e saúde infantil.</w:t>
      </w:r>
    </w:p>
    <w:p>
      <w:pPr>
        <w:pStyle w:val="Heading2"/>
        <w:spacing w:after="150" w:before="300"/>
      </w:pPr>
      <w:r>
        <w:rPr>
          <w:b/>
          <w:bCs/>
          <w:color w:val="2874A6"/>
          <w:sz w:val="26"/>
          <w:szCs w:val="26"/>
        </w:rPr>
        <w:t xml:space="preserve">4.4 Cobertura da Estratégia Saúde da Família</w:t>
      </w:r>
    </w:p>
    <w:p>
      <w:pPr>
        <w:spacing w:after="120" w:before="120"/>
      </w:pPr>
      <w:r>
        <w:rPr>
          <w:sz w:val="22"/>
          <w:szCs w:val="22"/>
        </w:rPr>
        <w:t xml:space="preserve">Municípios com cobertura de ESF acima de 80% apresentaram TMI 28% menor do que municípios com cobertura abaixo de 40%, mesmo controlando por renda e saneamento. Este efeito é especialmente pronunciado na mortalidade pós-neonatal (-36%), confirmando o papel da atenção primária na prevenção de mortes evitáveis após o primeiro mês de vida.</w:t>
      </w:r>
    </w:p>
    <w:p>
      <w:pPr>
        <w:pBdr>
          <w:bottom w:val="single" w:color="1A527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276"/>
          <w:sz w:val="32"/>
          <w:szCs w:val="32"/>
        </w:rPr>
        <w:t xml:space="preserve">5. Causas de Mortalidade — Distribuição CID-10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930"/>
        <w:gridCol w:w="193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Causa (CID-10)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Óbitos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Norte/NE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Sul/SE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Afecções perinatais (P00-P96)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48,3%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38,1%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56,2%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Malformações congênitas (Q00-Q99)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19,7%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14,2%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23,8%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Doenças respiratórias (J00-J99)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11,2%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16,8%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Doenças infecciosas/parasitárias (A00-B99)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16,4%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Causas externas (V01-Y98)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Outras causas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5,6%</w:t>
            </w:r>
          </w:p>
        </w:tc>
      </w:tr>
    </w:tbl>
    <w:p>
      <w:pPr>
        <w:spacing w:after="120" w:before="120"/>
      </w:pPr>
      <w:r>
        <w:rPr>
          <w:sz w:val="22"/>
          <w:szCs w:val="22"/>
        </w:rPr>
        <w:t xml:space="preserve">A tabela revela uma diferença estrutural entre regiões: no Norte/Nordeste predominam mortes evitáveis por causas infecciosas e respiratórias (ligadas a saneamento e atenção primária), enquanto no Sul/Sudeste as causas perinatais e malformações têm peso maior — demandando intervenções em neonatologia de alta complexidade.</w:t>
      </w:r>
    </w:p>
    <w:p>
      <w:pPr>
        <w:pBdr>
          <w:bottom w:val="single" w:color="1A527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276"/>
          <w:sz w:val="32"/>
          <w:szCs w:val="32"/>
        </w:rPr>
        <w:t xml:space="preserve">6. Sugestões de Ações Baseadas nos Insights</w:t>
      </w:r>
    </w:p>
    <w:p>
      <w:pPr>
        <w:pStyle w:val="Heading2"/>
        <w:spacing w:after="150" w:before="300"/>
      </w:pPr>
      <w:r>
        <w:rPr>
          <w:b/>
          <w:bCs/>
          <w:color w:val="2874A6"/>
          <w:sz w:val="26"/>
          <w:szCs w:val="26"/>
        </w:rPr>
        <w:t xml:space="preserve">6.1 Ações de Alta Prioridade (Curto Prazo — 1 a 2 anos)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Expansão da Estratégia Saúde da Família nos 127 municípios críticos identificados, com meta de cobertura mínima de 80%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Programa de qualificação do pré-natal nos municípios com menos de 50% de gestantes com 7+ consultas, priorizando Norte e Nordeste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Intervenção emergencial em saneamento básico nos municípios com TMI &gt; 25 e cobertura de esgoto &lt; 20%</w:t>
      </w:r>
    </w:p>
    <w:p>
      <w:pPr>
        <w:pStyle w:val="Heading2"/>
        <w:spacing w:after="150" w:before="300"/>
      </w:pPr>
      <w:r>
        <w:rPr>
          <w:b/>
          <w:bCs/>
          <w:color w:val="2874A6"/>
          <w:sz w:val="26"/>
          <w:szCs w:val="26"/>
        </w:rPr>
        <w:t xml:space="preserve">6.2 Ações de Médio Prazo (2 a 4 anos)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Criação de Sistema de Alerta Precoce de TMI municipal, com monitoramento mensal e trigger automático para gestores locais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Programa de educação materna integrado ao pré-natal, com foco em municípios de baixo IDH-Educação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Fortalecimento de UTIs neonatais nas regiões Norte/Nordeste para reduzir óbitos perinatais evitáveis</w:t>
      </w:r>
    </w:p>
    <w:p>
      <w:pPr>
        <w:pStyle w:val="Heading2"/>
        <w:spacing w:after="150" w:before="300"/>
      </w:pPr>
      <w:r>
        <w:rPr>
          <w:b/>
          <w:bCs/>
          <w:color w:val="2874A6"/>
          <w:sz w:val="26"/>
          <w:szCs w:val="26"/>
        </w:rPr>
        <w:t xml:space="preserve">6.3 Ações de Longo Prazo (5+ anos)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Plano nacional de universalização do saneamento básico com foco nos municípios de alta TMI como critério de priorização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Modelo preditivo de TMI integrado ao sistema de saúde para antecipação de riscos e alocação proativa de recursos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Estudo de avaliação de impacto das intervenções implementadas, com dados longitudinais e metodologia quasi-experimental</w:t>
      </w:r>
    </w:p>
    <w:p>
      <w:pPr>
        <w:pBdr>
          <w:bottom w:val="single" w:color="1A527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276"/>
          <w:sz w:val="32"/>
          <w:szCs w:val="32"/>
        </w:rPr>
        <w:t xml:space="preserve">7. Conclusões</w:t>
      </w:r>
    </w:p>
    <w:p>
      <w:pPr>
        <w:spacing w:after="120" w:before="120"/>
      </w:pPr>
      <w:r>
        <w:rPr>
          <w:sz w:val="22"/>
          <w:szCs w:val="22"/>
        </w:rPr>
        <w:t xml:space="preserve">Os dados confirmam que a mortalidade infantil no Brasil é um problema majoritariamente evitável, concentrado em regiões e municípios específicos, e fortemente determinado por fatores socioeconômicos e de acesso a serviços de saúde que podem ser modificados por políticas públicas. A análise de dados não apenas descreveu o problema com precisão — ela identificou onde intervir, em que ordem de prioridade e com qual intensidade. Este é o valor fundamental da ciência de dados aplicada à saúde pública.</w:t>
      </w:r>
    </w:p>
    <w:p>
      <w:pPr>
        <w:pBdr>
          <w:bottom w:val="single" w:color="1A5276" w:sz="6" w:space="1"/>
        </w:pBdr>
        <w:spacing w:after="200" w:before="200"/>
      </w:pPr>
    </w:p>
    <w:p>
      <w:pPr>
        <w:spacing w:before="300"/>
        <w:jc w:val="center"/>
      </w:pPr>
      <w:r>
        <w:rPr>
          <w:i/>
          <w:iCs/>
          <w:color w:val="999999"/>
          <w:sz w:val="18"/>
          <w:szCs w:val="18"/>
        </w:rPr>
        <w:t xml:space="preserve">Documento preparado como parte do Projeto de Parceria Semantix — 2026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Projeto Semantix | Relatório de Insights | 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2026-06-23T15:12:00.160Z</dcterms:created>
  <dcterms:modified xsi:type="dcterms:W3CDTF">2026-06-23T15:12:00.160Z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