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F4E79"/>
          <w:sz w:val="40"/>
        </w:rPr>
        <w:t>Submission Links and Test-Case Evidence</w:t>
      </w:r>
    </w:p>
    <w:p>
      <w:pPr>
        <w:spacing w:after="200"/>
      </w:pPr>
      <w:r>
        <w:rPr>
          <w:b/>
        </w:rPr>
        <w:t>Bruno Pedro</w:t>
      </w:r>
      <w:r>
        <w:t xml:space="preserve"> | Student ID: 22074709 | DESD Resit</w:t>
      </w:r>
    </w:p>
    <w:p>
      <w:pPr>
        <w:spacing w:after="160"/>
      </w:pPr>
      <w:r>
        <w:t>This document records the final public links and the test-case coverage I implemented for my individual Bristol Regional Food Network submission.</w:t>
      </w:r>
    </w:p>
    <w:p>
      <w:pPr>
        <w:pStyle w:val="Heading1"/>
      </w:pPr>
      <w:r>
        <w:t>Public Links</w:t>
      </w:r>
    </w:p>
    <w:p>
      <w:pPr>
        <w:spacing w:after="60"/>
      </w:pPr>
      <w:r>
        <w:rPr>
          <w:b/>
        </w:rPr>
        <w:t>Git repository</w:t>
      </w:r>
      <w:r>
        <w:t xml:space="preserve">: </w:t>
      </w:r>
      <w:r>
        <w:rPr>
          <w:color w:val="1F4E79"/>
          <w:u w:val="single"/>
        </w:rPr>
        <w:t>https://github.com/brunopedro2910/DESD</w:t>
      </w:r>
    </w:p>
    <w:p>
      <w:pPr>
        <w:spacing w:after="60"/>
      </w:pPr>
      <w:r>
        <w:rPr>
          <w:b/>
        </w:rPr>
        <w:t>Project management board</w:t>
      </w:r>
      <w:r>
        <w:t xml:space="preserve">: </w:t>
      </w:r>
      <w:r>
        <w:rPr>
          <w:color w:val="1F4E79"/>
          <w:u w:val="single"/>
        </w:rPr>
        <w:t>https://app.notion.com/p/BRFN-Test-Cases-Task-Board-ae1fabe4c27d82c1b631810d263ac7d9?source=copy_link</w:t>
      </w:r>
    </w:p>
    <w:p>
      <w:pPr>
        <w:spacing w:after="200"/>
      </w:pPr>
      <w:r>
        <w:rPr>
          <w:b/>
        </w:rPr>
        <w:t xml:space="preserve">Access check: </w:t>
      </w:r>
      <w:r>
        <w:t>I used these as my final public evidence links for submission.</w:t>
      </w:r>
    </w:p>
    <w:p>
      <w:pPr>
        <w:pStyle w:val="Heading1"/>
      </w:pPr>
      <w:r>
        <w:t>Implemented Test Cases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8784"/>
      </w:tblGrid>
      <w:tr>
        <w:tc>
          <w:tcPr>
            <w:tcW w:type="dxa" w:w="50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Test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What I implemented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TC-001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 implemented producer registration with business details, a producer role and a protected producer profile.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TC-002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 implemented customer registration with contact details, terms acceptance and a saved delivery address.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TC-003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 implemented producer-owned product creation with price, stock, season, allergens, dates and optional images.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TC-004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 implemented available-product browsing across eight categories.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TC-005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 implemented case-insensitive search across product names, descriptions and producer names.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TC-006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 implemented persistent baskets with add, update, remove, stock validation and producer information.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TC-007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 implemented single-producer checkout with a simulated payment, 48-hour lead time and 5/95 financial split.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TC-008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 implemented one customer transaction that creates separate supplier orders for each producer.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TC-009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 implemented a producer-only dispatch board containing delivery, customer, product and financial details.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TC-010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 implemented controlled order-status progression, customer notifications, update notes and an audit timeline.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TC-011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 implemented producer-owned inventory editing, stock deduction, low-stock thresholds and unavailable-product filtering.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TC-012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 implemented seven-day settlement generation from delivered supplier orders and producer settlement history.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TC-013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 implemented Haversine food-mile calculations from producer coordinates to Bristol city centre.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TC-014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 implemented organic product records and an organic-only market filter.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TC-015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 implemented reusable allergens, allergen notes and product-page warnings.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TC-016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 implemented seasonal start/end months, wrap-around season logic and visible season status.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TC-017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 implemented community accounts whose checkouts are recorded as bulk orders with instructions.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TC-018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 implemented restaurant recurring schedules with create, pause, resume and cancel controls.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TC-019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 implemented time-limited surplus offers with validated 10-50% discounts and discounted basket pricing.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TC-020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 implemented producer stories and recipes that can be linked to relevant products.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TC-021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 implemented order history, availability-aware reordering and downloadable CSV receipts.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TC-022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 implemented password validation and hashing, CSRF protection, login throttling, login audits, secure-session options and role/ownership checks.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TC-023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 implemented product-specific low-stock thresholds and producer notifications after checkout.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TC-024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 implemented verified-purchase reviews, one review per customer/product, rating summaries and producer-response storage.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TC-025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 implemented staff-only 5% commission reporting with date/producer filters and CSV export.</w:t>
            </w:r>
          </w:p>
        </w:tc>
      </w:tr>
    </w:tbl>
    <w:p/>
    <w:p>
      <w:pPr>
        <w:spacing w:before="120"/>
      </w:pPr>
      <w:r>
        <w:rPr>
          <w:b/>
        </w:rPr>
        <w:t xml:space="preserve">Ownership statement: </w:t>
      </w:r>
      <w:r>
        <w:t>I completed this version as my own individual project work and recorded my contribution as 100% in my contribution matrix.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