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8F" w:rsidRDefault="00FE33ED" w:rsidP="00FE33ED">
      <w:pPr>
        <w:pStyle w:val="Ttulo"/>
      </w:pPr>
      <w:r>
        <w:t xml:space="preserve">Trabajo Práctico 1 –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Studies</w:t>
      </w:r>
      <w:proofErr w:type="spellEnd"/>
    </w:p>
    <w:p w:rsidR="00FE33ED" w:rsidRDefault="00FE33ED" w:rsidP="003E5438">
      <w:pPr>
        <w:pStyle w:val="Ttulo1"/>
        <w:jc w:val="both"/>
      </w:pPr>
      <w:r>
        <w:t xml:space="preserve">Evaluación del Error de Tipo </w:t>
      </w:r>
      <w:r w:rsidR="003E5438">
        <w:t>I</w:t>
      </w:r>
    </w:p>
    <w:p w:rsidR="00FE33ED" w:rsidRDefault="00FE33ED" w:rsidP="003E5438">
      <w:pPr>
        <w:jc w:val="both"/>
      </w:pPr>
      <w:r>
        <w:t>Se evaluó el error de Tipo</w:t>
      </w:r>
      <w:r w:rsidR="003E5438">
        <w:t xml:space="preserve"> I</w:t>
      </w:r>
      <w:r>
        <w:t xml:space="preserve"> para los siguientes estadísticos:</w:t>
      </w:r>
    </w:p>
    <w:p w:rsidR="00FE33ED" w:rsidRDefault="00FE33ED" w:rsidP="003E5438">
      <w:pPr>
        <w:jc w:val="both"/>
      </w:pPr>
      <w:r>
        <w:t xml:space="preserve">T1: Mean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E33ED" w:rsidRDefault="00FE33ED" w:rsidP="003E5438">
      <w:pPr>
        <w:jc w:val="both"/>
      </w:pPr>
      <w:r>
        <w:t xml:space="preserve">T2: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E33ED" w:rsidRDefault="00FE33ED" w:rsidP="003E5438">
      <w:pPr>
        <w:jc w:val="both"/>
      </w:pPr>
      <w:r>
        <w:t>T3: Test de Signo</w:t>
      </w:r>
    </w:p>
    <w:p w:rsidR="00FE33ED" w:rsidRDefault="00FE33ED" w:rsidP="003E5438">
      <w:pPr>
        <w:jc w:val="both"/>
      </w:pPr>
      <w:r>
        <w:t>T4: Test de Rango</w:t>
      </w:r>
    </w:p>
    <w:p w:rsidR="00FE33ED" w:rsidRDefault="00FE33ED" w:rsidP="003E5438">
      <w:pPr>
        <w:jc w:val="both"/>
      </w:pPr>
      <w:r>
        <w:t xml:space="preserve">Utilizando la base en Excel de Precios de Activos, </w:t>
      </w:r>
      <w:r>
        <w:t>s</w:t>
      </w:r>
      <w:r>
        <w:t>e s</w:t>
      </w:r>
      <w:r>
        <w:t>eleccion</w:t>
      </w:r>
      <w:r>
        <w:t>aron</w:t>
      </w:r>
      <w:r>
        <w:t xml:space="preserve"> 1000 muestras de </w:t>
      </w:r>
      <w:r>
        <w:t>N</w:t>
      </w:r>
      <w:r>
        <w:t xml:space="preserve"> activos cada una</w:t>
      </w:r>
      <w:r>
        <w:t xml:space="preserve"> (con N=50, 100, 150 y 200)</w:t>
      </w:r>
      <w:r>
        <w:t>, y para cada activo en cada muestra seleccion</w:t>
      </w:r>
      <w:r>
        <w:t>ó un perí</w:t>
      </w:r>
      <w:r>
        <w:t xml:space="preserve">odo al azar de 260 </w:t>
      </w:r>
      <w:proofErr w:type="spellStart"/>
      <w:r>
        <w:t>dÌas</w:t>
      </w:r>
      <w:proofErr w:type="spellEnd"/>
      <w:r>
        <w:t>,</w:t>
      </w:r>
      <w:r>
        <w:t xml:space="preserve"> donde</w:t>
      </w:r>
      <w:r>
        <w:t xml:space="preserve"> 250 constitu</w:t>
      </w:r>
      <w:r>
        <w:t>yeron</w:t>
      </w:r>
      <w:r>
        <w:t xml:space="preserve"> la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y los </w:t>
      </w:r>
      <w:r>
        <w:t>ú</w:t>
      </w:r>
      <w:r>
        <w:t xml:space="preserve">ltimos 10 la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De este modo, </w:t>
      </w:r>
      <w:r>
        <w:t>se llevaron</w:t>
      </w:r>
      <w:r>
        <w:t xml:space="preserve"> adelante 1000 estudios de eventos, cada uno de ellos conteniendo </w:t>
      </w:r>
      <w:r>
        <w:t>N</w:t>
      </w:r>
      <w:r>
        <w:t xml:space="preserve"> eventos seleccionados puramente al azar</w:t>
      </w:r>
      <w:r>
        <w:t>.</w:t>
      </w:r>
    </w:p>
    <w:p w:rsidR="00FE33ED" w:rsidRDefault="00FE33ED" w:rsidP="003E5438">
      <w:pPr>
        <w:jc w:val="both"/>
      </w:pPr>
      <w:r>
        <w:t xml:space="preserve">La Probabilidad de cometer un Error de Tipo </w:t>
      </w:r>
      <w:r w:rsidR="003E5438">
        <w:t>I</w:t>
      </w:r>
      <w:r w:rsidR="003E61A5">
        <w:t xml:space="preserve"> con un nivel de significancia del 95%</w:t>
      </w:r>
      <w:r w:rsidR="003E5438">
        <w:t xml:space="preserve"> a dos colas</w:t>
      </w:r>
      <w:r>
        <w:t xml:space="preserve">, se muestra en la siguiente tabla, donde N es el parámetro que se utiliza como sensibilidad. </w:t>
      </w:r>
      <w:proofErr w:type="spellStart"/>
      <w:r>
        <w:t>Adicioanlmente</w:t>
      </w:r>
      <w:proofErr w:type="spellEnd"/>
      <w:r>
        <w:t xml:space="preserve">, se evaluaron los estadísticos de dos maneras diferentes: Considerando toda la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(L2=10) y considerando solo el día del evento.</w:t>
      </w:r>
    </w:p>
    <w:p w:rsidR="00FE33ED" w:rsidRDefault="00FE33ED"/>
    <w:p w:rsidR="00613B34" w:rsidRDefault="00613B34" w:rsidP="00613B34">
      <w:pPr>
        <w:pStyle w:val="Descripcin"/>
        <w:keepNext/>
      </w:pPr>
    </w:p>
    <w:tbl>
      <w:tblPr>
        <w:tblW w:w="6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300"/>
        <w:gridCol w:w="960"/>
        <w:gridCol w:w="960"/>
        <w:gridCol w:w="960"/>
        <w:gridCol w:w="960"/>
      </w:tblGrid>
      <w:tr w:rsidR="00FE33ED" w:rsidRPr="00FE33ED" w:rsidTr="00FE33ED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Tamaño del Portafolio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200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Toda la </w:t>
            </w:r>
            <w:proofErr w:type="spellStart"/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Event</w:t>
            </w:r>
            <w:proofErr w:type="spellEnd"/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Window</w:t>
            </w:r>
            <w:proofErr w:type="spellEnd"/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2,2%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2,9%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3,1%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2,7%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3,2%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4,4%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4,8%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2,9%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2,8%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3,6%</w:t>
            </w:r>
          </w:p>
        </w:tc>
      </w:tr>
      <w:tr w:rsidR="00FE33ED" w:rsidRPr="00FE33ED" w:rsidTr="00FE33ED">
        <w:trPr>
          <w:trHeight w:val="225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Solo el día del Evento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5,6%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7,7%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8,4%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8,2%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7,3%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8,8%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8,0%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4,2%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6,6%</w:t>
            </w:r>
          </w:p>
        </w:tc>
      </w:tr>
      <w:tr w:rsidR="00FE33ED" w:rsidRPr="00FE33ED" w:rsidTr="00FE33ED">
        <w:trPr>
          <w:trHeight w:val="300"/>
          <w:jc w:val="center"/>
        </w:trPr>
        <w:tc>
          <w:tcPr>
            <w:tcW w:w="166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FE33ED" w:rsidRPr="00FE33ED" w:rsidRDefault="00FE33ED" w:rsidP="00FE33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4,2%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4,7%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FE33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6,2%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FE33ED" w:rsidRPr="00FE33ED" w:rsidRDefault="00FE33ED" w:rsidP="00613B34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E33ED">
              <w:rPr>
                <w:rFonts w:ascii="Calibri" w:eastAsia="Times New Roman" w:hAnsi="Calibri" w:cs="Calibri"/>
                <w:color w:val="000000"/>
                <w:lang w:eastAsia="es-AR"/>
              </w:rPr>
              <w:t>5,0%</w:t>
            </w:r>
          </w:p>
        </w:tc>
      </w:tr>
    </w:tbl>
    <w:p w:rsidR="00FE33ED" w:rsidRDefault="00613B34" w:rsidP="00613B34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</w:t>
      </w:r>
      <w:r w:rsidRPr="00075F41">
        <w:t>- Probabilidad de Error de Tipo I con 1000 muestras</w:t>
      </w:r>
    </w:p>
    <w:p w:rsidR="00FE33ED" w:rsidRDefault="00FE33ED"/>
    <w:p w:rsidR="00FE33ED" w:rsidRDefault="003E61A5" w:rsidP="003E5438">
      <w:pPr>
        <w:jc w:val="both"/>
      </w:pPr>
      <w:r>
        <w:t xml:space="preserve">Se observa que los test de Signo y de Rango otorgan los resultados más </w:t>
      </w:r>
      <w:r w:rsidR="003E5438">
        <w:t xml:space="preserve">consistentes con el nivel de significancia elegido, independientemente del tamaño del Portafolio. Adicionalmente, se observa que para los test T1 y T2, cuando solo se observa el día del evento, la probabilidad de cometer un Error de Tipo I es mayor. </w:t>
      </w:r>
    </w:p>
    <w:p w:rsidR="003E5438" w:rsidRDefault="003E5438" w:rsidP="003E5438">
      <w:pPr>
        <w:jc w:val="both"/>
      </w:pPr>
      <w:r>
        <w:t>Esto mismo se observa en las figuras 1 y 2</w:t>
      </w:r>
    </w:p>
    <w:p w:rsidR="003E5438" w:rsidRDefault="003E5438" w:rsidP="003E5438">
      <w:pPr>
        <w:keepNext/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3984B5AA" wp14:editId="6C5F83B1">
            <wp:extent cx="5400040" cy="3222625"/>
            <wp:effectExtent l="0" t="0" r="1016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E5438" w:rsidRDefault="003E5438" w:rsidP="003E5438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Probabilidad del Error de Tipo I con 1000 muestras. Se toma una venta de eventos de 10 días</w:t>
      </w:r>
    </w:p>
    <w:p w:rsidR="003E5438" w:rsidRDefault="003E5438" w:rsidP="003E5438"/>
    <w:p w:rsidR="003E5438" w:rsidRDefault="003E5438" w:rsidP="003E5438">
      <w:pPr>
        <w:keepNext/>
      </w:pPr>
      <w:r>
        <w:rPr>
          <w:noProof/>
          <w:lang w:eastAsia="es-AR"/>
        </w:rPr>
        <w:drawing>
          <wp:inline distT="0" distB="0" distL="0" distR="0" wp14:anchorId="20469691" wp14:editId="2C994452">
            <wp:extent cx="5400040" cy="3222625"/>
            <wp:effectExtent l="0" t="0" r="10160" b="1587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5438" w:rsidRPr="003E5438" w:rsidRDefault="003E5438" w:rsidP="003E5438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0D581E">
        <w:t>Probabilidad del Error de Tipo I con 1000 m</w:t>
      </w:r>
      <w:r>
        <w:t xml:space="preserve">uestras. Se considera solo el día del Evento para realizar los </w:t>
      </w:r>
      <w:proofErr w:type="spellStart"/>
      <w:r>
        <w:t>Tests</w:t>
      </w:r>
      <w:proofErr w:type="spellEnd"/>
    </w:p>
    <w:p w:rsidR="003E5438" w:rsidRDefault="003E5438" w:rsidP="003E5438">
      <w:pPr>
        <w:pStyle w:val="Ttulo1"/>
        <w:jc w:val="both"/>
      </w:pPr>
      <w:r>
        <w:t>Evaluación del Error de Tipo 2</w:t>
      </w:r>
    </w:p>
    <w:p w:rsidR="003E5438" w:rsidRDefault="003E5438" w:rsidP="003E5438">
      <w:pPr>
        <w:jc w:val="both"/>
      </w:pPr>
      <w:r>
        <w:t>Para estudiar el E</w:t>
      </w:r>
      <w:r>
        <w:t>rror de Tipo I</w:t>
      </w:r>
      <w:r>
        <w:t xml:space="preserve">I, </w:t>
      </w:r>
      <w:r>
        <w:t>se seleccionaron</w:t>
      </w:r>
      <w:r>
        <w:t xml:space="preserve"> 1000 muestras de 100 activos cada una, con id</w:t>
      </w:r>
      <w:r>
        <w:t>é</w:t>
      </w:r>
      <w:r>
        <w:t>ntica selecci</w:t>
      </w:r>
      <w:r>
        <w:t>ó</w:t>
      </w:r>
      <w:r>
        <w:t>n de las ventanas del evento</w:t>
      </w:r>
      <w:r>
        <w:t xml:space="preserve"> que en la sección anterior</w:t>
      </w:r>
      <w:r>
        <w:t xml:space="preserve">. </w:t>
      </w:r>
      <w:r>
        <w:t xml:space="preserve">La diferencia es que ahora se agregó </w:t>
      </w:r>
      <w:r>
        <w:t xml:space="preserve">en la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un retorno ex</w:t>
      </w:r>
      <w:r>
        <w:t>ó</w:t>
      </w:r>
      <w:r>
        <w:t>geno que sigue las siguientes caracter</w:t>
      </w:r>
      <w:r>
        <w:t>í</w:t>
      </w:r>
      <w:r>
        <w:t>sticas:</w:t>
      </w:r>
    </w:p>
    <w:p w:rsidR="003E5438" w:rsidRDefault="003E5438" w:rsidP="003E5438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5333FCA" wp14:editId="4EABDE5E">
            <wp:extent cx="1323975" cy="46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38" w:rsidRDefault="003E5438" w:rsidP="003E5438">
      <w:pPr>
        <w:jc w:val="both"/>
      </w:pPr>
      <w:r>
        <w:t xml:space="preserve">donde </w:t>
      </w:r>
      <w:r w:rsidRPr="003E5438">
        <w:rPr>
          <w:rFonts w:ascii="Symbol" w:hAnsi="Symbol"/>
        </w:rPr>
        <w:t></w:t>
      </w:r>
      <w:r>
        <w:t xml:space="preserve"> es el tiempo dentro de la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0 </w:t>
      </w:r>
      <w:r>
        <w:t xml:space="preserve">&lt; </w:t>
      </w:r>
      <w:r w:rsidRPr="003E5438">
        <w:rPr>
          <w:rFonts w:ascii="Symbol" w:hAnsi="Symbol"/>
        </w:rPr>
        <w:t></w:t>
      </w:r>
      <w:r>
        <w:t xml:space="preserve"> &lt; </w:t>
      </w:r>
      <w:r>
        <w:t>10</w:t>
      </w:r>
      <w:r w:rsidRPr="003E5438">
        <w:rPr>
          <w:rFonts w:ascii="Symbol" w:hAnsi="Symbol"/>
        </w:rPr>
        <w:t></w:t>
      </w:r>
      <w:r w:rsidRPr="003E5438">
        <w:rPr>
          <w:rFonts w:ascii="Symbol" w:hAnsi="Symbol"/>
        </w:rPr>
        <w:t></w:t>
      </w:r>
      <w:r w:rsidRPr="003E5438">
        <w:rPr>
          <w:rFonts w:ascii="Symbol" w:hAnsi="Symbol"/>
        </w:rPr>
        <w:t></w:t>
      </w:r>
      <w:r>
        <w:t xml:space="preserve"> es un factor de decaimiento que indica cu</w:t>
      </w:r>
      <w:r>
        <w:t>á</w:t>
      </w:r>
      <w:r>
        <w:t xml:space="preserve">n extendido en el tiempo es el shock (para valores </w:t>
      </w:r>
      <w:proofErr w:type="spellStart"/>
      <w:r>
        <w:t>de</w:t>
      </w:r>
      <w:r>
        <w:t xml:space="preserve"> </w:t>
      </w:r>
      <w:r w:rsidRPr="003E5438">
        <w:rPr>
          <w:rFonts w:ascii="Symbol" w:hAnsi="Symbol"/>
        </w:rPr>
        <w:t></w:t>
      </w:r>
      <w:proofErr w:type="spellEnd"/>
      <w:r>
        <w:t xml:space="preserve"> muy peque</w:t>
      </w:r>
      <w:r>
        <w:t>ñ</w:t>
      </w:r>
      <w:r>
        <w:t>os, el shock muere casi por completo al cabo de un d</w:t>
      </w:r>
      <w:r>
        <w:t>í</w:t>
      </w:r>
      <w:r>
        <w:t>a</w:t>
      </w:r>
      <w:r>
        <w:t>;</w:t>
      </w:r>
      <w:r>
        <w:t xml:space="preserve"> mientras que para valores altos de </w:t>
      </w:r>
      <w:r w:rsidRPr="003E5438">
        <w:rPr>
          <w:rFonts w:ascii="Symbol" w:hAnsi="Symbol"/>
        </w:rPr>
        <w:t></w:t>
      </w:r>
      <w:r>
        <w:t>,</w:t>
      </w:r>
      <w:r>
        <w:t xml:space="preserve"> el shock se vuelve permanente) y </w:t>
      </w:r>
      <w:r w:rsidRPr="003E5438">
        <w:rPr>
          <w:rFonts w:ascii="Symbol" w:hAnsi="Symbol"/>
        </w:rPr>
        <w:t></w:t>
      </w:r>
      <w:r>
        <w:t>0 un valor inicial.</w:t>
      </w:r>
    </w:p>
    <w:p w:rsidR="003E5438" w:rsidRDefault="003E5438" w:rsidP="003E5438">
      <w:r>
        <w:t xml:space="preserve">La Probabilidad de cometer un Error de Tipo </w:t>
      </w:r>
      <w:r>
        <w:t>I</w:t>
      </w:r>
      <w:r>
        <w:t xml:space="preserve">I con un nivel de significancia del 95% a </w:t>
      </w:r>
      <w:r>
        <w:t>una</w:t>
      </w:r>
      <w:r>
        <w:t xml:space="preserve"> cola, se muestra en la tabla</w:t>
      </w:r>
      <w:r w:rsidR="00613B34">
        <w:t xml:space="preserve"> 2, en el caso que se considera toda la </w:t>
      </w:r>
      <w:proofErr w:type="spellStart"/>
      <w:r w:rsidR="00613B34">
        <w:t>event</w:t>
      </w:r>
      <w:proofErr w:type="spellEnd"/>
      <w:r w:rsidR="00613B34">
        <w:t xml:space="preserve"> </w:t>
      </w:r>
      <w:proofErr w:type="spellStart"/>
      <w:r w:rsidR="00613B34">
        <w:t>window</w:t>
      </w:r>
      <w:proofErr w:type="spellEnd"/>
      <w:r w:rsidR="00613B34">
        <w:t xml:space="preserve"> de 10 días para realizar los diferentes </w:t>
      </w:r>
      <w:proofErr w:type="spellStart"/>
      <w:r w:rsidR="00613B34">
        <w:t>Tests</w:t>
      </w:r>
      <w:proofErr w:type="spellEnd"/>
      <w:r w:rsidR="00613B34">
        <w:t>.</w:t>
      </w:r>
    </w:p>
    <w:tbl>
      <w:tblPr>
        <w:tblW w:w="8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1200"/>
        <w:gridCol w:w="1200"/>
        <w:gridCol w:w="1377"/>
        <w:gridCol w:w="1112"/>
        <w:gridCol w:w="1112"/>
      </w:tblGrid>
      <w:tr w:rsidR="00613B34" w:rsidRPr="00613B34" w:rsidTr="00613B34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Amplitud del Evento (</w:t>
            </w:r>
            <w:r w:rsidRPr="00613B34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</w:t>
            </w:r>
            <w:r w:rsidRPr="00613B34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</w:t>
            </w: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)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0,5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</w:tr>
      <w:tr w:rsidR="00613B34" w:rsidRPr="00613B34" w:rsidTr="00613B34">
        <w:trPr>
          <w:trHeight w:val="360"/>
        </w:trPr>
        <w:tc>
          <w:tcPr>
            <w:tcW w:w="29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Velocidad de decaimiento </w:t>
            </w:r>
            <w:r w:rsidRPr="00613B34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</w:t>
            </w: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=0,1</w:t>
            </w:r>
          </w:p>
        </w:tc>
        <w:tc>
          <w:tcPr>
            <w:tcW w:w="12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Toda la </w:t>
            </w:r>
            <w:proofErr w:type="spellStart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Event</w:t>
            </w:r>
            <w:proofErr w:type="spellEnd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Window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60,2%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9,8%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46,7%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4,2%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11,7%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16,9%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2,6%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Velocidad de decaimiento </w:t>
            </w:r>
            <w:r w:rsidRPr="00613B34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</w:t>
            </w: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=1</w:t>
            </w:r>
          </w:p>
        </w:tc>
        <w:tc>
          <w:tcPr>
            <w:tcW w:w="12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Toda la </w:t>
            </w:r>
            <w:proofErr w:type="spellStart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Event</w:t>
            </w:r>
            <w:proofErr w:type="spellEnd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Window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13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27,0%</w:t>
            </w:r>
          </w:p>
        </w:tc>
        <w:tc>
          <w:tcPr>
            <w:tcW w:w="11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1,0%</w:t>
            </w:r>
          </w:p>
        </w:tc>
        <w:tc>
          <w:tcPr>
            <w:tcW w:w="11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14,3%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7,0%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1,0%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613B34" w:rsidRPr="00613B34" w:rsidTr="00613B34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B34" w:rsidRPr="00613B34" w:rsidRDefault="00613B34" w:rsidP="0061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33FA8" w:rsidRPr="00613B34" w:rsidTr="00613B34">
        <w:trPr>
          <w:trHeight w:val="300"/>
        </w:trPr>
        <w:tc>
          <w:tcPr>
            <w:tcW w:w="29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Velocidad de decaimiento </w:t>
            </w:r>
            <w:r w:rsidRPr="00613B34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</w:t>
            </w: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=10</w:t>
            </w:r>
          </w:p>
        </w:tc>
        <w:tc>
          <w:tcPr>
            <w:tcW w:w="12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Toda la </w:t>
            </w:r>
            <w:proofErr w:type="spellStart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Event</w:t>
            </w:r>
            <w:proofErr w:type="spellEnd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Window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13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613B34" w:rsidTr="00613B34">
        <w:trPr>
          <w:trHeight w:val="300"/>
        </w:trPr>
        <w:tc>
          <w:tcPr>
            <w:tcW w:w="29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613B34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613B34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13B34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</w:tbl>
    <w:p w:rsidR="003E5438" w:rsidRDefault="00613B34" w:rsidP="00613B34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- </w:t>
      </w:r>
      <w:r w:rsidRPr="001F39E2">
        <w:t xml:space="preserve"> Probabilidad de Error de Tipo </w:t>
      </w:r>
      <w:r>
        <w:t>I</w:t>
      </w:r>
      <w:r w:rsidRPr="001F39E2">
        <w:t>I con 1000 muestras</w:t>
      </w:r>
      <w:r>
        <w:t xml:space="preserve">. Se considera toda la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de 10 días.</w:t>
      </w:r>
    </w:p>
    <w:p w:rsidR="00613B34" w:rsidRDefault="00613B34" w:rsidP="00613B34"/>
    <w:p w:rsidR="00613B34" w:rsidRDefault="00613B34" w:rsidP="00A33FA8">
      <w:pPr>
        <w:jc w:val="both"/>
      </w:pPr>
      <w:r>
        <w:t>Se observa que para el caso donde la amplitud del evento es pequeña (</w:t>
      </w:r>
      <w:r w:rsidRPr="00613B34">
        <w:rPr>
          <w:rFonts w:ascii="Symbol" w:hAnsi="Symbol"/>
        </w:rPr>
        <w:t></w:t>
      </w:r>
      <w:r>
        <w:t xml:space="preserve">/2) y el decaimiento </w:t>
      </w:r>
      <w:r w:rsidR="00A33FA8">
        <w:t xml:space="preserve">muy rápido (l=0,1), todos los </w:t>
      </w:r>
      <w:proofErr w:type="spellStart"/>
      <w:r w:rsidR="00A33FA8">
        <w:t>Tests</w:t>
      </w:r>
      <w:proofErr w:type="spellEnd"/>
      <w:r w:rsidR="00A33FA8">
        <w:t xml:space="preserve"> tienen problemas de Tipo II, dejando de detectar eventos significativos. T1 y T2 son los que peor desempeño presentan. A medida que la amplitud de evento aumenta, es cada vez menos frecuente el error. Lo mismo sucede cuando el shock se hace más persistente dentro de la ventana. Cuando l=10 y el shock persiste durante toda la ventana, el error de Tipo II se hace nulo.</w:t>
      </w:r>
    </w:p>
    <w:p w:rsidR="00A33FA8" w:rsidRDefault="00A33FA8" w:rsidP="00613B34"/>
    <w:p w:rsidR="00A33FA8" w:rsidRDefault="00A33FA8" w:rsidP="00613B34">
      <w:r>
        <w:t>En la tabla 3, se muestra el mismo análisis, pero en lugar de tomar toda la ventana, solo se considera el día del evento.</w:t>
      </w:r>
    </w:p>
    <w:p w:rsidR="00194E6A" w:rsidRDefault="00194E6A" w:rsidP="00613B34"/>
    <w:p w:rsidR="00194E6A" w:rsidRDefault="00194E6A" w:rsidP="00613B34"/>
    <w:p w:rsidR="00194E6A" w:rsidRDefault="00194E6A" w:rsidP="00613B34"/>
    <w:p w:rsidR="00A33FA8" w:rsidRDefault="00A33FA8" w:rsidP="00613B34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200"/>
        <w:gridCol w:w="1200"/>
        <w:gridCol w:w="1200"/>
        <w:gridCol w:w="1200"/>
        <w:gridCol w:w="1200"/>
      </w:tblGrid>
      <w:tr w:rsidR="00A33FA8" w:rsidRPr="00A33FA8" w:rsidTr="00A33FA8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Amplitud del Evento (</w:t>
            </w:r>
            <w:r w:rsidRPr="00A33FA8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</w:t>
            </w:r>
            <w:r w:rsidRPr="00A33FA8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</w:t>
            </w: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)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</w:tr>
      <w:tr w:rsidR="00A33FA8" w:rsidRPr="00A33FA8" w:rsidTr="00A33FA8">
        <w:trPr>
          <w:trHeight w:val="360"/>
        </w:trPr>
        <w:tc>
          <w:tcPr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Velocidad de decaimiento </w:t>
            </w:r>
            <w:r w:rsidRPr="00A33FA8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</w:t>
            </w: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=0,1</w:t>
            </w:r>
          </w:p>
        </w:tc>
        <w:tc>
          <w:tcPr>
            <w:tcW w:w="12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Solo el día del Evento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194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</w:t>
            </w:r>
            <w:r w:rsidR="00194E6A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Velocidad de decaimiento </w:t>
            </w:r>
            <w:r w:rsidRPr="00A33FA8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</w:t>
            </w: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=1</w:t>
            </w:r>
          </w:p>
        </w:tc>
        <w:tc>
          <w:tcPr>
            <w:tcW w:w="12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Solo el día del Evento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0,5%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Velocidad de decaimiento </w:t>
            </w:r>
            <w:r w:rsidRPr="00A33FA8">
              <w:rPr>
                <w:rFonts w:ascii="Symbol" w:eastAsia="Times New Roman" w:hAnsi="Symbol" w:cs="Calibri"/>
                <w:b/>
                <w:bCs/>
                <w:color w:val="000000"/>
                <w:lang w:eastAsia="es-AR"/>
              </w:rPr>
              <w:t></w:t>
            </w: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=10</w:t>
            </w:r>
          </w:p>
        </w:tc>
        <w:tc>
          <w:tcPr>
            <w:tcW w:w="120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Solo el día del Evento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T1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0,5%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  <w:tr w:rsidR="00A33FA8" w:rsidRPr="00A33FA8" w:rsidTr="00A33FA8">
        <w:trPr>
          <w:trHeight w:val="300"/>
        </w:trPr>
        <w:tc>
          <w:tcPr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bottom"/>
            <w:hideMark/>
          </w:tcPr>
          <w:p w:rsidR="00A33FA8" w:rsidRPr="00A33FA8" w:rsidRDefault="00A33FA8" w:rsidP="00A33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33FA8" w:rsidRPr="00A33FA8" w:rsidRDefault="00A33FA8" w:rsidP="00A33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33FA8">
              <w:rPr>
                <w:rFonts w:ascii="Calibri" w:eastAsia="Times New Roman" w:hAnsi="Calibri" w:cs="Calibri"/>
                <w:color w:val="000000"/>
                <w:lang w:eastAsia="es-AR"/>
              </w:rPr>
              <w:t>0,0%</w:t>
            </w:r>
          </w:p>
        </w:tc>
      </w:tr>
    </w:tbl>
    <w:p w:rsidR="00A33FA8" w:rsidRDefault="00A33FA8" w:rsidP="00613B34"/>
    <w:p w:rsidR="00A33FA8" w:rsidRDefault="00A33FA8" w:rsidP="00613B34">
      <w:r>
        <w:t xml:space="preserve">Como primer resultado, se ve que la velocidad de decaimiento no juega ningún rol (algo que es </w:t>
      </w:r>
      <w:r w:rsidR="00194E6A">
        <w:t>trivialm</w:t>
      </w:r>
      <w:r>
        <w:t>ente esperable</w:t>
      </w:r>
      <w:r w:rsidR="00194E6A">
        <w:t xml:space="preserve">, pero que ayuda a chequear la consistencia de los modelos). En este caso, de un solo día, prácticamente no </w:t>
      </w:r>
      <w:r w:rsidR="00EF609B">
        <w:t>hay error</w:t>
      </w:r>
      <w:r w:rsidR="00194E6A">
        <w:t xml:space="preserve"> de Tipo II en ninguno de los </w:t>
      </w:r>
      <w:proofErr w:type="spellStart"/>
      <w:r w:rsidR="00194E6A">
        <w:t>Tests</w:t>
      </w:r>
      <w:proofErr w:type="spellEnd"/>
      <w:r w:rsidR="00194E6A">
        <w:t>.</w:t>
      </w:r>
    </w:p>
    <w:p w:rsidR="00194E6A" w:rsidRDefault="00194E6A" w:rsidP="00613B34">
      <w:bookmarkStart w:id="0" w:name="_GoBack"/>
      <w:bookmarkEnd w:id="0"/>
    </w:p>
    <w:p w:rsidR="00194E6A" w:rsidRPr="00613B34" w:rsidRDefault="00194E6A" w:rsidP="00613B34"/>
    <w:sectPr w:rsidR="00194E6A" w:rsidRPr="00613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34"/>
    <w:rsid w:val="00194E6A"/>
    <w:rsid w:val="00293034"/>
    <w:rsid w:val="003E5438"/>
    <w:rsid w:val="003E61A5"/>
    <w:rsid w:val="00463A8F"/>
    <w:rsid w:val="00613B34"/>
    <w:rsid w:val="00A33FA8"/>
    <w:rsid w:val="00C11DDC"/>
    <w:rsid w:val="00EF609B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9C42"/>
  <w15:chartTrackingRefBased/>
  <w15:docId w15:val="{C5DA8DEE-3100-44E9-8C75-D31317E4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3E54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05295\Desktop\BACKUP%2025%20Abril%202017\BrunoRuyu\Personal\San%20Andr&#233;s\T4\MNP\TP1%20MNP\ResultadosT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05295\Desktop\BACKUP%2025%20Abril%202017\BrunoRuyu\Personal\San%20Andr&#233;s\T4\MNP\TP1%20MNP\ResultadosTP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P[Error Tipo I] @95% - Toda la Event</a:t>
            </a:r>
            <a:r>
              <a:rPr lang="es-AR" baseline="0"/>
              <a:t> Window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'Parte 1'!$B$5</c:f>
              <c:strCache>
                <c:ptCount val="1"/>
                <c:pt idx="0">
                  <c:v>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1'!$C$5:$F$5</c:f>
              <c:numCache>
                <c:formatCode>0.0%</c:formatCode>
                <c:ptCount val="4"/>
                <c:pt idx="0">
                  <c:v>2.1999999999999999E-2</c:v>
                </c:pt>
                <c:pt idx="1">
                  <c:v>2.9000000000000001E-2</c:v>
                </c:pt>
                <c:pt idx="2">
                  <c:v>3.3000000000000002E-2</c:v>
                </c:pt>
                <c:pt idx="3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24-4768-BFDD-B21496AEB8EB}"/>
            </c:ext>
          </c:extLst>
        </c:ser>
        <c:ser>
          <c:idx val="1"/>
          <c:order val="1"/>
          <c:tx>
            <c:strRef>
              <c:f>'Parte 1'!$B$6</c:f>
              <c:strCache>
                <c:ptCount val="1"/>
                <c:pt idx="0">
                  <c:v>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1'!$C$6:$F$6</c:f>
              <c:numCache>
                <c:formatCode>0.0%</c:formatCode>
                <c:ptCount val="4"/>
                <c:pt idx="0">
                  <c:v>2.7E-2</c:v>
                </c:pt>
                <c:pt idx="1">
                  <c:v>3.1E-2</c:v>
                </c:pt>
                <c:pt idx="2">
                  <c:v>3.2000000000000001E-2</c:v>
                </c:pt>
                <c:pt idx="3">
                  <c:v>3.2000000000000001E-2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24-4768-BFDD-B21496AEB8EB}"/>
            </c:ext>
          </c:extLst>
        </c:ser>
        <c:ser>
          <c:idx val="2"/>
          <c:order val="2"/>
          <c:tx>
            <c:strRef>
              <c:f>'Parte 1'!$B$7</c:f>
              <c:strCache>
                <c:ptCount val="1"/>
                <c:pt idx="0">
                  <c:v>T3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1'!$C$7:$F$7</c:f>
              <c:numCache>
                <c:formatCode>0.0%</c:formatCode>
                <c:ptCount val="4"/>
                <c:pt idx="0">
                  <c:v>5.1999999999999998E-2</c:v>
                </c:pt>
                <c:pt idx="1">
                  <c:v>4.3999999999999997E-2</c:v>
                </c:pt>
                <c:pt idx="2">
                  <c:v>5.5999999999999994E-2</c:v>
                </c:pt>
                <c:pt idx="3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24-4768-BFDD-B21496AEB8EB}"/>
            </c:ext>
          </c:extLst>
        </c:ser>
        <c:ser>
          <c:idx val="3"/>
          <c:order val="3"/>
          <c:tx>
            <c:strRef>
              <c:f>'Parte 1'!$B$8</c:f>
              <c:strCache>
                <c:ptCount val="1"/>
                <c:pt idx="0">
                  <c:v>T4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1'!$C$8:$F$8</c:f>
              <c:numCache>
                <c:formatCode>0.0%</c:formatCode>
                <c:ptCount val="4"/>
                <c:pt idx="0">
                  <c:v>2.9000000000000001E-2</c:v>
                </c:pt>
                <c:pt idx="1">
                  <c:v>2.8000000000000001E-2</c:v>
                </c:pt>
                <c:pt idx="2">
                  <c:v>3.5000000000000003E-2</c:v>
                </c:pt>
                <c:pt idx="3">
                  <c:v>3.5999999999999997E-2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24-4768-BFDD-B21496AEB8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2781192"/>
        <c:axId val="732779552"/>
      </c:lineChart>
      <c:catAx>
        <c:axId val="732781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32779552"/>
        <c:crosses val="autoZero"/>
        <c:auto val="1"/>
        <c:lblAlgn val="ctr"/>
        <c:lblOffset val="100"/>
        <c:noMultiLvlLbl val="0"/>
      </c:catAx>
      <c:valAx>
        <c:axId val="73277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32781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P[Error Tipo I] @95% - Solo el día del Event</a:t>
            </a:r>
            <a:r>
              <a:rPr lang="es-AR" baseline="0"/>
              <a:t>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'Parte 1'!$B$10</c:f>
              <c:strCache>
                <c:ptCount val="1"/>
                <c:pt idx="0">
                  <c:v>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1'!$C$10:$F$10</c:f>
              <c:numCache>
                <c:formatCode>0.0%</c:formatCode>
                <c:ptCount val="4"/>
                <c:pt idx="0">
                  <c:v>5.6000000000000001E-2</c:v>
                </c:pt>
                <c:pt idx="1">
                  <c:v>7.6999999999999999E-2</c:v>
                </c:pt>
                <c:pt idx="2">
                  <c:v>8.4000000000000005E-2</c:v>
                </c:pt>
                <c:pt idx="3">
                  <c:v>8.2000000000000003E-2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C3-42C1-9F5D-505C8E5D3E55}"/>
            </c:ext>
          </c:extLst>
        </c:ser>
        <c:ser>
          <c:idx val="1"/>
          <c:order val="1"/>
          <c:tx>
            <c:strRef>
              <c:f>'Parte 1'!$B$11</c:f>
              <c:strCache>
                <c:ptCount val="1"/>
                <c:pt idx="0">
                  <c:v>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1'!$C$11:$F$11</c:f>
              <c:numCache>
                <c:formatCode>0.0%</c:formatCode>
                <c:ptCount val="4"/>
                <c:pt idx="0">
                  <c:v>5.3999999999999999E-2</c:v>
                </c:pt>
                <c:pt idx="1">
                  <c:v>7.2999999999999995E-2</c:v>
                </c:pt>
                <c:pt idx="2">
                  <c:v>8.7999999999999995E-2</c:v>
                </c:pt>
                <c:pt idx="3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C3-42C1-9F5D-505C8E5D3E55}"/>
            </c:ext>
          </c:extLst>
        </c:ser>
        <c:ser>
          <c:idx val="2"/>
          <c:order val="2"/>
          <c:tx>
            <c:strRef>
              <c:f>'Parte 1'!$B$12</c:f>
              <c:strCache>
                <c:ptCount val="1"/>
                <c:pt idx="0">
                  <c:v>T3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1'!$C$12:$F$12</c:f>
              <c:numCache>
                <c:formatCode>0.0%</c:formatCode>
                <c:ptCount val="4"/>
                <c:pt idx="0">
                  <c:v>4.2000000000000003E-2</c:v>
                </c:pt>
                <c:pt idx="1">
                  <c:v>0.05</c:v>
                </c:pt>
                <c:pt idx="2">
                  <c:v>5.3999999999999999E-2</c:v>
                </c:pt>
                <c:pt idx="3">
                  <c:v>6.6000000000000003E-2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C3-42C1-9F5D-505C8E5D3E55}"/>
            </c:ext>
          </c:extLst>
        </c:ser>
        <c:ser>
          <c:idx val="3"/>
          <c:order val="3"/>
          <c:tx>
            <c:strRef>
              <c:f>'Parte 1'!$B$13</c:f>
              <c:strCache>
                <c:ptCount val="1"/>
                <c:pt idx="0">
                  <c:v>T4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'Parte 1'!$C$4:$F$4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'Parte 1'!$C$13:$F$13</c:f>
              <c:numCache>
                <c:formatCode>0.0%</c:formatCode>
                <c:ptCount val="4"/>
                <c:pt idx="0">
                  <c:v>4.2000000000000003E-2</c:v>
                </c:pt>
                <c:pt idx="1">
                  <c:v>4.7E-2</c:v>
                </c:pt>
                <c:pt idx="2">
                  <c:v>6.2E-2</c:v>
                </c:pt>
                <c:pt idx="3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C3-42C1-9F5D-505C8E5D3E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2781192"/>
        <c:axId val="732779552"/>
      </c:lineChart>
      <c:catAx>
        <c:axId val="732781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32779552"/>
        <c:crosses val="autoZero"/>
        <c:auto val="1"/>
        <c:lblAlgn val="ctr"/>
        <c:lblOffset val="100"/>
        <c:noMultiLvlLbl val="0"/>
      </c:catAx>
      <c:valAx>
        <c:axId val="73277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32781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RUYU, BRUNO</dc:creator>
  <cp:keywords/>
  <dc:description/>
  <cp:lastModifiedBy>RUYU, BRUNO</cp:lastModifiedBy>
  <cp:revision>4</cp:revision>
  <dcterms:created xsi:type="dcterms:W3CDTF">2017-06-09T15:57:00Z</dcterms:created>
  <dcterms:modified xsi:type="dcterms:W3CDTF">2017-06-09T16:52:00Z</dcterms:modified>
</cp:coreProperties>
</file>