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1F7" w:rsidRDefault="00170A62" w:rsidP="002D75C0">
      <w:pPr>
        <w:pStyle w:val="Heading1"/>
      </w:pPr>
      <w:r>
        <w:t>Arbitraje Estadístico de</w:t>
      </w:r>
      <w:r w:rsidR="002D0A76">
        <w:t xml:space="preserve"> Futuros </w:t>
      </w:r>
      <w:r w:rsidR="00781C62">
        <w:t>en ROFEX</w:t>
      </w:r>
    </w:p>
    <w:p w:rsidR="00781C62" w:rsidRDefault="00A5782C" w:rsidP="005A38A3">
      <w:pPr>
        <w:pStyle w:val="Quote"/>
      </w:pPr>
      <w:r>
        <w:t>Bruno Ruyú</w:t>
      </w:r>
    </w:p>
    <w:p w:rsidR="001B4036" w:rsidRDefault="001B4036" w:rsidP="00A05AE6">
      <w:pPr>
        <w:pStyle w:val="Heading2"/>
      </w:pPr>
      <w:r>
        <w:t>Introducción al Arbitraje</w:t>
      </w:r>
    </w:p>
    <w:p w:rsidR="00781C62" w:rsidRDefault="002C0512" w:rsidP="005A35C5">
      <w:pPr>
        <w:jc w:val="both"/>
      </w:pPr>
      <w:r>
        <w:t xml:space="preserve">El arbitraje es un tipo de operación especulativa que se </w:t>
      </w:r>
      <w:r w:rsidR="00B02461">
        <w:t xml:space="preserve">con información acerca de precios relativos. La idea subyacente es comprar instrumentos que parezcan relativamente baratos y vender otros que parezcan relativamente caros. La ganancia se obtiene cuando los precios convergen de manera que sus compran se aprecian respecto a sus ventas. </w:t>
      </w:r>
    </w:p>
    <w:p w:rsidR="002C0512" w:rsidRDefault="002C0512" w:rsidP="002C0512">
      <w:pPr>
        <w:jc w:val="both"/>
      </w:pPr>
      <w:r>
        <w:t xml:space="preserve">Llamamos </w:t>
      </w:r>
      <w:r w:rsidRPr="002C0512">
        <w:rPr>
          <w:i/>
        </w:rPr>
        <w:t>factor fundamental de valuación</w:t>
      </w:r>
      <w:r>
        <w:t xml:space="preserve"> a una variable de la cual depende la valuación de un instrumento.  Cuando dos instrumentos tienen los mismos factores fundamentales de valuación, se dice que los instrumentos son similares. Típicos factores fundamentales de valuación son las variables macroeconómicas como la tasa de interé</w:t>
      </w:r>
      <w:r w:rsidR="00B539DF">
        <w:t>s, el GDP, la tasa de desempleo y la inflación; variables industriales como salarios, nivel de ventas, condiciones de competitividad e introducción de productos novedosos; variables físicas como el clima, pestes agrícolas y actividad solar; variables políticas como elecciones, cambios en la legislación e intervenciones militares; variables sociales como tasa de crímenes y demostraciones de descontento social.</w:t>
      </w:r>
    </w:p>
    <w:p w:rsidR="002C0512" w:rsidRDefault="003A7B04" w:rsidP="005A35C5">
      <w:pPr>
        <w:jc w:val="both"/>
      </w:pPr>
      <w:r>
        <w:t>Para realizar un arbitraje</w:t>
      </w:r>
      <w:r w:rsidR="00B02461">
        <w:rPr>
          <w:i/>
        </w:rPr>
        <w:t xml:space="preserve"> </w:t>
      </w:r>
      <w:r w:rsidR="00B02461" w:rsidRPr="00B02461">
        <w:t>exitoso</w:t>
      </w:r>
      <w:r>
        <w:t xml:space="preserve"> es necesario</w:t>
      </w:r>
      <w:r w:rsidR="00B02461">
        <w:t xml:space="preserve"> estimar las diferencias relativas en los precios de manera precisa, aunque en rigor no es importante si los instrumentos están correctamente valuados. Solo interesa la relación entre los instrumentos que se </w:t>
      </w:r>
      <w:r w:rsidR="002C0512">
        <w:t xml:space="preserve">compran y se venden, </w:t>
      </w:r>
      <w:r w:rsidR="008D080E">
        <w:t>ya que,</w:t>
      </w:r>
      <w:r w:rsidR="002C0512">
        <w:t xml:space="preserve"> al comprar y vender simultáneamente instrumentos similares, quedan protegidos ante movimientos por factores comunes a ambos. </w:t>
      </w:r>
    </w:p>
    <w:p w:rsidR="008D080E" w:rsidRDefault="00B539DF" w:rsidP="008D080E">
      <w:pPr>
        <w:jc w:val="both"/>
      </w:pPr>
      <w:r>
        <w:t xml:space="preserve">Para realizar estas valuaciones relativas, se utilizan diversos métodos a saber: métodos estadísticos para caracterizar la relación entre los precios de los instrumentos, modelos económicos para caracterizar como los precios dependen de los factores fundamentales comunes; modelos psicológicos para tratar de predecir cómo y cuándo los </w:t>
      </w:r>
      <w:proofErr w:type="spellStart"/>
      <w:r>
        <w:t>traders</w:t>
      </w:r>
      <w:proofErr w:type="spellEnd"/>
      <w:r>
        <w:t xml:space="preserve"> van a asignar precios relativos incorrectos entre dos instrumentos.</w:t>
      </w:r>
      <w:r w:rsidR="008D080E" w:rsidRPr="008D080E">
        <w:t xml:space="preserve"> </w:t>
      </w:r>
      <w:r w:rsidR="008D080E">
        <w:t>Teniendo en cuenta el análisis necesario para detectar las divergencias en las relaciones de precios, dentro de la teoría de la microestructura de mercados, los agentes que realizan arbitrajes (</w:t>
      </w:r>
      <w:proofErr w:type="spellStart"/>
      <w:r w:rsidR="008D080E" w:rsidRPr="00931BAB">
        <w:rPr>
          <w:i/>
        </w:rPr>
        <w:t>arbitrageurs</w:t>
      </w:r>
      <w:proofErr w:type="spellEnd"/>
      <w:r w:rsidR="008D080E">
        <w:t xml:space="preserve">) son considerados </w:t>
      </w:r>
      <w:proofErr w:type="spellStart"/>
      <w:r w:rsidR="008D080E">
        <w:t>traders</w:t>
      </w:r>
      <w:proofErr w:type="spellEnd"/>
      <w:r w:rsidR="008D080E">
        <w:t xml:space="preserve"> informados que proveen liquidez, mueven liquidez y generan productos financieros.</w:t>
      </w:r>
    </w:p>
    <w:p w:rsidR="008D080E" w:rsidRDefault="008D080E" w:rsidP="005A35C5">
      <w:pPr>
        <w:jc w:val="both"/>
      </w:pPr>
      <w:r>
        <w:t xml:space="preserve">Los instrumentos que se operan durante un arbitraje tienen que ser instrumentos cuyos precios están correlacionados. Una oportunidad de arbitraje aparece cuando la relación entre dichos precios diverge de la relación normal. En ese caso, al comprar el instrumento cuyo precio relativo es más bajo y al vender el instrumento cuyo precio relativo es más caro, la estrategia será exitosa si los precios convergen a su relación normal. </w:t>
      </w:r>
    </w:p>
    <w:p w:rsidR="00BA2C22" w:rsidRDefault="003D6F38" w:rsidP="005A35C5">
      <w:pPr>
        <w:jc w:val="both"/>
      </w:pPr>
      <w:r>
        <w:t xml:space="preserve">La diferencia en los precios de los instrumentos en el portafolio de arbitraje se conoce como </w:t>
      </w:r>
      <w:proofErr w:type="spellStart"/>
      <w:r w:rsidRPr="003D6F38">
        <w:rPr>
          <w:i/>
        </w:rPr>
        <w:t>basis</w:t>
      </w:r>
      <w:proofErr w:type="spellEnd"/>
      <w:r>
        <w:t xml:space="preserve">. El </w:t>
      </w:r>
      <w:proofErr w:type="spellStart"/>
      <w:r w:rsidRPr="003D6F38">
        <w:rPr>
          <w:i/>
        </w:rPr>
        <w:t>fair</w:t>
      </w:r>
      <w:proofErr w:type="spellEnd"/>
      <w:r w:rsidRPr="003D6F38">
        <w:rPr>
          <w:i/>
        </w:rPr>
        <w:t xml:space="preserve"> </w:t>
      </w:r>
      <w:proofErr w:type="spellStart"/>
      <w:r w:rsidRPr="003D6F38">
        <w:rPr>
          <w:i/>
        </w:rPr>
        <w:t>value</w:t>
      </w:r>
      <w:proofErr w:type="spellEnd"/>
      <w:r>
        <w:t xml:space="preserve"> del </w:t>
      </w:r>
      <w:proofErr w:type="spellStart"/>
      <w:r>
        <w:t>basis</w:t>
      </w:r>
      <w:proofErr w:type="spellEnd"/>
      <w:r>
        <w:t xml:space="preserve"> es el </w:t>
      </w:r>
      <w:proofErr w:type="spellStart"/>
      <w:r>
        <w:t>basis</w:t>
      </w:r>
      <w:proofErr w:type="spellEnd"/>
      <w:r>
        <w:t xml:space="preserve"> que resultaría si todos los instrumentos estuvieran correctamente </w:t>
      </w:r>
      <w:r>
        <w:lastRenderedPageBreak/>
        <w:t xml:space="preserve">valuados relativamente entre ellos. El spread de arbitraje es la diferencia entre el </w:t>
      </w:r>
      <w:proofErr w:type="spellStart"/>
      <w:r>
        <w:t>basis</w:t>
      </w:r>
      <w:proofErr w:type="spellEnd"/>
      <w:r>
        <w:t xml:space="preserve"> real y el </w:t>
      </w:r>
      <w:proofErr w:type="spellStart"/>
      <w:r>
        <w:t>fair</w:t>
      </w:r>
      <w:proofErr w:type="spellEnd"/>
      <w:r>
        <w:t xml:space="preserve"> </w:t>
      </w:r>
      <w:proofErr w:type="spellStart"/>
      <w:r>
        <w:t>value</w:t>
      </w:r>
      <w:proofErr w:type="spellEnd"/>
      <w:r>
        <w:t xml:space="preserve"> del </w:t>
      </w:r>
      <w:proofErr w:type="spellStart"/>
      <w:r>
        <w:t>basis</w:t>
      </w:r>
      <w:proofErr w:type="spellEnd"/>
      <w:r>
        <w:t xml:space="preserve">. </w:t>
      </w:r>
    </w:p>
    <w:p w:rsidR="008D080E" w:rsidRDefault="003D6F38" w:rsidP="005A35C5">
      <w:pPr>
        <w:jc w:val="both"/>
      </w:pPr>
      <w:r>
        <w:t xml:space="preserve">En resumen, los </w:t>
      </w:r>
      <w:proofErr w:type="spellStart"/>
      <w:r>
        <w:t>arbitrageurs</w:t>
      </w:r>
      <w:proofErr w:type="spellEnd"/>
      <w:r>
        <w:t xml:space="preserve"> van a operar cuando el spread es suficientemente grande como para compensar los costos de la operación y los costos de </w:t>
      </w:r>
      <w:proofErr w:type="spellStart"/>
      <w:r w:rsidRPr="003D6F38">
        <w:rPr>
          <w:i/>
        </w:rPr>
        <w:t>carry</w:t>
      </w:r>
      <w:proofErr w:type="spellEnd"/>
      <w:r>
        <w:t xml:space="preserve"> de cada instrumento (cuando corresponda)</w:t>
      </w:r>
      <w:r w:rsidR="00BA2C22">
        <w:t xml:space="preserve">. La delimitación de los valores del spread que justifican la operación está definida por las bandas de arbitraje, y son los valores a cada lado del </w:t>
      </w:r>
      <w:proofErr w:type="spellStart"/>
      <w:r w:rsidR="00BA2C22">
        <w:t>fair</w:t>
      </w:r>
      <w:proofErr w:type="spellEnd"/>
      <w:r w:rsidR="00BA2C22">
        <w:t xml:space="preserve"> </w:t>
      </w:r>
      <w:proofErr w:type="spellStart"/>
      <w:r w:rsidR="00BA2C22">
        <w:t>value</w:t>
      </w:r>
      <w:proofErr w:type="spellEnd"/>
      <w:r w:rsidR="00BA2C22">
        <w:t>, tales que una vez superados se realiza la operación.</w:t>
      </w:r>
    </w:p>
    <w:p w:rsidR="00BA2C22" w:rsidRDefault="00F72F1A" w:rsidP="005A35C5">
      <w:pPr>
        <w:jc w:val="both"/>
      </w:pPr>
      <w:r>
        <w:t xml:space="preserve">Como se mencionó, los portafolios de arbitraje suelen ser menos riesgosos que los instrumentos que los componen, ya que al tener sus precios correlacionados y estar </w:t>
      </w:r>
      <w:r w:rsidR="001B4036">
        <w:t xml:space="preserve">en posiciones opuestas, los cambios en los factores fundamentales se cancelan en gran medida. El riesgo del portafolio de arbitraje más importante es el </w:t>
      </w:r>
      <w:proofErr w:type="spellStart"/>
      <w:r w:rsidR="001B4036" w:rsidRPr="001B4036">
        <w:rPr>
          <w:i/>
        </w:rPr>
        <w:t>basis</w:t>
      </w:r>
      <w:proofErr w:type="spellEnd"/>
      <w:r w:rsidR="001B4036" w:rsidRPr="001B4036">
        <w:rPr>
          <w:i/>
        </w:rPr>
        <w:t xml:space="preserve"> </w:t>
      </w:r>
      <w:proofErr w:type="spellStart"/>
      <w:r w:rsidR="001B4036" w:rsidRPr="001B4036">
        <w:rPr>
          <w:i/>
        </w:rPr>
        <w:t>risk</w:t>
      </w:r>
      <w:proofErr w:type="spellEnd"/>
      <w:r w:rsidR="001B4036">
        <w:t xml:space="preserve">, y representa el riesgo residual asociado al valor intrínseco de cada instrumento individualmente, es decir, el riesgo asociado a factores característicos que no pueden ser neutralizados perfectamente mediante combinación de otros instrumentos. De todas maneras, un portafolio de arbitraje lo suficientemente diversificado puede reducir de manera importante el </w:t>
      </w:r>
      <w:proofErr w:type="spellStart"/>
      <w:r w:rsidR="001B4036">
        <w:t>basis</w:t>
      </w:r>
      <w:proofErr w:type="spellEnd"/>
      <w:r w:rsidR="001B4036">
        <w:t xml:space="preserve"> </w:t>
      </w:r>
      <w:proofErr w:type="spellStart"/>
      <w:r w:rsidR="001B4036">
        <w:t>risk</w:t>
      </w:r>
      <w:proofErr w:type="spellEnd"/>
      <w:r w:rsidR="001B4036">
        <w:t>.</w:t>
      </w:r>
    </w:p>
    <w:p w:rsidR="001B4036" w:rsidRDefault="00B4075E" w:rsidP="005A35C5">
      <w:pPr>
        <w:jc w:val="both"/>
      </w:pPr>
      <w:r>
        <w:t>Tipos de Arbitraje</w:t>
      </w:r>
    </w:p>
    <w:p w:rsidR="00B4075E" w:rsidRDefault="00B4075E" w:rsidP="005A35C5">
      <w:pPr>
        <w:jc w:val="both"/>
      </w:pPr>
      <w:r>
        <w:t xml:space="preserve">Los arbitrajes pueden clasificarse en dos grandes grupos según la naturaleza que origina el </w:t>
      </w:r>
      <w:proofErr w:type="spellStart"/>
      <w:r>
        <w:t>basis</w:t>
      </w:r>
      <w:proofErr w:type="spellEnd"/>
      <w:r>
        <w:t xml:space="preserve"> </w:t>
      </w:r>
      <w:proofErr w:type="spellStart"/>
      <w:r>
        <w:t>risk</w:t>
      </w:r>
      <w:proofErr w:type="spellEnd"/>
      <w:r>
        <w:t xml:space="preserve">. Los arbitrajes puros involucran instrumentos para los que el portafolio de arbitraje sigue estrictamente una reversión a la media, mientras que los arbitrajes especulativos (también conocidos como arbitrajes de riesgo) </w:t>
      </w:r>
      <w:r w:rsidR="00AE31E9">
        <w:t>involucran</w:t>
      </w:r>
      <w:r>
        <w:t xml:space="preserve"> instrumentos para los que el valor del portafolio es no estacionario. En este trabajo nos vamos a enfocar en el segundo tipo.</w:t>
      </w:r>
    </w:p>
    <w:p w:rsidR="00B4075E" w:rsidRDefault="00B4075E" w:rsidP="005A35C5">
      <w:pPr>
        <w:jc w:val="both"/>
      </w:pPr>
      <w:r>
        <w:t>Una variable es no estacionaria cuando varía en el tiempo sin regresar a ningún valor particular. Es decir, no sigue un comportamient</w:t>
      </w:r>
      <w:r w:rsidR="002407F8">
        <w:t>o de regresión a un valor medio (por ejemplo, un</w:t>
      </w:r>
      <w:r>
        <w:t xml:space="preserve"> proceso browniano</w:t>
      </w:r>
      <w:r w:rsidR="002407F8">
        <w:t>)</w:t>
      </w:r>
      <w:r>
        <w:t>. Los valores esperados para la variable en el futuro dependerán del mecanismo que genera su comportamiento.</w:t>
      </w:r>
    </w:p>
    <w:p w:rsidR="00541702" w:rsidRDefault="002407F8" w:rsidP="005A35C5">
      <w:pPr>
        <w:jc w:val="both"/>
      </w:pPr>
      <w:r>
        <w:t xml:space="preserve">El </w:t>
      </w:r>
      <w:r w:rsidR="00D92B74">
        <w:t>arbitraje</w:t>
      </w:r>
      <w:r>
        <w:t xml:space="preserve"> especulativo involucra entonces un portafolio cuyo valor es no estacionario, pero que durante un período corto de tiempo se espera que muestre un comportamiento de regresión a la media. La no estacionalidad está dada por las valuaciones específicas de cada instrumento que resultan en los procesos brownianos, mientras que la regresión a la media puede estar dada por valuaciones inconsistentes en los factores comunes de los instrumentos del portafolio, o por valuaciones erróneas en algún factor específico de alguno de los instrumentos. Cualquiera de estos dos errores va a producir un regreso a la media que es el que se busca explotar en la estrategia. </w:t>
      </w:r>
      <w:r w:rsidR="00541702">
        <w:t xml:space="preserve">El arbitraje especulativo entonces tiene un riesgo asociado ya que como el portafolio no converge a ningún valor en el largo plazo, </w:t>
      </w:r>
      <w:proofErr w:type="gramStart"/>
      <w:r w:rsidR="00541702">
        <w:t>y</w:t>
      </w:r>
      <w:proofErr w:type="gramEnd"/>
      <w:r w:rsidR="00541702">
        <w:t xml:space="preserve"> por lo tanto, la operación debe ser realizada cuando se tiene alguna certeza de que esta regresión a la media de corto plazo dominará sobre los procesos no estacionarios. </w:t>
      </w:r>
    </w:p>
    <w:p w:rsidR="00D92B74" w:rsidRDefault="00541702" w:rsidP="005A35C5">
      <w:pPr>
        <w:jc w:val="both"/>
      </w:pPr>
      <w:r>
        <w:lastRenderedPageBreak/>
        <w:t>Dentro de los arbitrajes especulativos podemos encontrar la siguiente clasificación:</w:t>
      </w:r>
      <w:r w:rsidR="00E07495">
        <w:t xml:space="preserve"> </w:t>
      </w:r>
      <w:r>
        <w:t>Spreads</w:t>
      </w:r>
      <w:r w:rsidR="00E07495">
        <w:t xml:space="preserve">, </w:t>
      </w:r>
      <w:proofErr w:type="spellStart"/>
      <w:r w:rsidR="00E07495">
        <w:t>Pairs</w:t>
      </w:r>
      <w:proofErr w:type="spellEnd"/>
      <w:r w:rsidR="00E07495">
        <w:t xml:space="preserve"> Trading, </w:t>
      </w:r>
      <w:r w:rsidR="00D92B74">
        <w:t>Arbitraje estadístico</w:t>
      </w:r>
      <w:r w:rsidR="00E07495">
        <w:t xml:space="preserve"> y </w:t>
      </w:r>
      <w:r w:rsidR="00D92B74">
        <w:t>Arbitraje de Riesgos</w:t>
      </w:r>
      <w:r w:rsidR="00E07495">
        <w:t>.</w:t>
      </w:r>
    </w:p>
    <w:p w:rsidR="00D92B74" w:rsidRDefault="00D92B74" w:rsidP="005A35C5">
      <w:pPr>
        <w:jc w:val="both"/>
      </w:pPr>
      <w:r>
        <w:t xml:space="preserve">El foco de este trabajo estará en </w:t>
      </w:r>
      <w:proofErr w:type="spellStart"/>
      <w:r>
        <w:t>Pairs</w:t>
      </w:r>
      <w:proofErr w:type="spellEnd"/>
      <w:r>
        <w:t xml:space="preserve"> Trading</w:t>
      </w:r>
      <w:r w:rsidR="00E07495">
        <w:t xml:space="preserve">. En </w:t>
      </w:r>
      <w:proofErr w:type="spellStart"/>
      <w:r w:rsidR="00E07495">
        <w:t>Pairs</w:t>
      </w:r>
      <w:proofErr w:type="spellEnd"/>
      <w:r w:rsidR="00E07495">
        <w:t xml:space="preserve"> Trading se trata de identificar un par de instrumentos cuyos precios relativos permitan detectar a uno barato y a otro caro, para justamente vender el caro y comprar el barato. Si la divergencia de los precios se dio porque sus valores fundamentales no están valuados consistentemente o porque se </w:t>
      </w:r>
      <w:proofErr w:type="spellStart"/>
      <w:r w:rsidR="00E07495">
        <w:t>priceó</w:t>
      </w:r>
      <w:proofErr w:type="spellEnd"/>
      <w:r w:rsidR="00E07495">
        <w:t xml:space="preserve"> incorrectamente a los factores específicos de alguno de los dos, entonces la estrategia será exitosa ya que entonces los precios convergerán a su relación correcta.</w:t>
      </w:r>
    </w:p>
    <w:p w:rsidR="00E07495" w:rsidRDefault="00E07495" w:rsidP="005A35C5">
      <w:pPr>
        <w:jc w:val="both"/>
      </w:pPr>
      <w:r>
        <w:t xml:space="preserve">Esta divergencia puede darse cuando los compradores informados hacen crecer el </w:t>
      </w:r>
      <w:proofErr w:type="spellStart"/>
      <w:r>
        <w:t>bid</w:t>
      </w:r>
      <w:proofErr w:type="spellEnd"/>
      <w:r>
        <w:t xml:space="preserve"> de uno de los instrumentos o cuando vendedores desinformados hacen caer el </w:t>
      </w:r>
      <w:proofErr w:type="spellStart"/>
      <w:r>
        <w:t>offer</w:t>
      </w:r>
      <w:proofErr w:type="spellEnd"/>
      <w:r>
        <w:t xml:space="preserve"> del otro. También puede suceder cuando el precio de uno de los activos cambia en respuesta a un cambio en uno de los factores comunes de valuación, pero el precio del otro activo aún no cambió. </w:t>
      </w:r>
    </w:p>
    <w:p w:rsidR="002915F7" w:rsidRDefault="002915F7" w:rsidP="002915F7">
      <w:pPr>
        <w:jc w:val="both"/>
      </w:pPr>
      <w:r>
        <w:t xml:space="preserve">La estrategia se puede implementar tomando como señal de compra y venta a la diferencia entre los precios de los activos o al cociente de los precios. Para la señal elegida se calcula el </w:t>
      </w:r>
      <w:proofErr w:type="spellStart"/>
      <w:r>
        <w:t>el</w:t>
      </w:r>
      <w:proofErr w:type="spellEnd"/>
      <w:r>
        <w:t xml:space="preserve"> valor medio (</w:t>
      </w:r>
      <w:r w:rsidRPr="000A4B13">
        <w:rPr>
          <w:rFonts w:ascii="Symbol" w:hAnsi="Symbol"/>
        </w:rPr>
        <w:t></w:t>
      </w:r>
      <w:r>
        <w:t>) y la desviación standard (</w:t>
      </w:r>
      <w:r w:rsidRPr="000A4B13">
        <w:rPr>
          <w:rFonts w:ascii="Symbol" w:hAnsi="Symbol"/>
        </w:rPr>
        <w:t></w:t>
      </w:r>
      <w:r>
        <w:t>) en una ventana temporal anterior a las operaciones. Luego, se define una banda de arbitraje 2*M*</w:t>
      </w:r>
      <w:r w:rsidRPr="000A4B13">
        <w:rPr>
          <w:rFonts w:ascii="Symbol" w:hAnsi="Symbol"/>
        </w:rPr>
        <w:t></w:t>
      </w:r>
      <w:r>
        <w:t xml:space="preserve"> centrada en </w:t>
      </w:r>
      <w:r w:rsidRPr="002915F7">
        <w:rPr>
          <w:rFonts w:ascii="Symbol" w:hAnsi="Symbol"/>
        </w:rPr>
        <w:t></w:t>
      </w:r>
      <w:r>
        <w:t xml:space="preserve">. Es </w:t>
      </w:r>
      <w:r w:rsidR="00136FCF">
        <w:t>decir,</w:t>
      </w:r>
      <w:r>
        <w:t xml:space="preserve"> las posiciones se van a abrir cuando la diferencia entre los precios medios (o el cociente) quede por encima de </w:t>
      </w:r>
      <w:r w:rsidRPr="000A4B13">
        <w:rPr>
          <w:rFonts w:ascii="Symbol" w:hAnsi="Symbol"/>
        </w:rPr>
        <w:t></w:t>
      </w:r>
      <w:r>
        <w:t>+M</w:t>
      </w:r>
      <w:r w:rsidRPr="000A4B13">
        <w:rPr>
          <w:rFonts w:ascii="Symbol" w:hAnsi="Symbol"/>
        </w:rPr>
        <w:t></w:t>
      </w:r>
      <w:r>
        <w:t xml:space="preserve"> o por debajo de </w:t>
      </w:r>
      <w:r w:rsidRPr="000A4B13">
        <w:rPr>
          <w:rFonts w:ascii="Symbol" w:hAnsi="Symbol"/>
        </w:rPr>
        <w:t></w:t>
      </w:r>
      <w:r>
        <w:t>-M*</w:t>
      </w:r>
      <w:r w:rsidRPr="000A4B13">
        <w:rPr>
          <w:rFonts w:ascii="Symbol" w:hAnsi="Symbol"/>
        </w:rPr>
        <w:t></w:t>
      </w:r>
      <w:r>
        <w:t xml:space="preserve">. Este factor multiplicativo M es un parámetro que depende de la dinámica de reversión a la media ejercida por los activos particulares y deberá calibrarse en cada caso. Finalmente, la posición se cierra cuando la diferencia de los precios (o el cociente) regresa al valor medio </w:t>
      </w:r>
      <w:r w:rsidRPr="002915F7">
        <w:rPr>
          <w:rFonts w:ascii="Symbol" w:hAnsi="Symbol"/>
        </w:rPr>
        <w:t></w:t>
      </w:r>
      <w:r>
        <w:t>.</w:t>
      </w:r>
    </w:p>
    <w:p w:rsidR="002915F7" w:rsidRDefault="002915F7" w:rsidP="002915F7">
      <w:pPr>
        <w:jc w:val="both"/>
      </w:pPr>
      <w:r>
        <w:t>En la Figura 1 se muestra un ejemplo para M=2.</w:t>
      </w:r>
    </w:p>
    <w:p w:rsidR="002915F7" w:rsidRDefault="002915F7" w:rsidP="002915F7">
      <w:pPr>
        <w:jc w:val="both"/>
      </w:pPr>
      <w:r>
        <w:rPr>
          <w:noProof/>
          <w:lang w:eastAsia="es-AR"/>
        </w:rPr>
        <w:drawing>
          <wp:inline distT="0" distB="0" distL="0" distR="0" wp14:anchorId="3BF909D4" wp14:editId="63EF6261">
            <wp:extent cx="5612130" cy="1961515"/>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961515"/>
                    </a:xfrm>
                    <a:prstGeom prst="rect">
                      <a:avLst/>
                    </a:prstGeom>
                  </pic:spPr>
                </pic:pic>
              </a:graphicData>
            </a:graphic>
          </wp:inline>
        </w:drawing>
      </w:r>
    </w:p>
    <w:p w:rsidR="00E07495" w:rsidRDefault="00E07495" w:rsidP="005A35C5">
      <w:pPr>
        <w:jc w:val="both"/>
      </w:pPr>
    </w:p>
    <w:p w:rsidR="00BA2C22" w:rsidRDefault="00A05AE6" w:rsidP="00A05AE6">
      <w:pPr>
        <w:pStyle w:val="Heading2"/>
      </w:pPr>
      <w:r>
        <w:t>Estrategia y Metodología</w:t>
      </w:r>
    </w:p>
    <w:p w:rsidR="002915F7" w:rsidRDefault="002915F7" w:rsidP="00A05AE6">
      <w:pPr>
        <w:jc w:val="both"/>
      </w:pPr>
    </w:p>
    <w:p w:rsidR="00A05AE6" w:rsidRDefault="00A05AE6" w:rsidP="00A05AE6">
      <w:pPr>
        <w:jc w:val="both"/>
        <w:rPr>
          <w:rFonts w:ascii="Calibri" w:eastAsia="Times New Roman" w:hAnsi="Calibri" w:cs="Calibri"/>
          <w:color w:val="000000"/>
        </w:rPr>
      </w:pPr>
      <w:r>
        <w:t xml:space="preserve">La estrategia seleccionada fue </w:t>
      </w:r>
      <w:proofErr w:type="spellStart"/>
      <w:r>
        <w:t>Pairs</w:t>
      </w:r>
      <w:proofErr w:type="spellEnd"/>
      <w:r>
        <w:t xml:space="preserve"> Trading con futuros de Merval en ROFEX. Con la hipótesis de que los futuros del mismo subyacente, pero con distinta madurez de contrato, deberían encontrarse </w:t>
      </w:r>
      <w:r>
        <w:lastRenderedPageBreak/>
        <w:t xml:space="preserve">correlacionados, se definió una estrategia de </w:t>
      </w:r>
      <w:proofErr w:type="spellStart"/>
      <w:r>
        <w:t>Pairs</w:t>
      </w:r>
      <w:proofErr w:type="spellEnd"/>
      <w:r>
        <w:t xml:space="preserve"> Trading para los instrumentos </w:t>
      </w:r>
      <w:proofErr w:type="gramStart"/>
      <w:r>
        <w:rPr>
          <w:rFonts w:ascii="Calibri" w:eastAsia="Times New Roman" w:hAnsi="Calibri" w:cs="Calibri"/>
          <w:color w:val="000000"/>
        </w:rPr>
        <w:t>I.MERVDic</w:t>
      </w:r>
      <w:proofErr w:type="gramEnd"/>
      <w:r>
        <w:rPr>
          <w:rFonts w:ascii="Calibri" w:eastAsia="Times New Roman" w:hAnsi="Calibri" w:cs="Calibri"/>
          <w:color w:val="000000"/>
        </w:rPr>
        <w:t xml:space="preserve">16 y I.MERVMar17. </w:t>
      </w:r>
    </w:p>
    <w:p w:rsidR="00A05AE6" w:rsidRDefault="00A05AE6" w:rsidP="00A05AE6">
      <w:pPr>
        <w:jc w:val="both"/>
        <w:rPr>
          <w:rFonts w:ascii="Calibri" w:eastAsia="Times New Roman" w:hAnsi="Calibri" w:cs="Calibri"/>
          <w:color w:val="000000"/>
        </w:rPr>
      </w:pPr>
      <w:r>
        <w:rPr>
          <w:rFonts w:ascii="Calibri" w:eastAsia="Times New Roman" w:hAnsi="Calibri" w:cs="Calibri"/>
          <w:color w:val="000000"/>
        </w:rPr>
        <w:t>Las fechas durante las cuales cotizaron simultáneamente ambos instrumentos fueron del 03/10/2016 al 29/12/2016. Se obtuvo la información de todas las variaciones de precio (</w:t>
      </w:r>
      <w:proofErr w:type="spellStart"/>
      <w:r>
        <w:rPr>
          <w:rFonts w:ascii="Calibri" w:eastAsia="Times New Roman" w:hAnsi="Calibri" w:cs="Calibri"/>
          <w:color w:val="000000"/>
        </w:rPr>
        <w:t>bid</w:t>
      </w:r>
      <w:proofErr w:type="spellEnd"/>
      <w:r>
        <w:rPr>
          <w:rFonts w:ascii="Calibri" w:eastAsia="Times New Roman" w:hAnsi="Calibri" w:cs="Calibri"/>
          <w:color w:val="000000"/>
        </w:rPr>
        <w:t xml:space="preserve"> y </w:t>
      </w:r>
      <w:proofErr w:type="spellStart"/>
      <w:r>
        <w:rPr>
          <w:rFonts w:ascii="Calibri" w:eastAsia="Times New Roman" w:hAnsi="Calibri" w:cs="Calibri"/>
          <w:color w:val="000000"/>
        </w:rPr>
        <w:t>ask</w:t>
      </w:r>
      <w:proofErr w:type="spellEnd"/>
      <w:r>
        <w:rPr>
          <w:rFonts w:ascii="Calibri" w:eastAsia="Times New Roman" w:hAnsi="Calibri" w:cs="Calibri"/>
          <w:color w:val="000000"/>
        </w:rPr>
        <w:t>) para estos instrumentos, esto dio lugar a un total de 153.800 cotizaciones para cada uno. En aquellos momentos que no existía un precio se completó con el último precio cotizado.</w:t>
      </w:r>
    </w:p>
    <w:p w:rsidR="0057406D" w:rsidRDefault="002915F7" w:rsidP="005A35C5">
      <w:pPr>
        <w:jc w:val="both"/>
      </w:pPr>
      <w:r>
        <w:t>Se tomó como señal la</w:t>
      </w:r>
      <w:r w:rsidR="000A4B13">
        <w:t xml:space="preserve"> diferencia</w:t>
      </w:r>
      <w:r>
        <w:t xml:space="preserve"> de</w:t>
      </w:r>
      <w:r w:rsidR="00CF386F">
        <w:t xml:space="preserve"> los</w:t>
      </w:r>
      <w:r>
        <w:t xml:space="preserve"> precios medios (entre el </w:t>
      </w:r>
      <w:proofErr w:type="spellStart"/>
      <w:r>
        <w:t>bid</w:t>
      </w:r>
      <w:proofErr w:type="spellEnd"/>
      <w:r>
        <w:t xml:space="preserve"> y el </w:t>
      </w:r>
      <w:proofErr w:type="spellStart"/>
      <w:r>
        <w:t>ask</w:t>
      </w:r>
      <w:proofErr w:type="spellEnd"/>
      <w:r>
        <w:t>)</w:t>
      </w:r>
      <w:r w:rsidR="00CF386F">
        <w:t xml:space="preserve"> de cada activo</w:t>
      </w:r>
      <w:r w:rsidR="0057406D">
        <w:t xml:space="preserve"> y se obtuvo su valor medio y su sigma para una ventana </w:t>
      </w:r>
      <w:r w:rsidR="0002173E">
        <w:t xml:space="preserve">de una cierta fracción </w:t>
      </w:r>
      <w:r w:rsidR="0057406D">
        <w:t xml:space="preserve">del tiempo </w:t>
      </w:r>
      <w:r w:rsidR="0002173E">
        <w:t xml:space="preserve">total </w:t>
      </w:r>
      <w:r w:rsidR="0057406D">
        <w:t xml:space="preserve">donde ambos activos cotizaron en simultáneo. </w:t>
      </w:r>
      <w:r w:rsidR="0002173E">
        <w:t xml:space="preserve">Por ejemplo, de la totalidad del período de cotización, se utiliza el primer tercio para obtener los parámetros y luego se dejan los restantes 2/3 para ejecutar la estrategia. </w:t>
      </w:r>
      <w:r w:rsidR="0057406D">
        <w:t>Se hicieron sensibilidades sobre la longitud de esta ventana.</w:t>
      </w:r>
      <w:r w:rsidR="0057406D">
        <w:tab/>
      </w:r>
    </w:p>
    <w:p w:rsidR="000A4B13" w:rsidRDefault="0002173E" w:rsidP="005A35C5">
      <w:pPr>
        <w:jc w:val="both"/>
      </w:pPr>
      <w:r>
        <w:t>Como se dijo, la estrategia utiliza la diferencia entre los valores medios de cada activo, pero</w:t>
      </w:r>
      <w:r w:rsidR="002915F7">
        <w:t xml:space="preserve"> obviamente, las operaciones de compra y venta se realizaron utilizando los </w:t>
      </w:r>
      <w:r>
        <w:t xml:space="preserve">precios </w:t>
      </w:r>
      <w:proofErr w:type="spellStart"/>
      <w:r>
        <w:t>ask</w:t>
      </w:r>
      <w:proofErr w:type="spellEnd"/>
      <w:r>
        <w:t xml:space="preserve"> y </w:t>
      </w:r>
      <w:proofErr w:type="spellStart"/>
      <w:r w:rsidR="00BE7018">
        <w:t>bid</w:t>
      </w:r>
      <w:proofErr w:type="spellEnd"/>
      <w:r w:rsidR="00BE7018">
        <w:t xml:space="preserve"> correspondientes</w:t>
      </w:r>
      <w:r w:rsidR="002915F7">
        <w:t xml:space="preserve">, con un </w:t>
      </w:r>
      <w:r w:rsidR="00C402EB">
        <w:t>costo de transacción fijo de 0,08</w:t>
      </w:r>
      <w:r w:rsidR="002915F7">
        <w:t xml:space="preserve"> USD y una comisión proporcional del 0,1%</w:t>
      </w:r>
      <w:r w:rsidR="00D41E74">
        <w:t>.</w:t>
      </w:r>
    </w:p>
    <w:p w:rsidR="00A05AE6" w:rsidRDefault="00A05AE6" w:rsidP="0057406D">
      <w:pPr>
        <w:pStyle w:val="Heading2"/>
      </w:pPr>
      <w:r>
        <w:t>Resultados</w:t>
      </w:r>
    </w:p>
    <w:p w:rsidR="00A05AE6" w:rsidRDefault="00A05AE6" w:rsidP="00A05AE6"/>
    <w:p w:rsidR="00A05AE6" w:rsidRDefault="00A05AE6" w:rsidP="00A05AE6">
      <w:r>
        <w:t>Los resultados obtenidos</w:t>
      </w:r>
      <w:r w:rsidR="0057406D">
        <w:t xml:space="preserve"> en pesos de la estrategia se muestran en la siguiente tabla, en función de dos parámetros explorados: el multiplicador (M) y la cantidad de contratos (n).</w:t>
      </w:r>
    </w:p>
    <w:p w:rsidR="00136FCF" w:rsidRDefault="00136FCF" w:rsidP="00A05AE6">
      <w:r>
        <w:t xml:space="preserve">La ventana de estimación de </w:t>
      </w:r>
      <w:r>
        <w:rPr>
          <w:rFonts w:ascii="Symbol" w:hAnsi="Symbol"/>
        </w:rPr>
        <w:t></w:t>
      </w:r>
      <w:r>
        <w:t xml:space="preserve"> y </w:t>
      </w:r>
      <w:r w:rsidRPr="00136FCF">
        <w:rPr>
          <w:rFonts w:ascii="Symbol" w:hAnsi="Symbol"/>
        </w:rPr>
        <w:t></w:t>
      </w:r>
      <w:r>
        <w:t xml:space="preserve"> para este caso fue de 1/3 del tiempo total.</w:t>
      </w:r>
    </w:p>
    <w:p w:rsidR="00362E98" w:rsidRDefault="00362E98" w:rsidP="00362E98">
      <w:pPr>
        <w:pStyle w:val="Caption"/>
        <w:keepNext/>
      </w:pPr>
    </w:p>
    <w:tbl>
      <w:tblPr>
        <w:tblW w:w="9430" w:type="dxa"/>
        <w:tblCellMar>
          <w:top w:w="15" w:type="dxa"/>
          <w:bottom w:w="15" w:type="dxa"/>
        </w:tblCellMar>
        <w:tblLook w:val="04A0" w:firstRow="1" w:lastRow="0" w:firstColumn="1" w:lastColumn="0" w:noHBand="0" w:noVBand="1"/>
      </w:tblPr>
      <w:tblGrid>
        <w:gridCol w:w="1394"/>
        <w:gridCol w:w="1039"/>
        <w:gridCol w:w="1039"/>
        <w:gridCol w:w="1039"/>
        <w:gridCol w:w="1039"/>
        <w:gridCol w:w="1039"/>
        <w:gridCol w:w="1039"/>
        <w:gridCol w:w="899"/>
        <w:gridCol w:w="903"/>
      </w:tblGrid>
      <w:tr w:rsidR="00407F22" w:rsidRPr="00407F22" w:rsidTr="00407F22">
        <w:trPr>
          <w:trHeight w:val="201"/>
        </w:trPr>
        <w:tc>
          <w:tcPr>
            <w:tcW w:w="1394" w:type="dxa"/>
            <w:tcBorders>
              <w:top w:val="nil"/>
              <w:left w:val="nil"/>
              <w:bottom w:val="nil"/>
              <w:right w:val="nil"/>
            </w:tcBorders>
            <w:noWrap/>
            <w:vAlign w:val="bottom"/>
            <w:hideMark/>
          </w:tcPr>
          <w:p w:rsidR="00407F22" w:rsidRPr="00407F22" w:rsidRDefault="00407F22" w:rsidP="00407F22">
            <w:pPr>
              <w:spacing w:after="0" w:line="240" w:lineRule="auto"/>
              <w:rPr>
                <w:rFonts w:ascii="Times New Roman" w:eastAsia="Times New Roman" w:hAnsi="Times New Roman" w:cs="Times New Roman"/>
                <w:sz w:val="24"/>
                <w:szCs w:val="24"/>
              </w:rPr>
            </w:pPr>
          </w:p>
        </w:tc>
        <w:tc>
          <w:tcPr>
            <w:tcW w:w="8036" w:type="dxa"/>
            <w:gridSpan w:val="8"/>
            <w:tcBorders>
              <w:top w:val="single" w:sz="4" w:space="0" w:color="BFBFBF"/>
              <w:left w:val="single" w:sz="4" w:space="0" w:color="BFBFBF"/>
              <w:bottom w:val="single" w:sz="4" w:space="0" w:color="BFBFBF"/>
              <w:right w:val="single" w:sz="4" w:space="0" w:color="BFBFBF" w:themeColor="background1" w:themeShade="BF"/>
            </w:tcBorders>
            <w:noWrap/>
            <w:vAlign w:val="center"/>
            <w:hideMark/>
          </w:tcPr>
          <w:p w:rsidR="00407F22" w:rsidRPr="00407F22" w:rsidRDefault="00407F22" w:rsidP="00407F22">
            <w:pPr>
              <w:spacing w:after="0" w:line="240" w:lineRule="auto"/>
              <w:jc w:val="center"/>
              <w:rPr>
                <w:rFonts w:ascii="Calibri" w:eastAsia="Times New Roman" w:hAnsi="Calibri" w:cs="Calibri"/>
                <w:b/>
                <w:color w:val="000000"/>
                <w:lang w:val="en-US"/>
              </w:rPr>
            </w:pPr>
            <w:proofErr w:type="spellStart"/>
            <w:r w:rsidRPr="00407F22">
              <w:rPr>
                <w:rFonts w:ascii="Calibri" w:eastAsia="Times New Roman" w:hAnsi="Calibri" w:cs="Calibri"/>
                <w:b/>
                <w:color w:val="000000"/>
                <w:lang w:val="en-US"/>
              </w:rPr>
              <w:t>Multiplicador</w:t>
            </w:r>
            <w:proofErr w:type="spellEnd"/>
            <w:r w:rsidRPr="00407F22">
              <w:rPr>
                <w:rFonts w:ascii="Calibri" w:eastAsia="Times New Roman" w:hAnsi="Calibri" w:cs="Calibri"/>
                <w:b/>
                <w:color w:val="000000"/>
                <w:lang w:val="en-US"/>
              </w:rPr>
              <w:t xml:space="preserve"> de Sigma (M)</w:t>
            </w:r>
          </w:p>
        </w:tc>
      </w:tr>
      <w:tr w:rsidR="00407F22" w:rsidRPr="00407F22" w:rsidTr="00407F22">
        <w:trPr>
          <w:trHeight w:val="430"/>
        </w:trPr>
        <w:tc>
          <w:tcPr>
            <w:tcW w:w="1394" w:type="dxa"/>
            <w:tcBorders>
              <w:top w:val="single" w:sz="4" w:space="0" w:color="BFBFBF"/>
              <w:left w:val="single" w:sz="4" w:space="0" w:color="BFBFBF"/>
              <w:bottom w:val="single" w:sz="4" w:space="0" w:color="BFBFBF"/>
              <w:right w:val="single" w:sz="4" w:space="0" w:color="BFBFBF"/>
            </w:tcBorders>
            <w:vAlign w:val="center"/>
            <w:hideMark/>
          </w:tcPr>
          <w:p w:rsidR="00407F22" w:rsidRPr="00407F22" w:rsidRDefault="00407F22" w:rsidP="00407F22">
            <w:pPr>
              <w:spacing w:after="0" w:line="240" w:lineRule="auto"/>
              <w:jc w:val="center"/>
              <w:rPr>
                <w:rFonts w:ascii="Calibri" w:eastAsia="Times New Roman" w:hAnsi="Calibri" w:cs="Calibri"/>
                <w:b/>
                <w:bCs/>
                <w:color w:val="000000"/>
                <w:sz w:val="20"/>
                <w:szCs w:val="24"/>
                <w:lang w:val="en-US"/>
              </w:rPr>
            </w:pPr>
            <w:r w:rsidRPr="00407F22">
              <w:rPr>
                <w:rFonts w:ascii="Calibri" w:eastAsia="Times New Roman" w:hAnsi="Calibri" w:cs="Calibri"/>
                <w:b/>
                <w:bCs/>
                <w:color w:val="000000"/>
                <w:sz w:val="20"/>
                <w:szCs w:val="24"/>
                <w:lang w:val="en-US"/>
              </w:rPr>
              <w:t xml:space="preserve"># </w:t>
            </w:r>
            <w:proofErr w:type="spellStart"/>
            <w:r w:rsidRPr="00407F22">
              <w:rPr>
                <w:rFonts w:ascii="Calibri" w:eastAsia="Times New Roman" w:hAnsi="Calibri" w:cs="Calibri"/>
                <w:b/>
                <w:bCs/>
                <w:color w:val="000000"/>
                <w:sz w:val="20"/>
                <w:szCs w:val="24"/>
                <w:lang w:val="en-US"/>
              </w:rPr>
              <w:t>Contratos</w:t>
            </w:r>
            <w:proofErr w:type="spellEnd"/>
            <w:r w:rsidRPr="00407F22">
              <w:rPr>
                <w:rFonts w:ascii="Calibri" w:eastAsia="Times New Roman" w:hAnsi="Calibri" w:cs="Calibri"/>
                <w:b/>
                <w:bCs/>
                <w:color w:val="000000"/>
                <w:sz w:val="20"/>
                <w:szCs w:val="24"/>
                <w:lang w:val="en-US"/>
              </w:rPr>
              <w:t xml:space="preserve"> (n)</w:t>
            </w:r>
          </w:p>
        </w:tc>
        <w:tc>
          <w:tcPr>
            <w:tcW w:w="1039" w:type="dxa"/>
            <w:tcBorders>
              <w:top w:val="single" w:sz="4" w:space="0" w:color="BFBFBF"/>
              <w:left w:val="single" w:sz="4" w:space="0" w:color="BFBFBF"/>
              <w:bottom w:val="single" w:sz="4" w:space="0" w:color="BFBFBF"/>
              <w:right w:val="single" w:sz="4" w:space="0" w:color="BFBFBF"/>
            </w:tcBorders>
            <w:noWrap/>
            <w:vAlign w:val="center"/>
            <w:hideMark/>
          </w:tcPr>
          <w:p w:rsidR="00407F22" w:rsidRPr="00407F22" w:rsidRDefault="00407F22" w:rsidP="00407F22">
            <w:pPr>
              <w:spacing w:after="0" w:line="240" w:lineRule="auto"/>
              <w:jc w:val="center"/>
              <w:rPr>
                <w:rFonts w:ascii="Calibri" w:eastAsia="Times New Roman" w:hAnsi="Calibri" w:cs="Calibri"/>
                <w:b/>
                <w:color w:val="000000"/>
                <w:sz w:val="20"/>
                <w:lang w:val="en-US"/>
              </w:rPr>
            </w:pPr>
            <w:r w:rsidRPr="00407F22">
              <w:rPr>
                <w:rFonts w:ascii="Calibri" w:eastAsia="Times New Roman" w:hAnsi="Calibri" w:cs="Calibri"/>
                <w:b/>
                <w:color w:val="000000"/>
                <w:sz w:val="20"/>
                <w:lang w:val="en-US"/>
              </w:rPr>
              <w:t>1,0</w:t>
            </w:r>
          </w:p>
        </w:tc>
        <w:tc>
          <w:tcPr>
            <w:tcW w:w="1039" w:type="dxa"/>
            <w:tcBorders>
              <w:top w:val="single" w:sz="4" w:space="0" w:color="BFBFBF"/>
              <w:left w:val="single" w:sz="4" w:space="0" w:color="BFBFBF"/>
              <w:bottom w:val="single" w:sz="4" w:space="0" w:color="BFBFBF"/>
              <w:right w:val="single" w:sz="4" w:space="0" w:color="BFBFBF"/>
            </w:tcBorders>
            <w:noWrap/>
            <w:vAlign w:val="center"/>
            <w:hideMark/>
          </w:tcPr>
          <w:p w:rsidR="00407F22" w:rsidRPr="00407F22" w:rsidRDefault="00407F22" w:rsidP="00407F22">
            <w:pPr>
              <w:spacing w:after="0" w:line="240" w:lineRule="auto"/>
              <w:jc w:val="center"/>
              <w:rPr>
                <w:rFonts w:ascii="Calibri" w:eastAsia="Times New Roman" w:hAnsi="Calibri" w:cs="Calibri"/>
                <w:b/>
                <w:color w:val="000000"/>
                <w:sz w:val="20"/>
                <w:lang w:val="en-US"/>
              </w:rPr>
            </w:pPr>
            <w:r w:rsidRPr="00407F22">
              <w:rPr>
                <w:rFonts w:ascii="Calibri" w:eastAsia="Times New Roman" w:hAnsi="Calibri" w:cs="Calibri"/>
                <w:b/>
                <w:color w:val="000000"/>
                <w:sz w:val="20"/>
                <w:lang w:val="en-US"/>
              </w:rPr>
              <w:t>1,5</w:t>
            </w:r>
          </w:p>
        </w:tc>
        <w:tc>
          <w:tcPr>
            <w:tcW w:w="1039" w:type="dxa"/>
            <w:tcBorders>
              <w:top w:val="single" w:sz="4" w:space="0" w:color="BFBFBF"/>
              <w:left w:val="single" w:sz="4" w:space="0" w:color="BFBFBF"/>
              <w:bottom w:val="single" w:sz="4" w:space="0" w:color="BFBFBF"/>
              <w:right w:val="single" w:sz="4" w:space="0" w:color="BFBFBF"/>
            </w:tcBorders>
            <w:noWrap/>
            <w:vAlign w:val="center"/>
            <w:hideMark/>
          </w:tcPr>
          <w:p w:rsidR="00407F22" w:rsidRPr="00407F22" w:rsidRDefault="00407F22" w:rsidP="00407F22">
            <w:pPr>
              <w:spacing w:after="0" w:line="240" w:lineRule="auto"/>
              <w:jc w:val="center"/>
              <w:rPr>
                <w:rFonts w:ascii="Calibri" w:eastAsia="Times New Roman" w:hAnsi="Calibri" w:cs="Calibri"/>
                <w:b/>
                <w:color w:val="000000"/>
                <w:sz w:val="20"/>
                <w:lang w:val="en-US"/>
              </w:rPr>
            </w:pPr>
            <w:r w:rsidRPr="00407F22">
              <w:rPr>
                <w:rFonts w:ascii="Calibri" w:eastAsia="Times New Roman" w:hAnsi="Calibri" w:cs="Calibri"/>
                <w:b/>
                <w:color w:val="000000"/>
                <w:sz w:val="20"/>
                <w:lang w:val="en-US"/>
              </w:rPr>
              <w:t>2,0</w:t>
            </w:r>
          </w:p>
        </w:tc>
        <w:tc>
          <w:tcPr>
            <w:tcW w:w="1039" w:type="dxa"/>
            <w:tcBorders>
              <w:top w:val="single" w:sz="4" w:space="0" w:color="BFBFBF"/>
              <w:left w:val="single" w:sz="4" w:space="0" w:color="BFBFBF"/>
              <w:bottom w:val="single" w:sz="4" w:space="0" w:color="BFBFBF"/>
              <w:right w:val="single" w:sz="4" w:space="0" w:color="BFBFBF"/>
            </w:tcBorders>
            <w:noWrap/>
            <w:vAlign w:val="center"/>
            <w:hideMark/>
          </w:tcPr>
          <w:p w:rsidR="00407F22" w:rsidRPr="00407F22" w:rsidRDefault="00407F22" w:rsidP="00407F22">
            <w:pPr>
              <w:spacing w:after="0" w:line="240" w:lineRule="auto"/>
              <w:jc w:val="center"/>
              <w:rPr>
                <w:rFonts w:ascii="Calibri" w:eastAsia="Times New Roman" w:hAnsi="Calibri" w:cs="Calibri"/>
                <w:b/>
                <w:color w:val="000000"/>
                <w:sz w:val="20"/>
                <w:lang w:val="en-US"/>
              </w:rPr>
            </w:pPr>
            <w:r w:rsidRPr="00407F22">
              <w:rPr>
                <w:rFonts w:ascii="Calibri" w:eastAsia="Times New Roman" w:hAnsi="Calibri" w:cs="Calibri"/>
                <w:b/>
                <w:color w:val="000000"/>
                <w:sz w:val="20"/>
                <w:lang w:val="en-US"/>
              </w:rPr>
              <w:t>2,5</w:t>
            </w:r>
          </w:p>
        </w:tc>
        <w:tc>
          <w:tcPr>
            <w:tcW w:w="1039" w:type="dxa"/>
            <w:tcBorders>
              <w:top w:val="single" w:sz="4" w:space="0" w:color="BFBFBF"/>
              <w:left w:val="single" w:sz="4" w:space="0" w:color="BFBFBF"/>
              <w:bottom w:val="single" w:sz="4" w:space="0" w:color="BFBFBF"/>
              <w:right w:val="single" w:sz="4" w:space="0" w:color="BFBFBF"/>
            </w:tcBorders>
            <w:noWrap/>
            <w:vAlign w:val="center"/>
            <w:hideMark/>
          </w:tcPr>
          <w:p w:rsidR="00407F22" w:rsidRPr="00407F22" w:rsidRDefault="00407F22" w:rsidP="00407F22">
            <w:pPr>
              <w:spacing w:after="0" w:line="240" w:lineRule="auto"/>
              <w:jc w:val="center"/>
              <w:rPr>
                <w:rFonts w:ascii="Calibri" w:eastAsia="Times New Roman" w:hAnsi="Calibri" w:cs="Calibri"/>
                <w:b/>
                <w:color w:val="000000"/>
                <w:sz w:val="20"/>
                <w:lang w:val="en-US"/>
              </w:rPr>
            </w:pPr>
            <w:r w:rsidRPr="00407F22">
              <w:rPr>
                <w:rFonts w:ascii="Calibri" w:eastAsia="Times New Roman" w:hAnsi="Calibri" w:cs="Calibri"/>
                <w:b/>
                <w:color w:val="000000"/>
                <w:sz w:val="20"/>
                <w:lang w:val="en-US"/>
              </w:rPr>
              <w:t>3,0</w:t>
            </w:r>
          </w:p>
        </w:tc>
        <w:tc>
          <w:tcPr>
            <w:tcW w:w="1039" w:type="dxa"/>
            <w:tcBorders>
              <w:top w:val="single" w:sz="4" w:space="0" w:color="BFBFBF"/>
              <w:left w:val="single" w:sz="4" w:space="0" w:color="BFBFBF"/>
              <w:bottom w:val="single" w:sz="4" w:space="0" w:color="BFBFBF"/>
              <w:right w:val="single" w:sz="4" w:space="0" w:color="BFBFBF"/>
            </w:tcBorders>
            <w:noWrap/>
            <w:vAlign w:val="center"/>
            <w:hideMark/>
          </w:tcPr>
          <w:p w:rsidR="00407F22" w:rsidRPr="00407F22" w:rsidRDefault="00407F22" w:rsidP="00407F22">
            <w:pPr>
              <w:spacing w:after="0" w:line="240" w:lineRule="auto"/>
              <w:jc w:val="center"/>
              <w:rPr>
                <w:rFonts w:ascii="Calibri" w:eastAsia="Times New Roman" w:hAnsi="Calibri" w:cs="Calibri"/>
                <w:b/>
                <w:color w:val="000000"/>
                <w:sz w:val="20"/>
                <w:lang w:val="en-US"/>
              </w:rPr>
            </w:pPr>
            <w:r w:rsidRPr="00407F22">
              <w:rPr>
                <w:rFonts w:ascii="Calibri" w:eastAsia="Times New Roman" w:hAnsi="Calibri" w:cs="Calibri"/>
                <w:b/>
                <w:color w:val="000000"/>
                <w:sz w:val="20"/>
                <w:lang w:val="en-US"/>
              </w:rPr>
              <w:t>3,5</w:t>
            </w:r>
          </w:p>
        </w:tc>
        <w:tc>
          <w:tcPr>
            <w:tcW w:w="899" w:type="dxa"/>
            <w:tcBorders>
              <w:top w:val="single" w:sz="4" w:space="0" w:color="BFBFBF"/>
              <w:left w:val="single" w:sz="4" w:space="0" w:color="BFBFBF"/>
              <w:bottom w:val="single" w:sz="4" w:space="0" w:color="BFBFBF"/>
              <w:right w:val="single" w:sz="4" w:space="0" w:color="BFBFBF"/>
            </w:tcBorders>
            <w:noWrap/>
            <w:vAlign w:val="center"/>
            <w:hideMark/>
          </w:tcPr>
          <w:p w:rsidR="00407F22" w:rsidRPr="00407F22" w:rsidRDefault="00407F22" w:rsidP="00407F22">
            <w:pPr>
              <w:spacing w:after="0" w:line="240" w:lineRule="auto"/>
              <w:jc w:val="center"/>
              <w:rPr>
                <w:rFonts w:ascii="Calibri" w:eastAsia="Times New Roman" w:hAnsi="Calibri" w:cs="Calibri"/>
                <w:b/>
                <w:color w:val="000000"/>
                <w:sz w:val="20"/>
                <w:lang w:val="en-US"/>
              </w:rPr>
            </w:pPr>
            <w:r w:rsidRPr="00407F22">
              <w:rPr>
                <w:rFonts w:ascii="Calibri" w:eastAsia="Times New Roman" w:hAnsi="Calibri" w:cs="Calibri"/>
                <w:b/>
                <w:color w:val="000000"/>
                <w:sz w:val="20"/>
                <w:lang w:val="en-US"/>
              </w:rPr>
              <w:t>4,5</w:t>
            </w:r>
          </w:p>
        </w:tc>
        <w:tc>
          <w:tcPr>
            <w:tcW w:w="903" w:type="dxa"/>
            <w:tcBorders>
              <w:top w:val="single" w:sz="4" w:space="0" w:color="BFBFBF"/>
              <w:left w:val="single" w:sz="4" w:space="0" w:color="BFBFBF"/>
              <w:bottom w:val="single" w:sz="4" w:space="0" w:color="BFBFBF"/>
              <w:right w:val="single" w:sz="4" w:space="0" w:color="BFBFBF"/>
            </w:tcBorders>
            <w:noWrap/>
            <w:vAlign w:val="center"/>
            <w:hideMark/>
          </w:tcPr>
          <w:p w:rsidR="00407F22" w:rsidRPr="00407F22" w:rsidRDefault="00407F22" w:rsidP="00407F22">
            <w:pPr>
              <w:spacing w:after="0" w:line="240" w:lineRule="auto"/>
              <w:jc w:val="center"/>
              <w:rPr>
                <w:rFonts w:ascii="Calibri" w:eastAsia="Times New Roman" w:hAnsi="Calibri" w:cs="Calibri"/>
                <w:b/>
                <w:color w:val="000000"/>
                <w:sz w:val="20"/>
                <w:lang w:val="en-US"/>
              </w:rPr>
            </w:pPr>
            <w:r w:rsidRPr="00407F22">
              <w:rPr>
                <w:rFonts w:ascii="Calibri" w:eastAsia="Times New Roman" w:hAnsi="Calibri" w:cs="Calibri"/>
                <w:b/>
                <w:color w:val="000000"/>
                <w:sz w:val="20"/>
                <w:lang w:val="en-US"/>
              </w:rPr>
              <w:t>5,0</w:t>
            </w:r>
          </w:p>
        </w:tc>
      </w:tr>
      <w:tr w:rsidR="00C402EB" w:rsidRPr="00407F22" w:rsidTr="00407F22">
        <w:trPr>
          <w:trHeight w:val="145"/>
        </w:trPr>
        <w:tc>
          <w:tcPr>
            <w:tcW w:w="1394" w:type="dxa"/>
            <w:tcBorders>
              <w:top w:val="single" w:sz="4" w:space="0" w:color="BFBFBF"/>
              <w:left w:val="single" w:sz="4" w:space="0" w:color="BFBFBF"/>
              <w:bottom w:val="single" w:sz="4" w:space="0" w:color="BFBFBF"/>
              <w:right w:val="single" w:sz="4" w:space="0" w:color="BFBFBF"/>
            </w:tcBorders>
            <w:noWrap/>
            <w:vAlign w:val="center"/>
            <w:hideMark/>
          </w:tcPr>
          <w:p w:rsidR="00C402EB" w:rsidRPr="00407F22" w:rsidRDefault="00C402EB" w:rsidP="00C402EB">
            <w:pPr>
              <w:spacing w:after="0" w:line="240" w:lineRule="auto"/>
              <w:jc w:val="center"/>
              <w:rPr>
                <w:rFonts w:ascii="Calibri" w:eastAsia="Times New Roman" w:hAnsi="Calibri" w:cs="Calibri"/>
                <w:b/>
                <w:bCs/>
                <w:color w:val="000000"/>
                <w:sz w:val="20"/>
                <w:szCs w:val="24"/>
                <w:lang w:val="en-US"/>
              </w:rPr>
            </w:pPr>
            <w:r w:rsidRPr="00407F22">
              <w:rPr>
                <w:rFonts w:ascii="Calibri" w:eastAsia="Times New Roman" w:hAnsi="Calibri" w:cs="Calibri"/>
                <w:b/>
                <w:bCs/>
                <w:color w:val="000000"/>
                <w:sz w:val="20"/>
                <w:szCs w:val="24"/>
                <w:lang w:val="en-US"/>
              </w:rPr>
              <w:t>1</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-$31.594</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-$24.748</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-$14.732</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-$11.411</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-$7.629</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-$7.361</w:t>
            </w:r>
          </w:p>
        </w:tc>
        <w:tc>
          <w:tcPr>
            <w:tcW w:w="89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-$2.289</w:t>
            </w:r>
          </w:p>
        </w:tc>
        <w:tc>
          <w:tcPr>
            <w:tcW w:w="903"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-$2.847</w:t>
            </w:r>
          </w:p>
        </w:tc>
      </w:tr>
      <w:tr w:rsidR="00C402EB" w:rsidRPr="00407F22" w:rsidTr="00407F22">
        <w:trPr>
          <w:trHeight w:val="145"/>
        </w:trPr>
        <w:tc>
          <w:tcPr>
            <w:tcW w:w="1394" w:type="dxa"/>
            <w:tcBorders>
              <w:top w:val="single" w:sz="4" w:space="0" w:color="BFBFBF"/>
              <w:left w:val="single" w:sz="4" w:space="0" w:color="BFBFBF"/>
              <w:bottom w:val="single" w:sz="4" w:space="0" w:color="BFBFBF"/>
              <w:right w:val="single" w:sz="4" w:space="0" w:color="BFBFBF"/>
            </w:tcBorders>
            <w:noWrap/>
            <w:vAlign w:val="center"/>
            <w:hideMark/>
          </w:tcPr>
          <w:p w:rsidR="00C402EB" w:rsidRPr="00407F22" w:rsidRDefault="00C402EB" w:rsidP="00C402EB">
            <w:pPr>
              <w:spacing w:after="0" w:line="240" w:lineRule="auto"/>
              <w:jc w:val="center"/>
              <w:rPr>
                <w:rFonts w:ascii="Calibri" w:eastAsia="Times New Roman" w:hAnsi="Calibri" w:cs="Calibri"/>
                <w:b/>
                <w:bCs/>
                <w:color w:val="000000"/>
                <w:sz w:val="20"/>
                <w:szCs w:val="24"/>
                <w:lang w:val="en-US"/>
              </w:rPr>
            </w:pPr>
            <w:r w:rsidRPr="00407F22">
              <w:rPr>
                <w:rFonts w:ascii="Calibri" w:eastAsia="Times New Roman" w:hAnsi="Calibri" w:cs="Calibri"/>
                <w:b/>
                <w:bCs/>
                <w:color w:val="000000"/>
                <w:sz w:val="20"/>
                <w:szCs w:val="24"/>
                <w:lang w:val="en-US"/>
              </w:rPr>
              <w:t>2</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-$62.765</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-$49.185</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-$29.258</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-$22.652</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-$15.142</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-$14.627</w:t>
            </w:r>
          </w:p>
        </w:tc>
        <w:tc>
          <w:tcPr>
            <w:tcW w:w="89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-$4.541</w:t>
            </w:r>
          </w:p>
        </w:tc>
        <w:tc>
          <w:tcPr>
            <w:tcW w:w="903"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-$5.663</w:t>
            </w:r>
          </w:p>
        </w:tc>
      </w:tr>
      <w:tr w:rsidR="00C402EB" w:rsidRPr="00407F22" w:rsidTr="00407F22">
        <w:trPr>
          <w:trHeight w:val="145"/>
        </w:trPr>
        <w:tc>
          <w:tcPr>
            <w:tcW w:w="1394" w:type="dxa"/>
            <w:tcBorders>
              <w:top w:val="single" w:sz="4" w:space="0" w:color="BFBFBF"/>
              <w:left w:val="single" w:sz="4" w:space="0" w:color="BFBFBF"/>
              <w:bottom w:val="single" w:sz="4" w:space="0" w:color="BFBFBF"/>
              <w:right w:val="single" w:sz="4" w:space="0" w:color="BFBFBF"/>
            </w:tcBorders>
            <w:noWrap/>
            <w:vAlign w:val="center"/>
            <w:hideMark/>
          </w:tcPr>
          <w:p w:rsidR="00C402EB" w:rsidRPr="00407F22" w:rsidRDefault="00C402EB" w:rsidP="00C402EB">
            <w:pPr>
              <w:spacing w:after="0" w:line="240" w:lineRule="auto"/>
              <w:jc w:val="center"/>
              <w:rPr>
                <w:rFonts w:ascii="Calibri" w:eastAsia="Times New Roman" w:hAnsi="Calibri" w:cs="Calibri"/>
                <w:b/>
                <w:bCs/>
                <w:color w:val="000000"/>
                <w:sz w:val="20"/>
                <w:szCs w:val="24"/>
                <w:lang w:val="en-US"/>
              </w:rPr>
            </w:pPr>
            <w:r w:rsidRPr="00407F22">
              <w:rPr>
                <w:rFonts w:ascii="Calibri" w:eastAsia="Times New Roman" w:hAnsi="Calibri" w:cs="Calibri"/>
                <w:b/>
                <w:bCs/>
                <w:color w:val="000000"/>
                <w:sz w:val="20"/>
                <w:szCs w:val="24"/>
                <w:lang w:val="en-US"/>
              </w:rPr>
              <w:t>5</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-$156.278</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-$122.496</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-$72.835</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-$56.377</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-$37.681</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-$36.425</w:t>
            </w:r>
          </w:p>
        </w:tc>
        <w:tc>
          <w:tcPr>
            <w:tcW w:w="89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-$11.298</w:t>
            </w:r>
          </w:p>
        </w:tc>
        <w:tc>
          <w:tcPr>
            <w:tcW w:w="903"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-$14.109</w:t>
            </w:r>
          </w:p>
        </w:tc>
      </w:tr>
      <w:tr w:rsidR="00C402EB" w:rsidRPr="00407F22" w:rsidTr="00407F22">
        <w:trPr>
          <w:trHeight w:val="145"/>
        </w:trPr>
        <w:tc>
          <w:tcPr>
            <w:tcW w:w="1394" w:type="dxa"/>
            <w:tcBorders>
              <w:top w:val="single" w:sz="4" w:space="0" w:color="BFBFBF"/>
              <w:left w:val="single" w:sz="4" w:space="0" w:color="BFBFBF"/>
              <w:bottom w:val="single" w:sz="4" w:space="0" w:color="BFBFBF"/>
              <w:right w:val="single" w:sz="4" w:space="0" w:color="BFBFBF"/>
            </w:tcBorders>
            <w:noWrap/>
            <w:vAlign w:val="center"/>
            <w:hideMark/>
          </w:tcPr>
          <w:p w:rsidR="00C402EB" w:rsidRPr="00407F22" w:rsidRDefault="00C402EB" w:rsidP="00C402EB">
            <w:pPr>
              <w:spacing w:after="0" w:line="240" w:lineRule="auto"/>
              <w:jc w:val="center"/>
              <w:rPr>
                <w:rFonts w:ascii="Calibri" w:eastAsia="Times New Roman" w:hAnsi="Calibri" w:cs="Calibri"/>
                <w:b/>
                <w:bCs/>
                <w:color w:val="000000"/>
                <w:sz w:val="20"/>
                <w:szCs w:val="24"/>
                <w:lang w:val="en-US"/>
              </w:rPr>
            </w:pPr>
            <w:r w:rsidRPr="00407F22">
              <w:rPr>
                <w:rFonts w:ascii="Calibri" w:eastAsia="Times New Roman" w:hAnsi="Calibri" w:cs="Calibri"/>
                <w:b/>
                <w:bCs/>
                <w:color w:val="000000"/>
                <w:sz w:val="20"/>
                <w:szCs w:val="24"/>
                <w:lang w:val="en-US"/>
              </w:rPr>
              <w:t>10</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-$312.134</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-$244.680</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-$145.464</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-$112.584</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-$75.246</w:t>
            </w:r>
          </w:p>
        </w:tc>
        <w:tc>
          <w:tcPr>
            <w:tcW w:w="103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-$72.756</w:t>
            </w:r>
          </w:p>
        </w:tc>
        <w:tc>
          <w:tcPr>
            <w:tcW w:w="899"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-$22.559</w:t>
            </w:r>
          </w:p>
        </w:tc>
        <w:tc>
          <w:tcPr>
            <w:tcW w:w="903" w:type="dxa"/>
            <w:tcBorders>
              <w:top w:val="single" w:sz="4" w:space="0" w:color="BFBFBF"/>
              <w:left w:val="single" w:sz="4" w:space="0" w:color="BFBFBF"/>
              <w:bottom w:val="single" w:sz="4" w:space="0" w:color="BFBFBF"/>
              <w:right w:val="single" w:sz="4" w:space="0" w:color="BFBFBF"/>
            </w:tcBorders>
            <w:noWrap/>
            <w:hideMark/>
          </w:tcPr>
          <w:p w:rsidR="00C402EB" w:rsidRPr="00C402EB" w:rsidRDefault="00C402EB" w:rsidP="00C402EB">
            <w:pPr>
              <w:rPr>
                <w:sz w:val="18"/>
              </w:rPr>
            </w:pPr>
            <w:r w:rsidRPr="00C402EB">
              <w:rPr>
                <w:sz w:val="18"/>
              </w:rPr>
              <w:t>-$28.186</w:t>
            </w:r>
          </w:p>
        </w:tc>
      </w:tr>
      <w:tr w:rsidR="00407F22" w:rsidRPr="00407F22" w:rsidTr="00407F22">
        <w:trPr>
          <w:trHeight w:val="132"/>
        </w:trPr>
        <w:tc>
          <w:tcPr>
            <w:tcW w:w="1394" w:type="dxa"/>
            <w:tcBorders>
              <w:top w:val="nil"/>
              <w:left w:val="nil"/>
              <w:bottom w:val="nil"/>
              <w:right w:val="nil"/>
            </w:tcBorders>
            <w:noWrap/>
            <w:vAlign w:val="center"/>
            <w:hideMark/>
          </w:tcPr>
          <w:p w:rsidR="00407F22" w:rsidRPr="00407F22" w:rsidRDefault="00407F22" w:rsidP="00407F22">
            <w:pPr>
              <w:spacing w:after="0" w:line="240" w:lineRule="auto"/>
              <w:jc w:val="center"/>
              <w:rPr>
                <w:rFonts w:ascii="Calibri" w:eastAsia="Times New Roman" w:hAnsi="Calibri" w:cs="Calibri"/>
                <w:color w:val="000000"/>
                <w:sz w:val="20"/>
                <w:lang w:val="en-US"/>
              </w:rPr>
            </w:pPr>
          </w:p>
        </w:tc>
        <w:tc>
          <w:tcPr>
            <w:tcW w:w="1039" w:type="dxa"/>
            <w:tcBorders>
              <w:top w:val="nil"/>
              <w:left w:val="nil"/>
              <w:bottom w:val="nil"/>
              <w:right w:val="nil"/>
            </w:tcBorders>
            <w:noWrap/>
            <w:vAlign w:val="center"/>
            <w:hideMark/>
          </w:tcPr>
          <w:p w:rsidR="00407F22" w:rsidRPr="00407F22" w:rsidRDefault="00407F22" w:rsidP="00407F22">
            <w:pPr>
              <w:spacing w:after="0" w:line="240" w:lineRule="auto"/>
              <w:jc w:val="center"/>
              <w:rPr>
                <w:rFonts w:ascii="Times New Roman" w:eastAsia="Times New Roman" w:hAnsi="Times New Roman" w:cs="Times New Roman"/>
                <w:sz w:val="20"/>
                <w:szCs w:val="20"/>
                <w:lang w:val="en-US"/>
              </w:rPr>
            </w:pPr>
          </w:p>
        </w:tc>
        <w:tc>
          <w:tcPr>
            <w:tcW w:w="1039" w:type="dxa"/>
            <w:tcBorders>
              <w:top w:val="nil"/>
              <w:left w:val="nil"/>
              <w:bottom w:val="nil"/>
              <w:right w:val="nil"/>
            </w:tcBorders>
            <w:noWrap/>
            <w:vAlign w:val="center"/>
            <w:hideMark/>
          </w:tcPr>
          <w:p w:rsidR="00407F22" w:rsidRPr="00407F22" w:rsidRDefault="00407F22" w:rsidP="00407F22">
            <w:pPr>
              <w:spacing w:after="0" w:line="240" w:lineRule="auto"/>
              <w:jc w:val="center"/>
              <w:rPr>
                <w:rFonts w:ascii="Times New Roman" w:eastAsia="Times New Roman" w:hAnsi="Times New Roman" w:cs="Times New Roman"/>
                <w:sz w:val="20"/>
                <w:szCs w:val="20"/>
                <w:lang w:val="en-US"/>
              </w:rPr>
            </w:pPr>
          </w:p>
        </w:tc>
        <w:tc>
          <w:tcPr>
            <w:tcW w:w="1039" w:type="dxa"/>
            <w:tcBorders>
              <w:top w:val="nil"/>
              <w:left w:val="nil"/>
              <w:bottom w:val="nil"/>
              <w:right w:val="nil"/>
            </w:tcBorders>
            <w:noWrap/>
            <w:vAlign w:val="center"/>
            <w:hideMark/>
          </w:tcPr>
          <w:p w:rsidR="00407F22" w:rsidRPr="00407F22" w:rsidRDefault="00407F22" w:rsidP="00407F22">
            <w:pPr>
              <w:spacing w:after="0" w:line="240" w:lineRule="auto"/>
              <w:jc w:val="center"/>
              <w:rPr>
                <w:rFonts w:ascii="Times New Roman" w:eastAsia="Times New Roman" w:hAnsi="Times New Roman" w:cs="Times New Roman"/>
                <w:sz w:val="20"/>
                <w:szCs w:val="20"/>
                <w:lang w:val="en-US"/>
              </w:rPr>
            </w:pPr>
          </w:p>
        </w:tc>
        <w:tc>
          <w:tcPr>
            <w:tcW w:w="1039" w:type="dxa"/>
            <w:tcBorders>
              <w:top w:val="nil"/>
              <w:left w:val="nil"/>
              <w:bottom w:val="nil"/>
              <w:right w:val="nil"/>
            </w:tcBorders>
            <w:noWrap/>
            <w:vAlign w:val="center"/>
            <w:hideMark/>
          </w:tcPr>
          <w:p w:rsidR="00407F22" w:rsidRPr="00407F22" w:rsidRDefault="00407F22" w:rsidP="00407F22">
            <w:pPr>
              <w:spacing w:after="0" w:line="240" w:lineRule="auto"/>
              <w:jc w:val="center"/>
              <w:rPr>
                <w:rFonts w:ascii="Times New Roman" w:eastAsia="Times New Roman" w:hAnsi="Times New Roman" w:cs="Times New Roman"/>
                <w:sz w:val="20"/>
                <w:szCs w:val="20"/>
                <w:lang w:val="en-US"/>
              </w:rPr>
            </w:pPr>
          </w:p>
        </w:tc>
        <w:tc>
          <w:tcPr>
            <w:tcW w:w="1039" w:type="dxa"/>
            <w:tcBorders>
              <w:top w:val="nil"/>
              <w:left w:val="nil"/>
              <w:bottom w:val="nil"/>
              <w:right w:val="nil"/>
            </w:tcBorders>
            <w:noWrap/>
            <w:vAlign w:val="center"/>
            <w:hideMark/>
          </w:tcPr>
          <w:p w:rsidR="00407F22" w:rsidRPr="00407F22" w:rsidRDefault="00407F22" w:rsidP="00407F22">
            <w:pPr>
              <w:spacing w:after="0" w:line="240" w:lineRule="auto"/>
              <w:jc w:val="center"/>
              <w:rPr>
                <w:rFonts w:ascii="Times New Roman" w:eastAsia="Times New Roman" w:hAnsi="Times New Roman" w:cs="Times New Roman"/>
                <w:sz w:val="20"/>
                <w:szCs w:val="20"/>
                <w:lang w:val="en-US"/>
              </w:rPr>
            </w:pPr>
          </w:p>
        </w:tc>
        <w:tc>
          <w:tcPr>
            <w:tcW w:w="1039" w:type="dxa"/>
            <w:tcBorders>
              <w:top w:val="nil"/>
              <w:left w:val="nil"/>
              <w:bottom w:val="nil"/>
              <w:right w:val="nil"/>
            </w:tcBorders>
            <w:noWrap/>
            <w:vAlign w:val="center"/>
            <w:hideMark/>
          </w:tcPr>
          <w:p w:rsidR="00407F22" w:rsidRPr="00407F22" w:rsidRDefault="00407F22" w:rsidP="00407F22">
            <w:pPr>
              <w:spacing w:after="0" w:line="240" w:lineRule="auto"/>
              <w:jc w:val="center"/>
              <w:rPr>
                <w:rFonts w:ascii="Times New Roman" w:eastAsia="Times New Roman" w:hAnsi="Times New Roman" w:cs="Times New Roman"/>
                <w:sz w:val="20"/>
                <w:szCs w:val="20"/>
                <w:lang w:val="en-US"/>
              </w:rPr>
            </w:pPr>
          </w:p>
        </w:tc>
        <w:tc>
          <w:tcPr>
            <w:tcW w:w="899" w:type="dxa"/>
            <w:tcBorders>
              <w:top w:val="nil"/>
              <w:left w:val="nil"/>
              <w:bottom w:val="nil"/>
              <w:right w:val="nil"/>
            </w:tcBorders>
            <w:noWrap/>
            <w:vAlign w:val="center"/>
            <w:hideMark/>
          </w:tcPr>
          <w:p w:rsidR="00407F22" w:rsidRPr="00407F22" w:rsidRDefault="00407F22" w:rsidP="00407F22">
            <w:pPr>
              <w:spacing w:after="0" w:line="240" w:lineRule="auto"/>
              <w:jc w:val="center"/>
              <w:rPr>
                <w:rFonts w:ascii="Times New Roman" w:eastAsia="Times New Roman" w:hAnsi="Times New Roman" w:cs="Times New Roman"/>
                <w:sz w:val="20"/>
                <w:szCs w:val="20"/>
                <w:lang w:val="en-US"/>
              </w:rPr>
            </w:pPr>
          </w:p>
        </w:tc>
        <w:tc>
          <w:tcPr>
            <w:tcW w:w="903" w:type="dxa"/>
            <w:tcBorders>
              <w:top w:val="nil"/>
              <w:left w:val="nil"/>
              <w:bottom w:val="nil"/>
              <w:right w:val="nil"/>
            </w:tcBorders>
            <w:noWrap/>
            <w:vAlign w:val="center"/>
            <w:hideMark/>
          </w:tcPr>
          <w:p w:rsidR="00407F22" w:rsidRPr="00407F22" w:rsidRDefault="00407F22" w:rsidP="00407F22">
            <w:pPr>
              <w:spacing w:after="0" w:line="240" w:lineRule="auto"/>
              <w:jc w:val="center"/>
              <w:rPr>
                <w:rFonts w:ascii="Times New Roman" w:eastAsia="Times New Roman" w:hAnsi="Times New Roman" w:cs="Times New Roman"/>
                <w:sz w:val="20"/>
                <w:szCs w:val="20"/>
                <w:lang w:val="en-US"/>
              </w:rPr>
            </w:pPr>
          </w:p>
        </w:tc>
      </w:tr>
      <w:tr w:rsidR="00407F22" w:rsidRPr="00407F22" w:rsidTr="00407F22">
        <w:trPr>
          <w:trHeight w:val="284"/>
        </w:trPr>
        <w:tc>
          <w:tcPr>
            <w:tcW w:w="1394" w:type="dxa"/>
            <w:tcBorders>
              <w:top w:val="single" w:sz="4" w:space="0" w:color="BFBFBF"/>
              <w:left w:val="single" w:sz="4" w:space="0" w:color="BFBFBF"/>
              <w:bottom w:val="single" w:sz="4" w:space="0" w:color="BFBFBF"/>
              <w:right w:val="nil"/>
            </w:tcBorders>
            <w:vAlign w:val="center"/>
            <w:hideMark/>
          </w:tcPr>
          <w:p w:rsidR="00407F22" w:rsidRPr="00407F22" w:rsidRDefault="00407F22" w:rsidP="00407F22">
            <w:pPr>
              <w:spacing w:after="0" w:line="240" w:lineRule="auto"/>
              <w:jc w:val="center"/>
              <w:rPr>
                <w:rFonts w:ascii="Calibri" w:eastAsia="Times New Roman" w:hAnsi="Calibri" w:cs="Calibri"/>
                <w:b/>
                <w:bCs/>
                <w:color w:val="000000"/>
                <w:sz w:val="20"/>
                <w:szCs w:val="24"/>
                <w:lang w:val="en-US"/>
              </w:rPr>
            </w:pPr>
            <w:r w:rsidRPr="00407F22">
              <w:rPr>
                <w:rFonts w:ascii="Calibri" w:eastAsia="Times New Roman" w:hAnsi="Calibri" w:cs="Calibri"/>
                <w:b/>
                <w:bCs/>
                <w:color w:val="000000"/>
                <w:sz w:val="20"/>
                <w:szCs w:val="24"/>
                <w:lang w:val="en-US"/>
              </w:rPr>
              <w:t xml:space="preserve"># </w:t>
            </w:r>
            <w:proofErr w:type="spellStart"/>
            <w:r w:rsidRPr="00407F22">
              <w:rPr>
                <w:rFonts w:ascii="Calibri" w:eastAsia="Times New Roman" w:hAnsi="Calibri" w:cs="Calibri"/>
                <w:b/>
                <w:bCs/>
                <w:color w:val="000000"/>
                <w:sz w:val="20"/>
                <w:szCs w:val="24"/>
                <w:lang w:val="en-US"/>
              </w:rPr>
              <w:t>Operaciones</w:t>
            </w:r>
            <w:proofErr w:type="spellEnd"/>
          </w:p>
        </w:tc>
        <w:tc>
          <w:tcPr>
            <w:tcW w:w="1039" w:type="dxa"/>
            <w:tcBorders>
              <w:top w:val="single" w:sz="4" w:space="0" w:color="BFBFBF"/>
              <w:left w:val="single" w:sz="4" w:space="0" w:color="BFBFBF"/>
              <w:bottom w:val="single" w:sz="4" w:space="0" w:color="BFBFBF"/>
              <w:right w:val="single" w:sz="4" w:space="0" w:color="BFBFBF"/>
            </w:tcBorders>
            <w:noWrap/>
            <w:vAlign w:val="center"/>
            <w:hideMark/>
          </w:tcPr>
          <w:p w:rsidR="00407F22" w:rsidRPr="00407F22" w:rsidRDefault="00407F22" w:rsidP="00407F22">
            <w:pPr>
              <w:spacing w:after="0" w:line="240" w:lineRule="auto"/>
              <w:jc w:val="center"/>
              <w:rPr>
                <w:rFonts w:ascii="Calibri" w:eastAsia="Times New Roman" w:hAnsi="Calibri" w:cs="Calibri"/>
                <w:color w:val="000000"/>
                <w:sz w:val="18"/>
                <w:lang w:val="en-US"/>
              </w:rPr>
            </w:pPr>
            <w:r w:rsidRPr="00407F22">
              <w:rPr>
                <w:rFonts w:ascii="Calibri" w:eastAsia="Times New Roman" w:hAnsi="Calibri" w:cs="Calibri"/>
                <w:color w:val="000000"/>
                <w:sz w:val="18"/>
                <w:lang w:val="en-US"/>
              </w:rPr>
              <w:t>79</w:t>
            </w:r>
          </w:p>
        </w:tc>
        <w:tc>
          <w:tcPr>
            <w:tcW w:w="1039" w:type="dxa"/>
            <w:tcBorders>
              <w:top w:val="single" w:sz="4" w:space="0" w:color="BFBFBF"/>
              <w:left w:val="single" w:sz="4" w:space="0" w:color="BFBFBF"/>
              <w:bottom w:val="single" w:sz="4" w:space="0" w:color="BFBFBF"/>
              <w:right w:val="single" w:sz="4" w:space="0" w:color="BFBFBF"/>
            </w:tcBorders>
            <w:noWrap/>
            <w:vAlign w:val="center"/>
            <w:hideMark/>
          </w:tcPr>
          <w:p w:rsidR="00407F22" w:rsidRPr="00407F22" w:rsidRDefault="00407F22" w:rsidP="00407F22">
            <w:pPr>
              <w:spacing w:after="0" w:line="240" w:lineRule="auto"/>
              <w:jc w:val="center"/>
              <w:rPr>
                <w:rFonts w:ascii="Calibri" w:eastAsia="Times New Roman" w:hAnsi="Calibri" w:cs="Calibri"/>
                <w:color w:val="000000"/>
                <w:sz w:val="18"/>
                <w:lang w:val="en-US"/>
              </w:rPr>
            </w:pPr>
            <w:r w:rsidRPr="00407F22">
              <w:rPr>
                <w:rFonts w:ascii="Calibri" w:eastAsia="Times New Roman" w:hAnsi="Calibri" w:cs="Calibri"/>
                <w:color w:val="000000"/>
                <w:sz w:val="18"/>
                <w:lang w:val="en-US"/>
              </w:rPr>
              <w:t>58</w:t>
            </w:r>
          </w:p>
        </w:tc>
        <w:tc>
          <w:tcPr>
            <w:tcW w:w="1039" w:type="dxa"/>
            <w:tcBorders>
              <w:top w:val="single" w:sz="4" w:space="0" w:color="BFBFBF"/>
              <w:left w:val="single" w:sz="4" w:space="0" w:color="BFBFBF"/>
              <w:bottom w:val="single" w:sz="4" w:space="0" w:color="BFBFBF"/>
              <w:right w:val="single" w:sz="4" w:space="0" w:color="BFBFBF"/>
            </w:tcBorders>
            <w:noWrap/>
            <w:vAlign w:val="center"/>
            <w:hideMark/>
          </w:tcPr>
          <w:p w:rsidR="00407F22" w:rsidRPr="00407F22" w:rsidRDefault="00407F22" w:rsidP="00407F22">
            <w:pPr>
              <w:spacing w:after="0" w:line="240" w:lineRule="auto"/>
              <w:jc w:val="center"/>
              <w:rPr>
                <w:rFonts w:ascii="Calibri" w:eastAsia="Times New Roman" w:hAnsi="Calibri" w:cs="Calibri"/>
                <w:color w:val="000000"/>
                <w:sz w:val="18"/>
                <w:lang w:val="en-US"/>
              </w:rPr>
            </w:pPr>
            <w:r w:rsidRPr="00407F22">
              <w:rPr>
                <w:rFonts w:ascii="Calibri" w:eastAsia="Times New Roman" w:hAnsi="Calibri" w:cs="Calibri"/>
                <w:color w:val="000000"/>
                <w:sz w:val="18"/>
                <w:lang w:val="en-US"/>
              </w:rPr>
              <w:t>38</w:t>
            </w:r>
          </w:p>
        </w:tc>
        <w:tc>
          <w:tcPr>
            <w:tcW w:w="1039" w:type="dxa"/>
            <w:tcBorders>
              <w:top w:val="single" w:sz="4" w:space="0" w:color="BFBFBF"/>
              <w:left w:val="single" w:sz="4" w:space="0" w:color="BFBFBF"/>
              <w:bottom w:val="single" w:sz="4" w:space="0" w:color="BFBFBF"/>
              <w:right w:val="single" w:sz="4" w:space="0" w:color="BFBFBF"/>
            </w:tcBorders>
            <w:noWrap/>
            <w:vAlign w:val="center"/>
            <w:hideMark/>
          </w:tcPr>
          <w:p w:rsidR="00407F22" w:rsidRPr="00407F22" w:rsidRDefault="00407F22" w:rsidP="00407F22">
            <w:pPr>
              <w:spacing w:after="0" w:line="240" w:lineRule="auto"/>
              <w:jc w:val="center"/>
              <w:rPr>
                <w:rFonts w:ascii="Calibri" w:eastAsia="Times New Roman" w:hAnsi="Calibri" w:cs="Calibri"/>
                <w:color w:val="000000"/>
                <w:sz w:val="18"/>
                <w:lang w:val="en-US"/>
              </w:rPr>
            </w:pPr>
            <w:r w:rsidRPr="00407F22">
              <w:rPr>
                <w:rFonts w:ascii="Calibri" w:eastAsia="Times New Roman" w:hAnsi="Calibri" w:cs="Calibri"/>
                <w:color w:val="000000"/>
                <w:sz w:val="18"/>
                <w:lang w:val="en-US"/>
              </w:rPr>
              <w:t>31</w:t>
            </w:r>
          </w:p>
        </w:tc>
        <w:tc>
          <w:tcPr>
            <w:tcW w:w="1039" w:type="dxa"/>
            <w:tcBorders>
              <w:top w:val="single" w:sz="4" w:space="0" w:color="BFBFBF"/>
              <w:left w:val="single" w:sz="4" w:space="0" w:color="BFBFBF"/>
              <w:bottom w:val="single" w:sz="4" w:space="0" w:color="BFBFBF"/>
              <w:right w:val="single" w:sz="4" w:space="0" w:color="BFBFBF"/>
            </w:tcBorders>
            <w:noWrap/>
            <w:vAlign w:val="center"/>
            <w:hideMark/>
          </w:tcPr>
          <w:p w:rsidR="00407F22" w:rsidRPr="00407F22" w:rsidRDefault="00407F22" w:rsidP="00407F22">
            <w:pPr>
              <w:spacing w:after="0" w:line="240" w:lineRule="auto"/>
              <w:jc w:val="center"/>
              <w:rPr>
                <w:rFonts w:ascii="Calibri" w:eastAsia="Times New Roman" w:hAnsi="Calibri" w:cs="Calibri"/>
                <w:color w:val="000000"/>
                <w:sz w:val="18"/>
                <w:lang w:val="en-US"/>
              </w:rPr>
            </w:pPr>
            <w:r w:rsidRPr="00407F22">
              <w:rPr>
                <w:rFonts w:ascii="Calibri" w:eastAsia="Times New Roman" w:hAnsi="Calibri" w:cs="Calibri"/>
                <w:color w:val="000000"/>
                <w:sz w:val="18"/>
                <w:lang w:val="en-US"/>
              </w:rPr>
              <w:t>21</w:t>
            </w:r>
          </w:p>
        </w:tc>
        <w:tc>
          <w:tcPr>
            <w:tcW w:w="1039" w:type="dxa"/>
            <w:tcBorders>
              <w:top w:val="single" w:sz="4" w:space="0" w:color="BFBFBF"/>
              <w:left w:val="single" w:sz="4" w:space="0" w:color="BFBFBF"/>
              <w:bottom w:val="single" w:sz="4" w:space="0" w:color="BFBFBF"/>
              <w:right w:val="single" w:sz="4" w:space="0" w:color="BFBFBF"/>
            </w:tcBorders>
            <w:noWrap/>
            <w:vAlign w:val="center"/>
            <w:hideMark/>
          </w:tcPr>
          <w:p w:rsidR="00407F22" w:rsidRPr="00407F22" w:rsidRDefault="00407F22" w:rsidP="00407F22">
            <w:pPr>
              <w:spacing w:after="0" w:line="240" w:lineRule="auto"/>
              <w:jc w:val="center"/>
              <w:rPr>
                <w:rFonts w:ascii="Calibri" w:eastAsia="Times New Roman" w:hAnsi="Calibri" w:cs="Calibri"/>
                <w:color w:val="000000"/>
                <w:sz w:val="18"/>
                <w:lang w:val="en-US"/>
              </w:rPr>
            </w:pPr>
            <w:r w:rsidRPr="00407F22">
              <w:rPr>
                <w:rFonts w:ascii="Calibri" w:eastAsia="Times New Roman" w:hAnsi="Calibri" w:cs="Calibri"/>
                <w:color w:val="000000"/>
                <w:sz w:val="18"/>
                <w:lang w:val="en-US"/>
              </w:rPr>
              <w:t>17</w:t>
            </w:r>
          </w:p>
        </w:tc>
        <w:tc>
          <w:tcPr>
            <w:tcW w:w="899" w:type="dxa"/>
            <w:tcBorders>
              <w:top w:val="single" w:sz="4" w:space="0" w:color="BFBFBF"/>
              <w:left w:val="single" w:sz="4" w:space="0" w:color="BFBFBF"/>
              <w:bottom w:val="single" w:sz="4" w:space="0" w:color="BFBFBF"/>
              <w:right w:val="single" w:sz="4" w:space="0" w:color="BFBFBF"/>
            </w:tcBorders>
            <w:noWrap/>
            <w:vAlign w:val="center"/>
            <w:hideMark/>
          </w:tcPr>
          <w:p w:rsidR="00407F22" w:rsidRPr="00407F22" w:rsidRDefault="00407F22" w:rsidP="00407F22">
            <w:pPr>
              <w:spacing w:after="0" w:line="240" w:lineRule="auto"/>
              <w:jc w:val="center"/>
              <w:rPr>
                <w:rFonts w:ascii="Calibri" w:eastAsia="Times New Roman" w:hAnsi="Calibri" w:cs="Calibri"/>
                <w:color w:val="000000"/>
                <w:sz w:val="18"/>
                <w:lang w:val="en-US"/>
              </w:rPr>
            </w:pPr>
            <w:r w:rsidRPr="00407F22">
              <w:rPr>
                <w:rFonts w:ascii="Calibri" w:eastAsia="Times New Roman" w:hAnsi="Calibri" w:cs="Calibri"/>
                <w:color w:val="000000"/>
                <w:sz w:val="18"/>
                <w:lang w:val="en-US"/>
              </w:rPr>
              <w:t>7</w:t>
            </w:r>
          </w:p>
        </w:tc>
        <w:tc>
          <w:tcPr>
            <w:tcW w:w="903" w:type="dxa"/>
            <w:tcBorders>
              <w:top w:val="single" w:sz="4" w:space="0" w:color="BFBFBF"/>
              <w:left w:val="single" w:sz="4" w:space="0" w:color="BFBFBF"/>
              <w:bottom w:val="single" w:sz="4" w:space="0" w:color="BFBFBF"/>
              <w:right w:val="single" w:sz="4" w:space="0" w:color="BFBFBF"/>
            </w:tcBorders>
            <w:noWrap/>
            <w:vAlign w:val="center"/>
            <w:hideMark/>
          </w:tcPr>
          <w:p w:rsidR="00407F22" w:rsidRPr="00407F22" w:rsidRDefault="00407F22" w:rsidP="00407F22">
            <w:pPr>
              <w:spacing w:after="0" w:line="240" w:lineRule="auto"/>
              <w:jc w:val="center"/>
              <w:rPr>
                <w:rFonts w:ascii="Calibri" w:eastAsia="Times New Roman" w:hAnsi="Calibri" w:cs="Calibri"/>
                <w:color w:val="000000"/>
                <w:sz w:val="18"/>
                <w:lang w:val="en-US"/>
              </w:rPr>
            </w:pPr>
            <w:r w:rsidRPr="00407F22">
              <w:rPr>
                <w:rFonts w:ascii="Calibri" w:eastAsia="Times New Roman" w:hAnsi="Calibri" w:cs="Calibri"/>
                <w:color w:val="000000"/>
                <w:sz w:val="18"/>
                <w:lang w:val="en-US"/>
              </w:rPr>
              <w:t>6</w:t>
            </w:r>
          </w:p>
        </w:tc>
      </w:tr>
      <w:tr w:rsidR="00C402EB" w:rsidRPr="00407F22" w:rsidTr="00C402EB">
        <w:trPr>
          <w:trHeight w:val="430"/>
        </w:trPr>
        <w:tc>
          <w:tcPr>
            <w:tcW w:w="1394" w:type="dxa"/>
            <w:tcBorders>
              <w:top w:val="single" w:sz="4" w:space="0" w:color="BFBFBF"/>
              <w:left w:val="single" w:sz="4" w:space="0" w:color="BFBFBF"/>
              <w:bottom w:val="single" w:sz="4" w:space="0" w:color="BFBFBF"/>
              <w:right w:val="nil"/>
            </w:tcBorders>
            <w:vAlign w:val="center"/>
            <w:hideMark/>
          </w:tcPr>
          <w:p w:rsidR="00C402EB" w:rsidRPr="00407F22" w:rsidRDefault="00C402EB" w:rsidP="00C402EB">
            <w:pPr>
              <w:spacing w:after="0" w:line="240" w:lineRule="auto"/>
              <w:jc w:val="center"/>
              <w:rPr>
                <w:rFonts w:ascii="Calibri" w:eastAsia="Times New Roman" w:hAnsi="Calibri" w:cs="Calibri"/>
                <w:b/>
                <w:bCs/>
                <w:color w:val="000000"/>
                <w:sz w:val="20"/>
                <w:szCs w:val="24"/>
              </w:rPr>
            </w:pPr>
            <w:r>
              <w:rPr>
                <w:rFonts w:ascii="Calibri" w:eastAsia="Times New Roman" w:hAnsi="Calibri" w:cs="Calibri"/>
                <w:b/>
                <w:bCs/>
                <w:color w:val="000000"/>
                <w:sz w:val="20"/>
                <w:szCs w:val="24"/>
              </w:rPr>
              <w:t>Promedio por</w:t>
            </w:r>
            <w:r w:rsidRPr="00407F22">
              <w:rPr>
                <w:rFonts w:ascii="Calibri" w:eastAsia="Times New Roman" w:hAnsi="Calibri" w:cs="Calibri"/>
                <w:b/>
                <w:bCs/>
                <w:color w:val="000000"/>
                <w:sz w:val="20"/>
                <w:szCs w:val="24"/>
              </w:rPr>
              <w:t xml:space="preserve"> operación</w:t>
            </w:r>
            <w:r w:rsidRPr="00375232">
              <w:rPr>
                <w:rFonts w:ascii="Calibri" w:eastAsia="Times New Roman" w:hAnsi="Calibri" w:cs="Calibri"/>
                <w:b/>
                <w:bCs/>
                <w:color w:val="000000"/>
                <w:sz w:val="20"/>
                <w:szCs w:val="24"/>
              </w:rPr>
              <w:t xml:space="preserve"> (n=1)</w:t>
            </w:r>
          </w:p>
        </w:tc>
        <w:tc>
          <w:tcPr>
            <w:tcW w:w="1039" w:type="dxa"/>
            <w:tcBorders>
              <w:top w:val="single" w:sz="4" w:space="0" w:color="BFBFBF"/>
              <w:left w:val="single" w:sz="4" w:space="0" w:color="BFBFBF"/>
              <w:bottom w:val="single" w:sz="4" w:space="0" w:color="BFBFBF"/>
              <w:right w:val="single" w:sz="4" w:space="0" w:color="BFBFBF"/>
            </w:tcBorders>
            <w:noWrap/>
            <w:vAlign w:val="center"/>
          </w:tcPr>
          <w:p w:rsidR="00C402EB" w:rsidRPr="00C402EB" w:rsidRDefault="00C402EB" w:rsidP="00C402EB">
            <w:pPr>
              <w:jc w:val="center"/>
              <w:rPr>
                <w:rFonts w:ascii="Calibri" w:hAnsi="Calibri" w:cs="Calibri"/>
                <w:color w:val="000000"/>
                <w:sz w:val="18"/>
              </w:rPr>
            </w:pPr>
            <w:r w:rsidRPr="00C402EB">
              <w:rPr>
                <w:rFonts w:ascii="Calibri" w:hAnsi="Calibri" w:cs="Calibri"/>
                <w:color w:val="000000"/>
                <w:sz w:val="18"/>
              </w:rPr>
              <w:t>-400</w:t>
            </w:r>
          </w:p>
        </w:tc>
        <w:tc>
          <w:tcPr>
            <w:tcW w:w="1039" w:type="dxa"/>
            <w:tcBorders>
              <w:top w:val="single" w:sz="4" w:space="0" w:color="BFBFBF"/>
              <w:left w:val="single" w:sz="4" w:space="0" w:color="BFBFBF"/>
              <w:bottom w:val="single" w:sz="4" w:space="0" w:color="BFBFBF"/>
              <w:right w:val="single" w:sz="4" w:space="0" w:color="BFBFBF"/>
            </w:tcBorders>
            <w:noWrap/>
            <w:vAlign w:val="center"/>
          </w:tcPr>
          <w:p w:rsidR="00C402EB" w:rsidRPr="00C402EB" w:rsidRDefault="00C402EB" w:rsidP="00C402EB">
            <w:pPr>
              <w:jc w:val="center"/>
              <w:rPr>
                <w:rFonts w:ascii="Calibri" w:hAnsi="Calibri" w:cs="Calibri"/>
                <w:color w:val="000000"/>
                <w:sz w:val="18"/>
              </w:rPr>
            </w:pPr>
            <w:r w:rsidRPr="00C402EB">
              <w:rPr>
                <w:rFonts w:ascii="Calibri" w:hAnsi="Calibri" w:cs="Calibri"/>
                <w:color w:val="000000"/>
                <w:sz w:val="18"/>
              </w:rPr>
              <w:t>-427</w:t>
            </w:r>
          </w:p>
        </w:tc>
        <w:tc>
          <w:tcPr>
            <w:tcW w:w="1039" w:type="dxa"/>
            <w:tcBorders>
              <w:top w:val="single" w:sz="4" w:space="0" w:color="BFBFBF"/>
              <w:left w:val="single" w:sz="4" w:space="0" w:color="BFBFBF"/>
              <w:bottom w:val="single" w:sz="4" w:space="0" w:color="BFBFBF"/>
              <w:right w:val="single" w:sz="4" w:space="0" w:color="BFBFBF"/>
            </w:tcBorders>
            <w:noWrap/>
            <w:vAlign w:val="center"/>
          </w:tcPr>
          <w:p w:rsidR="00C402EB" w:rsidRPr="00C402EB" w:rsidRDefault="00C402EB" w:rsidP="00C402EB">
            <w:pPr>
              <w:jc w:val="center"/>
              <w:rPr>
                <w:rFonts w:ascii="Calibri" w:hAnsi="Calibri" w:cs="Calibri"/>
                <w:color w:val="000000"/>
                <w:sz w:val="18"/>
              </w:rPr>
            </w:pPr>
            <w:r w:rsidRPr="00C402EB">
              <w:rPr>
                <w:rFonts w:ascii="Calibri" w:hAnsi="Calibri" w:cs="Calibri"/>
                <w:color w:val="000000"/>
                <w:sz w:val="18"/>
              </w:rPr>
              <w:t>-388</w:t>
            </w:r>
          </w:p>
        </w:tc>
        <w:tc>
          <w:tcPr>
            <w:tcW w:w="1039" w:type="dxa"/>
            <w:tcBorders>
              <w:top w:val="single" w:sz="4" w:space="0" w:color="BFBFBF"/>
              <w:left w:val="single" w:sz="4" w:space="0" w:color="BFBFBF"/>
              <w:bottom w:val="single" w:sz="4" w:space="0" w:color="BFBFBF"/>
              <w:right w:val="single" w:sz="4" w:space="0" w:color="BFBFBF"/>
            </w:tcBorders>
            <w:noWrap/>
            <w:vAlign w:val="center"/>
          </w:tcPr>
          <w:p w:rsidR="00C402EB" w:rsidRPr="00C402EB" w:rsidRDefault="00C402EB" w:rsidP="00C402EB">
            <w:pPr>
              <w:jc w:val="center"/>
              <w:rPr>
                <w:rFonts w:ascii="Calibri" w:hAnsi="Calibri" w:cs="Calibri"/>
                <w:color w:val="000000"/>
                <w:sz w:val="18"/>
              </w:rPr>
            </w:pPr>
            <w:r w:rsidRPr="00C402EB">
              <w:rPr>
                <w:rFonts w:ascii="Calibri" w:hAnsi="Calibri" w:cs="Calibri"/>
                <w:color w:val="000000"/>
                <w:sz w:val="18"/>
              </w:rPr>
              <w:t>-368</w:t>
            </w:r>
          </w:p>
        </w:tc>
        <w:tc>
          <w:tcPr>
            <w:tcW w:w="1039" w:type="dxa"/>
            <w:tcBorders>
              <w:top w:val="single" w:sz="4" w:space="0" w:color="BFBFBF"/>
              <w:left w:val="single" w:sz="4" w:space="0" w:color="BFBFBF"/>
              <w:bottom w:val="single" w:sz="4" w:space="0" w:color="BFBFBF"/>
              <w:right w:val="single" w:sz="4" w:space="0" w:color="BFBFBF"/>
            </w:tcBorders>
            <w:noWrap/>
            <w:vAlign w:val="center"/>
          </w:tcPr>
          <w:p w:rsidR="00C402EB" w:rsidRPr="00C402EB" w:rsidRDefault="00C402EB" w:rsidP="00C402EB">
            <w:pPr>
              <w:jc w:val="center"/>
              <w:rPr>
                <w:rFonts w:ascii="Calibri" w:hAnsi="Calibri" w:cs="Calibri"/>
                <w:color w:val="000000"/>
                <w:sz w:val="18"/>
              </w:rPr>
            </w:pPr>
            <w:r w:rsidRPr="00C402EB">
              <w:rPr>
                <w:rFonts w:ascii="Calibri" w:hAnsi="Calibri" w:cs="Calibri"/>
                <w:color w:val="000000"/>
                <w:sz w:val="18"/>
              </w:rPr>
              <w:t>-363</w:t>
            </w:r>
          </w:p>
        </w:tc>
        <w:tc>
          <w:tcPr>
            <w:tcW w:w="1039" w:type="dxa"/>
            <w:tcBorders>
              <w:top w:val="single" w:sz="4" w:space="0" w:color="BFBFBF"/>
              <w:left w:val="single" w:sz="4" w:space="0" w:color="BFBFBF"/>
              <w:bottom w:val="single" w:sz="4" w:space="0" w:color="BFBFBF"/>
              <w:right w:val="single" w:sz="4" w:space="0" w:color="BFBFBF"/>
            </w:tcBorders>
            <w:noWrap/>
            <w:vAlign w:val="center"/>
          </w:tcPr>
          <w:p w:rsidR="00C402EB" w:rsidRPr="00C402EB" w:rsidRDefault="00C402EB" w:rsidP="00C402EB">
            <w:pPr>
              <w:jc w:val="center"/>
              <w:rPr>
                <w:rFonts w:ascii="Calibri" w:hAnsi="Calibri" w:cs="Calibri"/>
                <w:color w:val="000000"/>
                <w:sz w:val="18"/>
              </w:rPr>
            </w:pPr>
            <w:r w:rsidRPr="00C402EB">
              <w:rPr>
                <w:rFonts w:ascii="Calibri" w:hAnsi="Calibri" w:cs="Calibri"/>
                <w:color w:val="000000"/>
                <w:sz w:val="18"/>
              </w:rPr>
              <w:t>-433</w:t>
            </w:r>
          </w:p>
        </w:tc>
        <w:tc>
          <w:tcPr>
            <w:tcW w:w="899" w:type="dxa"/>
            <w:tcBorders>
              <w:top w:val="single" w:sz="4" w:space="0" w:color="BFBFBF"/>
              <w:left w:val="single" w:sz="4" w:space="0" w:color="BFBFBF"/>
              <w:bottom w:val="single" w:sz="4" w:space="0" w:color="BFBFBF"/>
              <w:right w:val="single" w:sz="4" w:space="0" w:color="BFBFBF"/>
            </w:tcBorders>
            <w:noWrap/>
            <w:vAlign w:val="center"/>
          </w:tcPr>
          <w:p w:rsidR="00C402EB" w:rsidRPr="00C402EB" w:rsidRDefault="00C402EB" w:rsidP="00C402EB">
            <w:pPr>
              <w:jc w:val="center"/>
              <w:rPr>
                <w:rFonts w:ascii="Calibri" w:hAnsi="Calibri" w:cs="Calibri"/>
                <w:color w:val="000000"/>
                <w:sz w:val="18"/>
              </w:rPr>
            </w:pPr>
            <w:r w:rsidRPr="00C402EB">
              <w:rPr>
                <w:rFonts w:ascii="Calibri" w:hAnsi="Calibri" w:cs="Calibri"/>
                <w:color w:val="000000"/>
                <w:sz w:val="18"/>
              </w:rPr>
              <w:t>-327</w:t>
            </w:r>
          </w:p>
        </w:tc>
        <w:tc>
          <w:tcPr>
            <w:tcW w:w="903" w:type="dxa"/>
            <w:tcBorders>
              <w:top w:val="single" w:sz="4" w:space="0" w:color="BFBFBF"/>
              <w:left w:val="single" w:sz="4" w:space="0" w:color="BFBFBF"/>
              <w:bottom w:val="single" w:sz="4" w:space="0" w:color="BFBFBF"/>
              <w:right w:val="single" w:sz="4" w:space="0" w:color="BFBFBF"/>
            </w:tcBorders>
            <w:noWrap/>
            <w:vAlign w:val="center"/>
          </w:tcPr>
          <w:p w:rsidR="00C402EB" w:rsidRPr="00C402EB" w:rsidRDefault="00C402EB" w:rsidP="00BF536C">
            <w:pPr>
              <w:keepNext/>
              <w:jc w:val="center"/>
              <w:rPr>
                <w:rFonts w:ascii="Calibri" w:hAnsi="Calibri" w:cs="Calibri"/>
                <w:color w:val="000000"/>
                <w:sz w:val="18"/>
              </w:rPr>
            </w:pPr>
            <w:r w:rsidRPr="00C402EB">
              <w:rPr>
                <w:rFonts w:ascii="Calibri" w:hAnsi="Calibri" w:cs="Calibri"/>
                <w:color w:val="000000"/>
                <w:sz w:val="18"/>
              </w:rPr>
              <w:t>-475</w:t>
            </w:r>
          </w:p>
        </w:tc>
      </w:tr>
    </w:tbl>
    <w:p w:rsidR="00C06F6B" w:rsidRPr="00AC3E68" w:rsidRDefault="00BF536C" w:rsidP="00BF536C">
      <w:pPr>
        <w:pStyle w:val="Caption"/>
        <w:jc w:val="center"/>
        <w:rPr>
          <w:sz w:val="20"/>
        </w:rPr>
      </w:pPr>
      <w:r>
        <w:t xml:space="preserve">Table </w:t>
      </w:r>
      <w:r>
        <w:fldChar w:fldCharType="begin"/>
      </w:r>
      <w:r>
        <w:instrText xml:space="preserve"> SEQ Table \* ARABIC </w:instrText>
      </w:r>
      <w:r>
        <w:fldChar w:fldCharType="separate"/>
      </w:r>
      <w:r w:rsidR="006A69FB">
        <w:rPr>
          <w:noProof/>
        </w:rPr>
        <w:t>1</w:t>
      </w:r>
      <w:r>
        <w:fldChar w:fldCharType="end"/>
      </w:r>
      <w:r w:rsidRPr="00473BBA">
        <w:t>- Resultados con Ventana de 1/3. Costo por operación de USD 0.08 y comisión del 0.1%</w:t>
      </w:r>
    </w:p>
    <w:p w:rsidR="00C06F6B" w:rsidRDefault="00A45C8B" w:rsidP="00136FCF">
      <w:pPr>
        <w:jc w:val="both"/>
      </w:pPr>
      <w:r>
        <w:lastRenderedPageBreak/>
        <w:t>Lo primero que se observa es que ninguna estrategia es ganadora</w:t>
      </w:r>
      <w:r w:rsidR="00835818">
        <w:t xml:space="preserve"> y</w:t>
      </w:r>
      <w:r w:rsidR="00136FCF">
        <w:t xml:space="preserve"> que la cantidad de contratos no juega un rol demasiado importante, y se conserva una relación aproximadamente lineal; que no es perfecta por la incidencia de los costos fijos. Por ende, para los análisis posteriores, se considera solamente el caso con n=1.</w:t>
      </w:r>
    </w:p>
    <w:p w:rsidR="008B296E" w:rsidRDefault="00835818" w:rsidP="00835818">
      <w:pPr>
        <w:jc w:val="both"/>
        <w:rPr>
          <w:noProof/>
        </w:rPr>
      </w:pPr>
      <w:r>
        <w:rPr>
          <w:noProof/>
        </w:rPr>
        <w:t xml:space="preserve">Analizando trade a trade, se observó que </w:t>
      </w:r>
      <w:r>
        <w:rPr>
          <w:noProof/>
        </w:rPr>
        <w:t xml:space="preserve">la razón por la cual se encontró que las estrategias no logran capturar una ganancia es la amplitud en el spread entre bid y ask. Por ejemplo, tomando el caso que se daba una señal de compra del futuro a Diciembre y de venta del futuro a Marzo, la lógica indica que el precio promedio del de Diciembre está por debajo de lo esperado para el precio dado del de Marzo. Ahora bien, la clave está en que se comparan los precios promedios entre bid y ask. Entonces, </w:t>
      </w:r>
      <w:r w:rsidR="008B296E">
        <w:rPr>
          <w:noProof/>
        </w:rPr>
        <w:t xml:space="preserve">siguiendo el ejmplo, </w:t>
      </w:r>
      <w:r>
        <w:rPr>
          <w:noProof/>
        </w:rPr>
        <w:t xml:space="preserve">lo que se observó al analizar los trades es que </w:t>
      </w:r>
      <w:r w:rsidR="00E42057">
        <w:rPr>
          <w:noProof/>
        </w:rPr>
        <w:t xml:space="preserve">la señal de compra del futuro de Diciembre se daba porque el precio promedio bajaba, pero en realidad lo único que bajaba era el bid, mientras que el ask se quedaba en el mismo nivel. </w:t>
      </w:r>
      <w:r w:rsidR="008B296E">
        <w:rPr>
          <w:noProof/>
        </w:rPr>
        <w:t xml:space="preserve">Por lo tanto, la compra se realizaba a un precio que en realidad no se había movido. Esto se genera por la falta de liquidez de los instrumentos, que tienen como resultado este aumento en el bid-ask spread que no es en general compensado hasta que la punta que se movió vuelve a su valor anterior. </w:t>
      </w:r>
    </w:p>
    <w:p w:rsidR="00835818" w:rsidRDefault="008B296E" w:rsidP="00835818">
      <w:pPr>
        <w:jc w:val="both"/>
        <w:rPr>
          <w:noProof/>
        </w:rPr>
      </w:pPr>
      <w:r>
        <w:rPr>
          <w:noProof/>
        </w:rPr>
        <w:t>De todas maneras, este efecto podría compensarse aumentando la banda de arbitraje, es decir aumentando el M que multiplica a s. Sin embargo, como se observa, cuando se incrementa demasiado, llega a un momento donde ya no se realizan operaciones.</w:t>
      </w:r>
    </w:p>
    <w:p w:rsidR="00C06F6B" w:rsidRDefault="00136FCF" w:rsidP="00136FCF">
      <w:pPr>
        <w:jc w:val="both"/>
      </w:pPr>
      <w:r>
        <w:t>La evolución del resultado en el tiempo</w:t>
      </w:r>
      <w:r w:rsidR="008B296E">
        <w:t xml:space="preserve"> que se ilustra en la figura 1 donde se observa lo mencionado acerca de los picos donde una de las puntas (</w:t>
      </w:r>
      <w:proofErr w:type="spellStart"/>
      <w:r w:rsidR="008B296E">
        <w:t>bid</w:t>
      </w:r>
      <w:proofErr w:type="spellEnd"/>
      <w:r w:rsidR="008B296E">
        <w:t xml:space="preserve"> en verde y </w:t>
      </w:r>
      <w:proofErr w:type="spellStart"/>
      <w:r w:rsidR="008B296E">
        <w:t>ask</w:t>
      </w:r>
      <w:proofErr w:type="spellEnd"/>
      <w:r w:rsidR="008B296E">
        <w:t xml:space="preserve"> en amarillo) tiene un salto muy grande </w:t>
      </w:r>
      <w:r w:rsidR="008B296E">
        <w:tab/>
        <w:t>que dispara una operación que resulta en una pérdida. Existen algunas pocas operaciones donde se obtiene una ganancia, pero no llegan a compensar las pérdidas.</w:t>
      </w:r>
    </w:p>
    <w:p w:rsidR="006C6C8F" w:rsidRDefault="00064588" w:rsidP="00BF536C">
      <w:pPr>
        <w:keepNext/>
        <w:spacing w:after="0" w:line="240" w:lineRule="auto"/>
        <w:jc w:val="center"/>
      </w:pPr>
      <w:r>
        <w:rPr>
          <w:noProof/>
        </w:rPr>
        <w:drawing>
          <wp:inline distT="0" distB="0" distL="0" distR="0" wp14:anchorId="1DDC0C5B" wp14:editId="461B9035">
            <wp:extent cx="4607644" cy="2749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742" cy="2751399"/>
                    </a:xfrm>
                    <a:prstGeom prst="rect">
                      <a:avLst/>
                    </a:prstGeom>
                  </pic:spPr>
                </pic:pic>
              </a:graphicData>
            </a:graphic>
          </wp:inline>
        </w:drawing>
      </w:r>
    </w:p>
    <w:p w:rsidR="00DE636B" w:rsidRDefault="006C6C8F" w:rsidP="00BF536C">
      <w:pPr>
        <w:pStyle w:val="Caption"/>
        <w:jc w:val="center"/>
      </w:pPr>
      <w:r>
        <w:t xml:space="preserve">Figura </w:t>
      </w:r>
      <w:r w:rsidR="00310A8C">
        <w:fldChar w:fldCharType="begin"/>
      </w:r>
      <w:r w:rsidR="00310A8C">
        <w:instrText xml:space="preserve"> SEQ Figura \* ARABIC </w:instrText>
      </w:r>
      <w:r w:rsidR="00310A8C">
        <w:fldChar w:fldCharType="separate"/>
      </w:r>
      <w:r>
        <w:rPr>
          <w:noProof/>
        </w:rPr>
        <w:t>1</w:t>
      </w:r>
      <w:r w:rsidR="00310A8C">
        <w:rPr>
          <w:noProof/>
        </w:rPr>
        <w:fldChar w:fldCharType="end"/>
      </w:r>
      <w:r>
        <w:t xml:space="preserve"> - Evolución de la cuenta de resultados (azul), y de los precios </w:t>
      </w:r>
      <w:proofErr w:type="spellStart"/>
      <w:r>
        <w:t>bid</w:t>
      </w:r>
      <w:proofErr w:type="spellEnd"/>
      <w:r>
        <w:t xml:space="preserve"> (verde) y </w:t>
      </w:r>
      <w:proofErr w:type="spellStart"/>
      <w:r>
        <w:t>ask</w:t>
      </w:r>
      <w:proofErr w:type="spellEnd"/>
      <w:r>
        <w:t xml:space="preserve"> (amarillo) de los dos futuros de Merval. En este caso la ventana de estimación fue de 1/3 y M=</w:t>
      </w:r>
      <w:r w:rsidR="00064588">
        <w:t>2</w:t>
      </w:r>
      <w:r>
        <w:t>, n=1. La comisión es de 0.1%</w:t>
      </w:r>
    </w:p>
    <w:p w:rsidR="00CE1E9E" w:rsidRDefault="00CE1E9E" w:rsidP="00D41E74">
      <w:pPr>
        <w:spacing w:after="0" w:line="240" w:lineRule="auto"/>
      </w:pPr>
    </w:p>
    <w:p w:rsidR="006C6C8F" w:rsidRDefault="006C6C8F" w:rsidP="00362E98">
      <w:pPr>
        <w:spacing w:after="0" w:line="240" w:lineRule="auto"/>
        <w:jc w:val="both"/>
      </w:pPr>
      <w:r>
        <w:lastRenderedPageBreak/>
        <w:t xml:space="preserve">Sensibilidades a realizar: </w:t>
      </w:r>
      <w:r w:rsidR="00AE31E9">
        <w:t xml:space="preserve">Limitar la operación si el Spread </w:t>
      </w:r>
      <w:proofErr w:type="spellStart"/>
      <w:r w:rsidR="00AE31E9">
        <w:t>Bid</w:t>
      </w:r>
      <w:proofErr w:type="spellEnd"/>
      <w:r w:rsidR="00AE31E9">
        <w:t>-Ask supera un cierto valor.</w:t>
      </w:r>
      <w:r>
        <w:t xml:space="preserve"> </w:t>
      </w:r>
    </w:p>
    <w:p w:rsidR="00064588" w:rsidRDefault="00064588" w:rsidP="00362E98">
      <w:pPr>
        <w:spacing w:after="0" w:line="240" w:lineRule="auto"/>
        <w:jc w:val="both"/>
      </w:pPr>
    </w:p>
    <w:p w:rsidR="00064588" w:rsidRDefault="00064588" w:rsidP="00362E98">
      <w:pPr>
        <w:spacing w:after="0" w:line="240" w:lineRule="auto"/>
        <w:jc w:val="both"/>
      </w:pPr>
      <w:r>
        <w:t>Para evaluar el efecto de las comisiones, se llevó al extremo de costo de transacción y comisión nulas. A pesar de esto, la estrategia sigue generando resultado negativo. Para el caso de n=1 y M=</w:t>
      </w:r>
      <w:r w:rsidR="00362E98">
        <w:t>2</w:t>
      </w:r>
      <w:r>
        <w:t xml:space="preserve"> con una ventana de estimación de 1/3 el resultado se grafica en la figura 2, donde al final el saldo es </w:t>
      </w:r>
      <w:r w:rsidRPr="00064588">
        <w:t>-</w:t>
      </w:r>
      <w:r>
        <w:t>$</w:t>
      </w:r>
      <w:r w:rsidRPr="00064588">
        <w:t>11</w:t>
      </w:r>
      <w:r>
        <w:t>.</w:t>
      </w:r>
      <w:r w:rsidRPr="00064588">
        <w:t>807</w:t>
      </w:r>
      <w:r w:rsidR="00362E98">
        <w:t xml:space="preserve"> (que se compara con los -$14.732 cuando hay costos no nulos). Es decir, la dinámica no resulta en pérdidas por los costos, sino por el efecto de los picos en las puntas.</w:t>
      </w:r>
    </w:p>
    <w:p w:rsidR="00362E98" w:rsidRDefault="00362E98" w:rsidP="00D41E74">
      <w:pPr>
        <w:spacing w:after="0" w:line="240" w:lineRule="auto"/>
      </w:pPr>
    </w:p>
    <w:p w:rsidR="006C6C8F" w:rsidRDefault="00064588" w:rsidP="00BF536C">
      <w:pPr>
        <w:spacing w:after="0" w:line="240" w:lineRule="auto"/>
        <w:jc w:val="center"/>
      </w:pPr>
      <w:r>
        <w:rPr>
          <w:noProof/>
        </w:rPr>
        <w:drawing>
          <wp:inline distT="0" distB="0" distL="0" distR="0" wp14:anchorId="04641985" wp14:editId="5BAAA34E">
            <wp:extent cx="4584700" cy="2735858"/>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8157" cy="2737921"/>
                    </a:xfrm>
                    <a:prstGeom prst="rect">
                      <a:avLst/>
                    </a:prstGeom>
                  </pic:spPr>
                </pic:pic>
              </a:graphicData>
            </a:graphic>
          </wp:inline>
        </w:drawing>
      </w:r>
    </w:p>
    <w:p w:rsidR="006C6C8F" w:rsidRPr="006C6C8F" w:rsidRDefault="006C6C8F" w:rsidP="00BF536C">
      <w:pPr>
        <w:pStyle w:val="Caption"/>
        <w:jc w:val="center"/>
        <w:rPr>
          <w:u w:val="single"/>
        </w:rPr>
      </w:pPr>
      <w:r>
        <w:t xml:space="preserve">Figura 2 - Evolución de la cuenta de resultados (azul), y de los precios </w:t>
      </w:r>
      <w:proofErr w:type="spellStart"/>
      <w:r>
        <w:t>bid</w:t>
      </w:r>
      <w:proofErr w:type="spellEnd"/>
      <w:r>
        <w:t xml:space="preserve"> (verde) y </w:t>
      </w:r>
      <w:proofErr w:type="spellStart"/>
      <w:r>
        <w:t>ask</w:t>
      </w:r>
      <w:proofErr w:type="spellEnd"/>
      <w:r>
        <w:t xml:space="preserve"> (amarillo) de los dos futuros de Merval. En este caso la ventana de estimación fue de 1/3 y M=</w:t>
      </w:r>
      <w:r w:rsidR="00064588">
        <w:t>2</w:t>
      </w:r>
      <w:r>
        <w:t xml:space="preserve">, n=1. </w:t>
      </w:r>
      <w:r w:rsidR="00064588">
        <w:t>El costo es $0 y l</w:t>
      </w:r>
      <w:r>
        <w:t>a comisión es de 0%</w:t>
      </w:r>
    </w:p>
    <w:p w:rsidR="00AD7D41" w:rsidRDefault="00AD7D41" w:rsidP="00D41E74">
      <w:pPr>
        <w:spacing w:after="0" w:line="240" w:lineRule="auto"/>
      </w:pPr>
    </w:p>
    <w:p w:rsidR="00362E98" w:rsidRDefault="00362E98" w:rsidP="00362E98">
      <w:pPr>
        <w:spacing w:after="0" w:line="240" w:lineRule="auto"/>
        <w:jc w:val="both"/>
      </w:pPr>
      <w:r>
        <w:t>Otra variable que se estudió fue el tamaño de la ventana de estimación. En los ejemplos anteriores, la misma se tomaba como 1/3 del tiempo total donde ambos instrumentos cotizan.</w:t>
      </w:r>
      <w:r w:rsidR="00351596">
        <w:t xml:space="preserve"> Para entender si este tiempo podría jugar algún rol de relevancia, se estudió el resultado para diversos valores. En la Tabla 2 se muestran los resultados, donde a mayor ventana de estimación, menor ventana de operaciones, con lo que menor cantidad de Operaciones posibles. Para el caso donde la ventana de estimación de 5/6 del total del tiempo, la pérdida que se genera en cada operación es menor, y tiene que ver con que el rango donde se puede operar es más pequeño. Esto quiere decir que la diferencia entre los precios de ambos instrumentos no es algo que debe permanecer constante, ya que se tratan de instrumentos futuros con distinta madurez, y por ende la tasa de interés juega un rol en dicha diferencia de precios. Para un modelo más sofisticado, podría tenerse en cuenta esta variable a la hora de definir el valor medio de la diferencia entre los precios y ajustarlo.</w:t>
      </w:r>
    </w:p>
    <w:p w:rsidR="00362E98" w:rsidRDefault="00362E98" w:rsidP="00D41E74">
      <w:pPr>
        <w:spacing w:after="0" w:line="240" w:lineRule="auto"/>
      </w:pPr>
    </w:p>
    <w:tbl>
      <w:tblPr>
        <w:tblW w:w="5160" w:type="dxa"/>
        <w:jc w:val="center"/>
        <w:tblCellMar>
          <w:top w:w="15" w:type="dxa"/>
          <w:bottom w:w="15" w:type="dxa"/>
        </w:tblCellMar>
        <w:tblLook w:val="04A0" w:firstRow="1" w:lastRow="0" w:firstColumn="1" w:lastColumn="0" w:noHBand="0" w:noVBand="1"/>
      </w:tblPr>
      <w:tblGrid>
        <w:gridCol w:w="1400"/>
        <w:gridCol w:w="1300"/>
        <w:gridCol w:w="1340"/>
        <w:gridCol w:w="1120"/>
      </w:tblGrid>
      <w:tr w:rsidR="00362E98" w:rsidRPr="00362E98" w:rsidTr="00362E98">
        <w:trPr>
          <w:trHeight w:val="915"/>
          <w:jc w:val="center"/>
        </w:trPr>
        <w:tc>
          <w:tcPr>
            <w:tcW w:w="1400" w:type="dxa"/>
            <w:tcBorders>
              <w:top w:val="single" w:sz="4" w:space="0" w:color="BFBFBF"/>
              <w:left w:val="single" w:sz="4" w:space="0" w:color="BFBFBF"/>
              <w:bottom w:val="single" w:sz="4" w:space="0" w:color="BFBFBF"/>
              <w:right w:val="single" w:sz="4" w:space="0" w:color="BFBFBF"/>
            </w:tcBorders>
            <w:vAlign w:val="center"/>
            <w:hideMark/>
          </w:tcPr>
          <w:p w:rsidR="00362E98" w:rsidRPr="00362E98" w:rsidRDefault="00362E98" w:rsidP="00362E98">
            <w:pPr>
              <w:spacing w:after="0" w:line="240" w:lineRule="auto"/>
              <w:jc w:val="center"/>
              <w:rPr>
                <w:rFonts w:ascii="Calibri" w:eastAsia="Times New Roman" w:hAnsi="Calibri" w:cs="Calibri"/>
                <w:b/>
                <w:bCs/>
                <w:color w:val="000000"/>
                <w:sz w:val="20"/>
                <w:szCs w:val="24"/>
                <w:lang w:val="en-US"/>
              </w:rPr>
            </w:pPr>
            <w:r w:rsidRPr="00362E98">
              <w:rPr>
                <w:rFonts w:ascii="Calibri" w:eastAsia="Times New Roman" w:hAnsi="Calibri" w:cs="Calibri"/>
                <w:b/>
                <w:bCs/>
                <w:color w:val="000000"/>
                <w:sz w:val="20"/>
                <w:szCs w:val="24"/>
                <w:lang w:val="en-US"/>
              </w:rPr>
              <w:t>Ventana</w:t>
            </w:r>
            <w:r w:rsidR="00351596" w:rsidRPr="00310A8C">
              <w:rPr>
                <w:rFonts w:ascii="Calibri" w:eastAsia="Times New Roman" w:hAnsi="Calibri" w:cs="Calibri"/>
                <w:b/>
                <w:bCs/>
                <w:color w:val="000000"/>
                <w:sz w:val="20"/>
                <w:szCs w:val="24"/>
                <w:lang w:val="en-US"/>
              </w:rPr>
              <w:t xml:space="preserve"> de </w:t>
            </w:r>
            <w:proofErr w:type="spellStart"/>
            <w:r w:rsidR="00351596" w:rsidRPr="00310A8C">
              <w:rPr>
                <w:rFonts w:ascii="Calibri" w:eastAsia="Times New Roman" w:hAnsi="Calibri" w:cs="Calibri"/>
                <w:b/>
                <w:bCs/>
                <w:color w:val="000000"/>
                <w:sz w:val="20"/>
                <w:szCs w:val="24"/>
                <w:lang w:val="en-US"/>
              </w:rPr>
              <w:t>Estimación</w:t>
            </w:r>
            <w:proofErr w:type="spellEnd"/>
          </w:p>
        </w:tc>
        <w:tc>
          <w:tcPr>
            <w:tcW w:w="1300" w:type="dxa"/>
            <w:tcBorders>
              <w:top w:val="single" w:sz="4" w:space="0" w:color="BFBFBF"/>
              <w:left w:val="single" w:sz="4" w:space="0" w:color="BFBFBF"/>
              <w:bottom w:val="single" w:sz="4" w:space="0" w:color="BFBFBF"/>
              <w:right w:val="single" w:sz="4" w:space="0" w:color="BFBFBF"/>
            </w:tcBorders>
            <w:vAlign w:val="center"/>
            <w:hideMark/>
          </w:tcPr>
          <w:p w:rsidR="00362E98" w:rsidRPr="00362E98" w:rsidRDefault="00362E98" w:rsidP="00362E98">
            <w:pPr>
              <w:spacing w:after="0" w:line="240" w:lineRule="auto"/>
              <w:jc w:val="center"/>
              <w:rPr>
                <w:rFonts w:ascii="Calibri" w:eastAsia="Times New Roman" w:hAnsi="Calibri" w:cs="Calibri"/>
                <w:b/>
                <w:bCs/>
                <w:color w:val="000000"/>
                <w:sz w:val="20"/>
                <w:szCs w:val="24"/>
                <w:lang w:val="en-US"/>
              </w:rPr>
            </w:pPr>
            <w:proofErr w:type="spellStart"/>
            <w:r w:rsidRPr="00362E98">
              <w:rPr>
                <w:rFonts w:ascii="Calibri" w:eastAsia="Times New Roman" w:hAnsi="Calibri" w:cs="Calibri"/>
                <w:b/>
                <w:bCs/>
                <w:color w:val="000000"/>
                <w:sz w:val="20"/>
                <w:szCs w:val="24"/>
                <w:lang w:val="en-US"/>
              </w:rPr>
              <w:t>Resultado</w:t>
            </w:r>
            <w:proofErr w:type="spellEnd"/>
            <w:r w:rsidRPr="00362E98">
              <w:rPr>
                <w:rFonts w:ascii="Calibri" w:eastAsia="Times New Roman" w:hAnsi="Calibri" w:cs="Calibri"/>
                <w:b/>
                <w:bCs/>
                <w:color w:val="000000"/>
                <w:sz w:val="20"/>
                <w:szCs w:val="24"/>
                <w:lang w:val="en-US"/>
              </w:rPr>
              <w:t xml:space="preserve"> (M=2, n=1)</w:t>
            </w:r>
          </w:p>
        </w:tc>
        <w:tc>
          <w:tcPr>
            <w:tcW w:w="1340" w:type="dxa"/>
            <w:tcBorders>
              <w:top w:val="single" w:sz="4" w:space="0" w:color="BFBFBF"/>
              <w:left w:val="single" w:sz="4" w:space="0" w:color="BFBFBF"/>
              <w:bottom w:val="single" w:sz="4" w:space="0" w:color="BFBFBF"/>
              <w:right w:val="single" w:sz="4" w:space="0" w:color="BFBFBF"/>
            </w:tcBorders>
            <w:vAlign w:val="center"/>
            <w:hideMark/>
          </w:tcPr>
          <w:p w:rsidR="00362E98" w:rsidRPr="00362E98" w:rsidRDefault="00362E98" w:rsidP="00362E98">
            <w:pPr>
              <w:spacing w:after="0" w:line="240" w:lineRule="auto"/>
              <w:jc w:val="center"/>
              <w:rPr>
                <w:rFonts w:ascii="Calibri" w:eastAsia="Times New Roman" w:hAnsi="Calibri" w:cs="Calibri"/>
                <w:b/>
                <w:bCs/>
                <w:color w:val="000000"/>
                <w:sz w:val="20"/>
                <w:szCs w:val="24"/>
                <w:lang w:val="en-US"/>
              </w:rPr>
            </w:pPr>
            <w:proofErr w:type="spellStart"/>
            <w:r w:rsidRPr="00362E98">
              <w:rPr>
                <w:rFonts w:ascii="Calibri" w:eastAsia="Times New Roman" w:hAnsi="Calibri" w:cs="Calibri"/>
                <w:b/>
                <w:bCs/>
                <w:color w:val="000000"/>
                <w:sz w:val="20"/>
                <w:szCs w:val="24"/>
                <w:lang w:val="en-US"/>
              </w:rPr>
              <w:t>Cantidad</w:t>
            </w:r>
            <w:proofErr w:type="spellEnd"/>
            <w:r w:rsidR="00310A8C" w:rsidRPr="00310A8C">
              <w:rPr>
                <w:rFonts w:ascii="Calibri" w:eastAsia="Times New Roman" w:hAnsi="Calibri" w:cs="Calibri"/>
                <w:b/>
                <w:bCs/>
                <w:color w:val="000000"/>
                <w:sz w:val="20"/>
                <w:szCs w:val="24"/>
                <w:lang w:val="en-US"/>
              </w:rPr>
              <w:t xml:space="preserve"> de</w:t>
            </w:r>
            <w:r w:rsidRPr="00362E98">
              <w:rPr>
                <w:rFonts w:ascii="Calibri" w:eastAsia="Times New Roman" w:hAnsi="Calibri" w:cs="Calibri"/>
                <w:b/>
                <w:bCs/>
                <w:color w:val="000000"/>
                <w:sz w:val="20"/>
                <w:szCs w:val="24"/>
                <w:lang w:val="en-US"/>
              </w:rPr>
              <w:t xml:space="preserve"> </w:t>
            </w:r>
            <w:proofErr w:type="spellStart"/>
            <w:r w:rsidRPr="00362E98">
              <w:rPr>
                <w:rFonts w:ascii="Calibri" w:eastAsia="Times New Roman" w:hAnsi="Calibri" w:cs="Calibri"/>
                <w:b/>
                <w:bCs/>
                <w:color w:val="000000"/>
                <w:sz w:val="20"/>
                <w:szCs w:val="24"/>
                <w:lang w:val="en-US"/>
              </w:rPr>
              <w:t>Operaciones</w:t>
            </w:r>
            <w:proofErr w:type="spellEnd"/>
          </w:p>
        </w:tc>
        <w:tc>
          <w:tcPr>
            <w:tcW w:w="1120" w:type="dxa"/>
            <w:tcBorders>
              <w:top w:val="single" w:sz="4" w:space="0" w:color="BFBFBF"/>
              <w:left w:val="single" w:sz="4" w:space="0" w:color="BFBFBF"/>
              <w:bottom w:val="single" w:sz="4" w:space="0" w:color="BFBFBF"/>
              <w:right w:val="single" w:sz="4" w:space="0" w:color="BFBFBF"/>
            </w:tcBorders>
            <w:vAlign w:val="center"/>
            <w:hideMark/>
          </w:tcPr>
          <w:p w:rsidR="00362E98" w:rsidRPr="00362E98" w:rsidRDefault="00362E98" w:rsidP="00362E98">
            <w:pPr>
              <w:spacing w:after="0" w:line="240" w:lineRule="auto"/>
              <w:jc w:val="center"/>
              <w:rPr>
                <w:rFonts w:ascii="Calibri" w:eastAsia="Times New Roman" w:hAnsi="Calibri" w:cs="Calibri"/>
                <w:b/>
                <w:bCs/>
                <w:color w:val="000000"/>
                <w:sz w:val="20"/>
                <w:szCs w:val="24"/>
                <w:lang w:val="en-US"/>
              </w:rPr>
            </w:pPr>
            <w:proofErr w:type="spellStart"/>
            <w:r w:rsidRPr="00362E98">
              <w:rPr>
                <w:rFonts w:ascii="Calibri" w:eastAsia="Times New Roman" w:hAnsi="Calibri" w:cs="Calibri"/>
                <w:b/>
                <w:bCs/>
                <w:color w:val="000000"/>
                <w:sz w:val="20"/>
                <w:szCs w:val="24"/>
                <w:lang w:val="en-US"/>
              </w:rPr>
              <w:t>Resultado</w:t>
            </w:r>
            <w:proofErr w:type="spellEnd"/>
            <w:r w:rsidRPr="00362E98">
              <w:rPr>
                <w:rFonts w:ascii="Calibri" w:eastAsia="Times New Roman" w:hAnsi="Calibri" w:cs="Calibri"/>
                <w:b/>
                <w:bCs/>
                <w:color w:val="000000"/>
                <w:sz w:val="20"/>
                <w:szCs w:val="24"/>
                <w:lang w:val="en-US"/>
              </w:rPr>
              <w:t xml:space="preserve"> </w:t>
            </w:r>
            <w:proofErr w:type="spellStart"/>
            <w:r w:rsidRPr="00362E98">
              <w:rPr>
                <w:rFonts w:ascii="Calibri" w:eastAsia="Times New Roman" w:hAnsi="Calibri" w:cs="Calibri"/>
                <w:b/>
                <w:bCs/>
                <w:color w:val="000000"/>
                <w:sz w:val="20"/>
                <w:szCs w:val="24"/>
                <w:lang w:val="en-US"/>
              </w:rPr>
              <w:t>por</w:t>
            </w:r>
            <w:proofErr w:type="spellEnd"/>
            <w:r w:rsidRPr="00362E98">
              <w:rPr>
                <w:rFonts w:ascii="Calibri" w:eastAsia="Times New Roman" w:hAnsi="Calibri" w:cs="Calibri"/>
                <w:b/>
                <w:bCs/>
                <w:color w:val="000000"/>
                <w:sz w:val="20"/>
                <w:szCs w:val="24"/>
                <w:lang w:val="en-US"/>
              </w:rPr>
              <w:t xml:space="preserve"> </w:t>
            </w:r>
            <w:proofErr w:type="spellStart"/>
            <w:r w:rsidRPr="00362E98">
              <w:rPr>
                <w:rFonts w:ascii="Calibri" w:eastAsia="Times New Roman" w:hAnsi="Calibri" w:cs="Calibri"/>
                <w:b/>
                <w:bCs/>
                <w:color w:val="000000"/>
                <w:sz w:val="20"/>
                <w:szCs w:val="24"/>
                <w:lang w:val="en-US"/>
              </w:rPr>
              <w:t>Operación</w:t>
            </w:r>
            <w:proofErr w:type="spellEnd"/>
          </w:p>
        </w:tc>
      </w:tr>
      <w:tr w:rsidR="00362E98" w:rsidRPr="00362E98" w:rsidTr="00362E98">
        <w:trPr>
          <w:trHeight w:val="315"/>
          <w:jc w:val="center"/>
        </w:trPr>
        <w:tc>
          <w:tcPr>
            <w:tcW w:w="140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b/>
                <w:bCs/>
                <w:color w:val="000000"/>
                <w:sz w:val="20"/>
                <w:szCs w:val="24"/>
                <w:lang w:val="en-US"/>
              </w:rPr>
            </w:pPr>
            <w:r w:rsidRPr="00362E98">
              <w:rPr>
                <w:rFonts w:ascii="Calibri" w:eastAsia="Times New Roman" w:hAnsi="Calibri" w:cs="Calibri"/>
                <w:b/>
                <w:bCs/>
                <w:color w:val="000000"/>
                <w:sz w:val="20"/>
                <w:szCs w:val="24"/>
                <w:lang w:val="en-US"/>
              </w:rPr>
              <w:t>1/6</w:t>
            </w:r>
          </w:p>
        </w:tc>
        <w:tc>
          <w:tcPr>
            <w:tcW w:w="130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color w:val="000000"/>
                <w:sz w:val="20"/>
                <w:lang w:val="en-US"/>
              </w:rPr>
            </w:pPr>
            <w:r w:rsidRPr="00362E98">
              <w:rPr>
                <w:rFonts w:ascii="Calibri" w:eastAsia="Times New Roman" w:hAnsi="Calibri" w:cs="Calibri"/>
                <w:color w:val="000000"/>
                <w:sz w:val="20"/>
                <w:lang w:val="en-US"/>
              </w:rPr>
              <w:t>-$30.166</w:t>
            </w:r>
          </w:p>
        </w:tc>
        <w:tc>
          <w:tcPr>
            <w:tcW w:w="134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color w:val="000000"/>
                <w:sz w:val="20"/>
                <w:lang w:val="en-US"/>
              </w:rPr>
            </w:pPr>
            <w:r w:rsidRPr="00362E98">
              <w:rPr>
                <w:rFonts w:ascii="Calibri" w:eastAsia="Times New Roman" w:hAnsi="Calibri" w:cs="Calibri"/>
                <w:color w:val="000000"/>
                <w:sz w:val="20"/>
                <w:lang w:val="en-US"/>
              </w:rPr>
              <w:t>74</w:t>
            </w:r>
          </w:p>
        </w:tc>
        <w:tc>
          <w:tcPr>
            <w:tcW w:w="112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color w:val="000000"/>
                <w:sz w:val="20"/>
                <w:lang w:val="en-US"/>
              </w:rPr>
            </w:pPr>
            <w:r w:rsidRPr="00362E98">
              <w:rPr>
                <w:rFonts w:ascii="Calibri" w:eastAsia="Times New Roman" w:hAnsi="Calibri" w:cs="Calibri"/>
                <w:color w:val="000000"/>
                <w:sz w:val="20"/>
                <w:lang w:val="en-US"/>
              </w:rPr>
              <w:t>-$408</w:t>
            </w:r>
          </w:p>
        </w:tc>
      </w:tr>
      <w:tr w:rsidR="00362E98" w:rsidRPr="00362E98" w:rsidTr="00362E98">
        <w:trPr>
          <w:trHeight w:val="315"/>
          <w:jc w:val="center"/>
        </w:trPr>
        <w:tc>
          <w:tcPr>
            <w:tcW w:w="140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b/>
                <w:bCs/>
                <w:color w:val="000000"/>
                <w:sz w:val="20"/>
                <w:szCs w:val="24"/>
                <w:lang w:val="en-US"/>
              </w:rPr>
            </w:pPr>
            <w:r w:rsidRPr="00362E98">
              <w:rPr>
                <w:rFonts w:ascii="Calibri" w:eastAsia="Times New Roman" w:hAnsi="Calibri" w:cs="Calibri"/>
                <w:b/>
                <w:bCs/>
                <w:color w:val="000000"/>
                <w:sz w:val="20"/>
                <w:szCs w:val="24"/>
                <w:lang w:val="en-US"/>
              </w:rPr>
              <w:t>1/4</w:t>
            </w:r>
          </w:p>
        </w:tc>
        <w:tc>
          <w:tcPr>
            <w:tcW w:w="130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color w:val="000000"/>
                <w:sz w:val="20"/>
                <w:lang w:val="en-US"/>
              </w:rPr>
            </w:pPr>
            <w:r w:rsidRPr="00362E98">
              <w:rPr>
                <w:rFonts w:ascii="Calibri" w:eastAsia="Times New Roman" w:hAnsi="Calibri" w:cs="Calibri"/>
                <w:color w:val="000000"/>
                <w:sz w:val="20"/>
                <w:lang w:val="en-US"/>
              </w:rPr>
              <w:t>-$22.929</w:t>
            </w:r>
          </w:p>
        </w:tc>
        <w:tc>
          <w:tcPr>
            <w:tcW w:w="134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color w:val="000000"/>
                <w:sz w:val="20"/>
                <w:lang w:val="en-US"/>
              </w:rPr>
            </w:pPr>
            <w:r w:rsidRPr="00362E98">
              <w:rPr>
                <w:rFonts w:ascii="Calibri" w:eastAsia="Times New Roman" w:hAnsi="Calibri" w:cs="Calibri"/>
                <w:color w:val="000000"/>
                <w:sz w:val="20"/>
                <w:lang w:val="en-US"/>
              </w:rPr>
              <w:t>55</w:t>
            </w:r>
          </w:p>
        </w:tc>
        <w:tc>
          <w:tcPr>
            <w:tcW w:w="112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color w:val="000000"/>
                <w:sz w:val="20"/>
                <w:lang w:val="en-US"/>
              </w:rPr>
            </w:pPr>
            <w:r w:rsidRPr="00362E98">
              <w:rPr>
                <w:rFonts w:ascii="Calibri" w:eastAsia="Times New Roman" w:hAnsi="Calibri" w:cs="Calibri"/>
                <w:color w:val="000000"/>
                <w:sz w:val="20"/>
                <w:lang w:val="en-US"/>
              </w:rPr>
              <w:t>-$417</w:t>
            </w:r>
          </w:p>
        </w:tc>
      </w:tr>
      <w:tr w:rsidR="00362E98" w:rsidRPr="00362E98" w:rsidTr="00362E98">
        <w:trPr>
          <w:trHeight w:val="315"/>
          <w:jc w:val="center"/>
        </w:trPr>
        <w:tc>
          <w:tcPr>
            <w:tcW w:w="140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b/>
                <w:bCs/>
                <w:color w:val="000000"/>
                <w:sz w:val="20"/>
                <w:szCs w:val="24"/>
                <w:lang w:val="en-US"/>
              </w:rPr>
            </w:pPr>
            <w:r w:rsidRPr="00362E98">
              <w:rPr>
                <w:rFonts w:ascii="Calibri" w:eastAsia="Times New Roman" w:hAnsi="Calibri" w:cs="Calibri"/>
                <w:b/>
                <w:bCs/>
                <w:color w:val="000000"/>
                <w:sz w:val="20"/>
                <w:szCs w:val="24"/>
                <w:lang w:val="en-US"/>
              </w:rPr>
              <w:t>1/3</w:t>
            </w:r>
          </w:p>
        </w:tc>
        <w:tc>
          <w:tcPr>
            <w:tcW w:w="130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color w:val="000000"/>
                <w:sz w:val="20"/>
                <w:lang w:val="en-US"/>
              </w:rPr>
            </w:pPr>
            <w:r w:rsidRPr="00362E98">
              <w:rPr>
                <w:rFonts w:ascii="Calibri" w:eastAsia="Times New Roman" w:hAnsi="Calibri" w:cs="Calibri"/>
                <w:color w:val="000000"/>
                <w:sz w:val="20"/>
                <w:lang w:val="en-US"/>
              </w:rPr>
              <w:t>-$14.732</w:t>
            </w:r>
          </w:p>
        </w:tc>
        <w:tc>
          <w:tcPr>
            <w:tcW w:w="134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color w:val="000000"/>
                <w:sz w:val="20"/>
                <w:lang w:val="en-US"/>
              </w:rPr>
            </w:pPr>
            <w:r w:rsidRPr="00362E98">
              <w:rPr>
                <w:rFonts w:ascii="Calibri" w:eastAsia="Times New Roman" w:hAnsi="Calibri" w:cs="Calibri"/>
                <w:color w:val="000000"/>
                <w:sz w:val="20"/>
                <w:lang w:val="en-US"/>
              </w:rPr>
              <w:t>38</w:t>
            </w:r>
          </w:p>
        </w:tc>
        <w:tc>
          <w:tcPr>
            <w:tcW w:w="112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color w:val="000000"/>
                <w:sz w:val="20"/>
                <w:lang w:val="en-US"/>
              </w:rPr>
            </w:pPr>
            <w:r w:rsidRPr="00362E98">
              <w:rPr>
                <w:rFonts w:ascii="Calibri" w:eastAsia="Times New Roman" w:hAnsi="Calibri" w:cs="Calibri"/>
                <w:color w:val="000000"/>
                <w:sz w:val="20"/>
                <w:lang w:val="en-US"/>
              </w:rPr>
              <w:t>-$388</w:t>
            </w:r>
          </w:p>
        </w:tc>
      </w:tr>
      <w:tr w:rsidR="00362E98" w:rsidRPr="00362E98" w:rsidTr="00362E98">
        <w:trPr>
          <w:trHeight w:val="315"/>
          <w:jc w:val="center"/>
        </w:trPr>
        <w:tc>
          <w:tcPr>
            <w:tcW w:w="140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b/>
                <w:bCs/>
                <w:color w:val="000000"/>
                <w:sz w:val="20"/>
                <w:szCs w:val="24"/>
                <w:lang w:val="en-US"/>
              </w:rPr>
            </w:pPr>
            <w:r w:rsidRPr="00362E98">
              <w:rPr>
                <w:rFonts w:ascii="Calibri" w:eastAsia="Times New Roman" w:hAnsi="Calibri" w:cs="Calibri"/>
                <w:b/>
                <w:bCs/>
                <w:color w:val="000000"/>
                <w:sz w:val="20"/>
                <w:szCs w:val="24"/>
                <w:lang w:val="en-US"/>
              </w:rPr>
              <w:t>1/2</w:t>
            </w:r>
          </w:p>
        </w:tc>
        <w:tc>
          <w:tcPr>
            <w:tcW w:w="130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color w:val="000000"/>
                <w:sz w:val="20"/>
                <w:lang w:val="en-US"/>
              </w:rPr>
            </w:pPr>
            <w:r w:rsidRPr="00362E98">
              <w:rPr>
                <w:rFonts w:ascii="Calibri" w:eastAsia="Times New Roman" w:hAnsi="Calibri" w:cs="Calibri"/>
                <w:color w:val="000000"/>
                <w:sz w:val="20"/>
                <w:lang w:val="en-US"/>
              </w:rPr>
              <w:t>$9.810</w:t>
            </w:r>
          </w:p>
        </w:tc>
        <w:tc>
          <w:tcPr>
            <w:tcW w:w="134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color w:val="000000"/>
                <w:sz w:val="20"/>
                <w:lang w:val="en-US"/>
              </w:rPr>
            </w:pPr>
            <w:r w:rsidRPr="00362E98">
              <w:rPr>
                <w:rFonts w:ascii="Calibri" w:eastAsia="Times New Roman" w:hAnsi="Calibri" w:cs="Calibri"/>
                <w:color w:val="000000"/>
                <w:sz w:val="20"/>
                <w:lang w:val="en-US"/>
              </w:rPr>
              <w:t>27</w:t>
            </w:r>
          </w:p>
        </w:tc>
        <w:tc>
          <w:tcPr>
            <w:tcW w:w="112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color w:val="000000"/>
                <w:sz w:val="20"/>
                <w:lang w:val="en-US"/>
              </w:rPr>
            </w:pPr>
            <w:r w:rsidRPr="00362E98">
              <w:rPr>
                <w:rFonts w:ascii="Calibri" w:eastAsia="Times New Roman" w:hAnsi="Calibri" w:cs="Calibri"/>
                <w:color w:val="000000"/>
                <w:sz w:val="20"/>
                <w:lang w:val="en-US"/>
              </w:rPr>
              <w:t>$363</w:t>
            </w:r>
          </w:p>
        </w:tc>
      </w:tr>
      <w:tr w:rsidR="00362E98" w:rsidRPr="00362E98" w:rsidTr="00362E98">
        <w:trPr>
          <w:trHeight w:val="315"/>
          <w:jc w:val="center"/>
        </w:trPr>
        <w:tc>
          <w:tcPr>
            <w:tcW w:w="140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b/>
                <w:bCs/>
                <w:color w:val="000000"/>
                <w:sz w:val="20"/>
                <w:szCs w:val="24"/>
                <w:lang w:val="en-US"/>
              </w:rPr>
            </w:pPr>
            <w:r w:rsidRPr="00362E98">
              <w:rPr>
                <w:rFonts w:ascii="Calibri" w:eastAsia="Times New Roman" w:hAnsi="Calibri" w:cs="Calibri"/>
                <w:b/>
                <w:bCs/>
                <w:color w:val="000000"/>
                <w:sz w:val="20"/>
                <w:szCs w:val="24"/>
                <w:lang w:val="en-US"/>
              </w:rPr>
              <w:lastRenderedPageBreak/>
              <w:t>2/3</w:t>
            </w:r>
          </w:p>
        </w:tc>
        <w:tc>
          <w:tcPr>
            <w:tcW w:w="130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color w:val="000000"/>
                <w:sz w:val="20"/>
                <w:lang w:val="en-US"/>
              </w:rPr>
            </w:pPr>
            <w:r w:rsidRPr="00362E98">
              <w:rPr>
                <w:rFonts w:ascii="Calibri" w:eastAsia="Times New Roman" w:hAnsi="Calibri" w:cs="Calibri"/>
                <w:color w:val="000000"/>
                <w:sz w:val="20"/>
                <w:lang w:val="en-US"/>
              </w:rPr>
              <w:t>-$6.474</w:t>
            </w:r>
          </w:p>
        </w:tc>
        <w:tc>
          <w:tcPr>
            <w:tcW w:w="134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color w:val="000000"/>
                <w:sz w:val="20"/>
                <w:lang w:val="en-US"/>
              </w:rPr>
            </w:pPr>
            <w:r w:rsidRPr="00362E98">
              <w:rPr>
                <w:rFonts w:ascii="Calibri" w:eastAsia="Times New Roman" w:hAnsi="Calibri" w:cs="Calibri"/>
                <w:color w:val="000000"/>
                <w:sz w:val="20"/>
                <w:lang w:val="en-US"/>
              </w:rPr>
              <w:t>19</w:t>
            </w:r>
          </w:p>
        </w:tc>
        <w:tc>
          <w:tcPr>
            <w:tcW w:w="112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color w:val="000000"/>
                <w:sz w:val="20"/>
                <w:lang w:val="en-US"/>
              </w:rPr>
            </w:pPr>
            <w:r w:rsidRPr="00362E98">
              <w:rPr>
                <w:rFonts w:ascii="Calibri" w:eastAsia="Times New Roman" w:hAnsi="Calibri" w:cs="Calibri"/>
                <w:color w:val="000000"/>
                <w:sz w:val="20"/>
                <w:lang w:val="en-US"/>
              </w:rPr>
              <w:t>-$341</w:t>
            </w:r>
          </w:p>
        </w:tc>
      </w:tr>
      <w:tr w:rsidR="00362E98" w:rsidRPr="00362E98" w:rsidTr="00362E98">
        <w:trPr>
          <w:trHeight w:val="315"/>
          <w:jc w:val="center"/>
        </w:trPr>
        <w:tc>
          <w:tcPr>
            <w:tcW w:w="1400" w:type="dxa"/>
            <w:tcBorders>
              <w:top w:val="single" w:sz="4" w:space="0" w:color="BFBFBF"/>
              <w:left w:val="single" w:sz="4" w:space="0" w:color="BFBFBF"/>
              <w:bottom w:val="single" w:sz="4" w:space="0" w:color="BFBFBF"/>
              <w:right w:val="single" w:sz="4" w:space="0" w:color="BFBFBF"/>
            </w:tcBorders>
            <w:vAlign w:val="center"/>
            <w:hideMark/>
          </w:tcPr>
          <w:p w:rsidR="00362E98" w:rsidRPr="00362E98" w:rsidRDefault="00362E98" w:rsidP="00362E98">
            <w:pPr>
              <w:spacing w:after="0" w:line="240" w:lineRule="auto"/>
              <w:jc w:val="center"/>
              <w:rPr>
                <w:rFonts w:ascii="Calibri" w:eastAsia="Times New Roman" w:hAnsi="Calibri" w:cs="Calibri"/>
                <w:b/>
                <w:bCs/>
                <w:color w:val="000000"/>
                <w:sz w:val="20"/>
                <w:szCs w:val="24"/>
                <w:lang w:val="en-US"/>
              </w:rPr>
            </w:pPr>
            <w:r w:rsidRPr="00362E98">
              <w:rPr>
                <w:rFonts w:ascii="Calibri" w:eastAsia="Times New Roman" w:hAnsi="Calibri" w:cs="Calibri"/>
                <w:b/>
                <w:bCs/>
                <w:color w:val="000000"/>
                <w:sz w:val="20"/>
                <w:szCs w:val="24"/>
                <w:lang w:val="en-US"/>
              </w:rPr>
              <w:t>5/6</w:t>
            </w:r>
          </w:p>
        </w:tc>
        <w:tc>
          <w:tcPr>
            <w:tcW w:w="130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color w:val="000000"/>
                <w:sz w:val="20"/>
                <w:lang w:val="en-US"/>
              </w:rPr>
            </w:pPr>
            <w:r w:rsidRPr="00362E98">
              <w:rPr>
                <w:rFonts w:ascii="Calibri" w:eastAsia="Times New Roman" w:hAnsi="Calibri" w:cs="Calibri"/>
                <w:color w:val="000000"/>
                <w:sz w:val="20"/>
                <w:lang w:val="en-US"/>
              </w:rPr>
              <w:t>-$5.062</w:t>
            </w:r>
          </w:p>
        </w:tc>
        <w:tc>
          <w:tcPr>
            <w:tcW w:w="134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62E98">
            <w:pPr>
              <w:spacing w:after="0" w:line="240" w:lineRule="auto"/>
              <w:jc w:val="center"/>
              <w:rPr>
                <w:rFonts w:ascii="Calibri" w:eastAsia="Times New Roman" w:hAnsi="Calibri" w:cs="Calibri"/>
                <w:color w:val="000000"/>
                <w:sz w:val="20"/>
                <w:lang w:val="en-US"/>
              </w:rPr>
            </w:pPr>
            <w:r w:rsidRPr="00362E98">
              <w:rPr>
                <w:rFonts w:ascii="Calibri" w:eastAsia="Times New Roman" w:hAnsi="Calibri" w:cs="Calibri"/>
                <w:color w:val="000000"/>
                <w:sz w:val="20"/>
                <w:lang w:val="en-US"/>
              </w:rPr>
              <w:t>18</w:t>
            </w:r>
          </w:p>
        </w:tc>
        <w:tc>
          <w:tcPr>
            <w:tcW w:w="1120" w:type="dxa"/>
            <w:tcBorders>
              <w:top w:val="single" w:sz="4" w:space="0" w:color="BFBFBF"/>
              <w:left w:val="single" w:sz="4" w:space="0" w:color="BFBFBF"/>
              <w:bottom w:val="single" w:sz="4" w:space="0" w:color="BFBFBF"/>
              <w:right w:val="single" w:sz="4" w:space="0" w:color="BFBFBF"/>
            </w:tcBorders>
            <w:noWrap/>
            <w:vAlign w:val="center"/>
            <w:hideMark/>
          </w:tcPr>
          <w:p w:rsidR="00362E98" w:rsidRPr="00362E98" w:rsidRDefault="00362E98" w:rsidP="00351596">
            <w:pPr>
              <w:keepNext/>
              <w:spacing w:after="0" w:line="240" w:lineRule="auto"/>
              <w:jc w:val="center"/>
              <w:rPr>
                <w:rFonts w:ascii="Calibri" w:eastAsia="Times New Roman" w:hAnsi="Calibri" w:cs="Calibri"/>
                <w:color w:val="000000"/>
                <w:sz w:val="20"/>
                <w:lang w:val="en-US"/>
              </w:rPr>
            </w:pPr>
            <w:r w:rsidRPr="00362E98">
              <w:rPr>
                <w:rFonts w:ascii="Calibri" w:eastAsia="Times New Roman" w:hAnsi="Calibri" w:cs="Calibri"/>
                <w:color w:val="000000"/>
                <w:sz w:val="20"/>
                <w:lang w:val="en-US"/>
              </w:rPr>
              <w:t>-$281</w:t>
            </w:r>
          </w:p>
        </w:tc>
      </w:tr>
    </w:tbl>
    <w:p w:rsidR="00362E98" w:rsidRDefault="00351596" w:rsidP="00351596">
      <w:pPr>
        <w:pStyle w:val="Caption"/>
        <w:jc w:val="center"/>
      </w:pPr>
      <w:r>
        <w:t xml:space="preserve">Table </w:t>
      </w:r>
      <w:r>
        <w:fldChar w:fldCharType="begin"/>
      </w:r>
      <w:r>
        <w:instrText xml:space="preserve"> SEQ Table \* ARABIC </w:instrText>
      </w:r>
      <w:r>
        <w:fldChar w:fldCharType="separate"/>
      </w:r>
      <w:r w:rsidR="006A69FB">
        <w:rPr>
          <w:noProof/>
        </w:rPr>
        <w:t>2</w:t>
      </w:r>
      <w:r>
        <w:fldChar w:fldCharType="end"/>
      </w:r>
      <w:r>
        <w:t xml:space="preserve"> - Resultados en función del tamaño de la Ventana. M=2, n=1. Costo USD 0.08 y comisión 0.1%</w:t>
      </w:r>
    </w:p>
    <w:p w:rsidR="00362E98" w:rsidRDefault="00362E98" w:rsidP="00D41E74">
      <w:pPr>
        <w:spacing w:after="0" w:line="240" w:lineRule="auto"/>
      </w:pPr>
    </w:p>
    <w:p w:rsidR="00362E98" w:rsidRDefault="00362E98" w:rsidP="00D41E74">
      <w:pPr>
        <w:spacing w:after="0" w:line="240" w:lineRule="auto"/>
      </w:pPr>
    </w:p>
    <w:p w:rsidR="00362E98" w:rsidRDefault="00351596" w:rsidP="006A69FB">
      <w:pPr>
        <w:spacing w:after="0" w:line="240" w:lineRule="auto"/>
        <w:jc w:val="both"/>
      </w:pPr>
      <w:r>
        <w:t xml:space="preserve">Por último, ante el descubrimiento que el </w:t>
      </w:r>
      <w:proofErr w:type="spellStart"/>
      <w:r>
        <w:t>bid-ask</w:t>
      </w:r>
      <w:proofErr w:type="spellEnd"/>
      <w:r>
        <w:t xml:space="preserve"> spread es el responsable de las pérdidas incurridas en la estrategia, se ajustó el modelo para que sólo abra posiciones si el </w:t>
      </w:r>
      <w:proofErr w:type="spellStart"/>
      <w:r>
        <w:t>bid-ask</w:t>
      </w:r>
      <w:proofErr w:type="spellEnd"/>
      <w:r>
        <w:t xml:space="preserve"> spread de los instrumentos se encuentra debajo de una cota.</w:t>
      </w:r>
      <w:r w:rsidR="006A69FB">
        <w:t xml:space="preserve"> En la tabla </w:t>
      </w:r>
      <w:r w:rsidR="00310A8C">
        <w:t>3 se muestra que al limitar la apertura de las posiciones tiene el efecto de ir mejorando el resultado por operación, pero sin embargo no se llega a lograr resultados positivos.</w:t>
      </w:r>
    </w:p>
    <w:p w:rsidR="006A69FB" w:rsidRDefault="006A69FB" w:rsidP="006A69FB">
      <w:pPr>
        <w:spacing w:after="0" w:line="240" w:lineRule="auto"/>
        <w:jc w:val="both"/>
      </w:pPr>
    </w:p>
    <w:tbl>
      <w:tblPr>
        <w:tblW w:w="5160" w:type="dxa"/>
        <w:jc w:val="center"/>
        <w:tblCellMar>
          <w:top w:w="15" w:type="dxa"/>
          <w:bottom w:w="15" w:type="dxa"/>
        </w:tblCellMar>
        <w:tblLook w:val="04A0" w:firstRow="1" w:lastRow="0" w:firstColumn="1" w:lastColumn="0" w:noHBand="0" w:noVBand="1"/>
      </w:tblPr>
      <w:tblGrid>
        <w:gridCol w:w="1400"/>
        <w:gridCol w:w="1300"/>
        <w:gridCol w:w="1340"/>
        <w:gridCol w:w="1120"/>
      </w:tblGrid>
      <w:tr w:rsidR="006A69FB" w:rsidRPr="006A69FB" w:rsidTr="006A69FB">
        <w:trPr>
          <w:trHeight w:val="930"/>
          <w:jc w:val="center"/>
        </w:trPr>
        <w:tc>
          <w:tcPr>
            <w:tcW w:w="1400" w:type="dxa"/>
            <w:tcBorders>
              <w:top w:val="single" w:sz="4" w:space="0" w:color="BFBFBF"/>
              <w:left w:val="single" w:sz="4" w:space="0" w:color="BFBFBF"/>
              <w:bottom w:val="single" w:sz="4" w:space="0" w:color="BFBFBF"/>
              <w:right w:val="single" w:sz="4" w:space="0" w:color="BFBFBF"/>
            </w:tcBorders>
            <w:vAlign w:val="center"/>
            <w:hideMark/>
          </w:tcPr>
          <w:p w:rsidR="006A69FB" w:rsidRPr="006A69FB" w:rsidRDefault="006A69FB" w:rsidP="006A69FB">
            <w:pPr>
              <w:spacing w:after="0" w:line="240" w:lineRule="auto"/>
              <w:jc w:val="center"/>
              <w:rPr>
                <w:rFonts w:ascii="Calibri" w:eastAsia="Times New Roman" w:hAnsi="Calibri" w:cs="Times New Roman"/>
                <w:b/>
                <w:bCs/>
                <w:color w:val="000000"/>
                <w:sz w:val="20"/>
                <w:szCs w:val="24"/>
                <w:lang w:val="en-US"/>
              </w:rPr>
            </w:pPr>
            <w:r w:rsidRPr="006A69FB">
              <w:rPr>
                <w:rFonts w:ascii="Calibri" w:eastAsia="Times New Roman" w:hAnsi="Calibri" w:cs="Times New Roman"/>
                <w:b/>
                <w:bCs/>
                <w:color w:val="000000"/>
                <w:sz w:val="20"/>
                <w:szCs w:val="24"/>
                <w:lang w:val="en-US"/>
              </w:rPr>
              <w:t xml:space="preserve">Cota </w:t>
            </w:r>
            <w:proofErr w:type="spellStart"/>
            <w:r w:rsidRPr="006A69FB">
              <w:rPr>
                <w:rFonts w:ascii="Calibri" w:eastAsia="Times New Roman" w:hAnsi="Calibri" w:cs="Times New Roman"/>
                <w:b/>
                <w:bCs/>
                <w:color w:val="000000"/>
                <w:sz w:val="20"/>
                <w:szCs w:val="24"/>
                <w:lang w:val="en-US"/>
              </w:rPr>
              <w:t>en</w:t>
            </w:r>
            <w:proofErr w:type="spellEnd"/>
            <w:r w:rsidRPr="006A69FB">
              <w:rPr>
                <w:rFonts w:ascii="Calibri" w:eastAsia="Times New Roman" w:hAnsi="Calibri" w:cs="Times New Roman"/>
                <w:b/>
                <w:bCs/>
                <w:color w:val="000000"/>
                <w:sz w:val="20"/>
                <w:szCs w:val="24"/>
                <w:lang w:val="en-US"/>
              </w:rPr>
              <w:t xml:space="preserve"> el Spread</w:t>
            </w:r>
          </w:p>
        </w:tc>
        <w:tc>
          <w:tcPr>
            <w:tcW w:w="1300" w:type="dxa"/>
            <w:tcBorders>
              <w:top w:val="single" w:sz="4" w:space="0" w:color="BFBFBF"/>
              <w:left w:val="single" w:sz="4" w:space="0" w:color="BFBFBF"/>
              <w:bottom w:val="single" w:sz="4" w:space="0" w:color="BFBFBF"/>
              <w:right w:val="single" w:sz="4" w:space="0" w:color="BFBFBF"/>
            </w:tcBorders>
            <w:vAlign w:val="center"/>
            <w:hideMark/>
          </w:tcPr>
          <w:p w:rsidR="006A69FB" w:rsidRPr="006A69FB" w:rsidRDefault="006A69FB" w:rsidP="006A69FB">
            <w:pPr>
              <w:spacing w:after="0" w:line="240" w:lineRule="auto"/>
              <w:jc w:val="center"/>
              <w:rPr>
                <w:rFonts w:ascii="Calibri" w:eastAsia="Times New Roman" w:hAnsi="Calibri" w:cs="Times New Roman"/>
                <w:b/>
                <w:bCs/>
                <w:color w:val="000000"/>
                <w:sz w:val="20"/>
                <w:szCs w:val="24"/>
                <w:lang w:val="en-US"/>
              </w:rPr>
            </w:pPr>
            <w:proofErr w:type="spellStart"/>
            <w:r w:rsidRPr="006A69FB">
              <w:rPr>
                <w:rFonts w:ascii="Calibri" w:eastAsia="Times New Roman" w:hAnsi="Calibri" w:cs="Times New Roman"/>
                <w:b/>
                <w:bCs/>
                <w:color w:val="000000"/>
                <w:sz w:val="20"/>
                <w:szCs w:val="24"/>
                <w:lang w:val="en-US"/>
              </w:rPr>
              <w:t>Resultado</w:t>
            </w:r>
            <w:proofErr w:type="spellEnd"/>
            <w:r w:rsidRPr="006A69FB">
              <w:rPr>
                <w:rFonts w:ascii="Calibri" w:eastAsia="Times New Roman" w:hAnsi="Calibri" w:cs="Times New Roman"/>
                <w:b/>
                <w:bCs/>
                <w:color w:val="000000"/>
                <w:sz w:val="20"/>
                <w:szCs w:val="24"/>
                <w:lang w:val="en-US"/>
              </w:rPr>
              <w:t xml:space="preserve"> (M=2, n=1)</w:t>
            </w:r>
          </w:p>
        </w:tc>
        <w:tc>
          <w:tcPr>
            <w:tcW w:w="1340" w:type="dxa"/>
            <w:tcBorders>
              <w:top w:val="single" w:sz="4" w:space="0" w:color="BFBFBF"/>
              <w:left w:val="single" w:sz="4" w:space="0" w:color="BFBFBF"/>
              <w:bottom w:val="single" w:sz="4" w:space="0" w:color="BFBFBF"/>
              <w:right w:val="single" w:sz="4" w:space="0" w:color="BFBFBF"/>
            </w:tcBorders>
            <w:vAlign w:val="center"/>
            <w:hideMark/>
          </w:tcPr>
          <w:p w:rsidR="006A69FB" w:rsidRPr="006A69FB" w:rsidRDefault="006A69FB" w:rsidP="006A69FB">
            <w:pPr>
              <w:spacing w:after="0" w:line="240" w:lineRule="auto"/>
              <w:jc w:val="center"/>
              <w:rPr>
                <w:rFonts w:ascii="Calibri" w:eastAsia="Times New Roman" w:hAnsi="Calibri" w:cs="Times New Roman"/>
                <w:b/>
                <w:bCs/>
                <w:color w:val="000000"/>
                <w:sz w:val="20"/>
                <w:szCs w:val="24"/>
                <w:lang w:val="en-US"/>
              </w:rPr>
            </w:pPr>
            <w:proofErr w:type="spellStart"/>
            <w:r w:rsidRPr="006A69FB">
              <w:rPr>
                <w:rFonts w:ascii="Calibri" w:eastAsia="Times New Roman" w:hAnsi="Calibri" w:cs="Times New Roman"/>
                <w:b/>
                <w:bCs/>
                <w:color w:val="000000"/>
                <w:sz w:val="20"/>
                <w:szCs w:val="24"/>
                <w:lang w:val="en-US"/>
              </w:rPr>
              <w:t>Cantidad</w:t>
            </w:r>
            <w:proofErr w:type="spellEnd"/>
            <w:r w:rsidRPr="006A69FB">
              <w:rPr>
                <w:rFonts w:ascii="Calibri" w:eastAsia="Times New Roman" w:hAnsi="Calibri" w:cs="Times New Roman"/>
                <w:b/>
                <w:bCs/>
                <w:color w:val="000000"/>
                <w:sz w:val="20"/>
                <w:szCs w:val="24"/>
                <w:lang w:val="en-US"/>
              </w:rPr>
              <w:t xml:space="preserve"> </w:t>
            </w:r>
            <w:r w:rsidR="00310A8C">
              <w:rPr>
                <w:rFonts w:ascii="Calibri" w:eastAsia="Times New Roman" w:hAnsi="Calibri" w:cs="Times New Roman"/>
                <w:b/>
                <w:bCs/>
                <w:color w:val="000000"/>
                <w:sz w:val="20"/>
                <w:szCs w:val="24"/>
                <w:lang w:val="en-US"/>
              </w:rPr>
              <w:t xml:space="preserve">de </w:t>
            </w:r>
            <w:proofErr w:type="spellStart"/>
            <w:r w:rsidRPr="006A69FB">
              <w:rPr>
                <w:rFonts w:ascii="Calibri" w:eastAsia="Times New Roman" w:hAnsi="Calibri" w:cs="Times New Roman"/>
                <w:b/>
                <w:bCs/>
                <w:color w:val="000000"/>
                <w:sz w:val="20"/>
                <w:szCs w:val="24"/>
                <w:lang w:val="en-US"/>
              </w:rPr>
              <w:t>Operaciones</w:t>
            </w:r>
            <w:proofErr w:type="spellEnd"/>
          </w:p>
        </w:tc>
        <w:tc>
          <w:tcPr>
            <w:tcW w:w="1120" w:type="dxa"/>
            <w:tcBorders>
              <w:top w:val="single" w:sz="4" w:space="0" w:color="BFBFBF"/>
              <w:left w:val="single" w:sz="4" w:space="0" w:color="BFBFBF"/>
              <w:bottom w:val="single" w:sz="4" w:space="0" w:color="BFBFBF"/>
              <w:right w:val="single" w:sz="4" w:space="0" w:color="BFBFBF"/>
            </w:tcBorders>
            <w:vAlign w:val="center"/>
            <w:hideMark/>
          </w:tcPr>
          <w:p w:rsidR="006A69FB" w:rsidRPr="006A69FB" w:rsidRDefault="006A69FB" w:rsidP="006A69FB">
            <w:pPr>
              <w:spacing w:after="0" w:line="240" w:lineRule="auto"/>
              <w:jc w:val="center"/>
              <w:rPr>
                <w:rFonts w:ascii="Calibri" w:eastAsia="Times New Roman" w:hAnsi="Calibri" w:cs="Times New Roman"/>
                <w:b/>
                <w:bCs/>
                <w:color w:val="000000"/>
                <w:sz w:val="20"/>
                <w:szCs w:val="24"/>
                <w:lang w:val="en-US"/>
              </w:rPr>
            </w:pPr>
            <w:proofErr w:type="spellStart"/>
            <w:r w:rsidRPr="006A69FB">
              <w:rPr>
                <w:rFonts w:ascii="Calibri" w:eastAsia="Times New Roman" w:hAnsi="Calibri" w:cs="Times New Roman"/>
                <w:b/>
                <w:bCs/>
                <w:color w:val="000000"/>
                <w:sz w:val="20"/>
                <w:szCs w:val="24"/>
                <w:lang w:val="en-US"/>
              </w:rPr>
              <w:t>Resultado</w:t>
            </w:r>
            <w:proofErr w:type="spellEnd"/>
            <w:r w:rsidRPr="006A69FB">
              <w:rPr>
                <w:rFonts w:ascii="Calibri" w:eastAsia="Times New Roman" w:hAnsi="Calibri" w:cs="Times New Roman"/>
                <w:b/>
                <w:bCs/>
                <w:color w:val="000000"/>
                <w:sz w:val="20"/>
                <w:szCs w:val="24"/>
                <w:lang w:val="en-US"/>
              </w:rPr>
              <w:t xml:space="preserve"> </w:t>
            </w:r>
            <w:proofErr w:type="spellStart"/>
            <w:r w:rsidRPr="006A69FB">
              <w:rPr>
                <w:rFonts w:ascii="Calibri" w:eastAsia="Times New Roman" w:hAnsi="Calibri" w:cs="Times New Roman"/>
                <w:b/>
                <w:bCs/>
                <w:color w:val="000000"/>
                <w:sz w:val="20"/>
                <w:szCs w:val="24"/>
                <w:lang w:val="en-US"/>
              </w:rPr>
              <w:t>por</w:t>
            </w:r>
            <w:proofErr w:type="spellEnd"/>
            <w:r w:rsidRPr="006A69FB">
              <w:rPr>
                <w:rFonts w:ascii="Calibri" w:eastAsia="Times New Roman" w:hAnsi="Calibri" w:cs="Times New Roman"/>
                <w:b/>
                <w:bCs/>
                <w:color w:val="000000"/>
                <w:sz w:val="20"/>
                <w:szCs w:val="24"/>
                <w:lang w:val="en-US"/>
              </w:rPr>
              <w:t xml:space="preserve"> </w:t>
            </w:r>
            <w:proofErr w:type="spellStart"/>
            <w:r w:rsidRPr="006A69FB">
              <w:rPr>
                <w:rFonts w:ascii="Calibri" w:eastAsia="Times New Roman" w:hAnsi="Calibri" w:cs="Times New Roman"/>
                <w:b/>
                <w:bCs/>
                <w:color w:val="000000"/>
                <w:sz w:val="20"/>
                <w:szCs w:val="24"/>
                <w:lang w:val="en-US"/>
              </w:rPr>
              <w:t>Operación</w:t>
            </w:r>
            <w:proofErr w:type="spellEnd"/>
          </w:p>
        </w:tc>
      </w:tr>
      <w:tr w:rsidR="006A69FB" w:rsidRPr="006A69FB" w:rsidTr="006A69FB">
        <w:trPr>
          <w:trHeight w:val="315"/>
          <w:jc w:val="center"/>
        </w:trPr>
        <w:tc>
          <w:tcPr>
            <w:tcW w:w="140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b/>
                <w:bCs/>
                <w:color w:val="000000"/>
                <w:sz w:val="20"/>
                <w:szCs w:val="24"/>
                <w:lang w:val="en-US"/>
              </w:rPr>
            </w:pPr>
            <w:r w:rsidRPr="006A69FB">
              <w:rPr>
                <w:rFonts w:ascii="Calibri" w:eastAsia="Times New Roman" w:hAnsi="Calibri" w:cs="Times New Roman"/>
                <w:b/>
                <w:bCs/>
                <w:color w:val="000000"/>
                <w:sz w:val="20"/>
                <w:szCs w:val="24"/>
                <w:lang w:val="en-US"/>
              </w:rPr>
              <w:t>2000</w:t>
            </w:r>
          </w:p>
        </w:tc>
        <w:tc>
          <w:tcPr>
            <w:tcW w:w="130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color w:val="000000"/>
                <w:sz w:val="20"/>
                <w:lang w:val="en-US"/>
              </w:rPr>
            </w:pPr>
            <w:r w:rsidRPr="006A69FB">
              <w:rPr>
                <w:rFonts w:ascii="Calibri" w:eastAsia="Times New Roman" w:hAnsi="Calibri" w:cs="Times New Roman"/>
                <w:color w:val="000000"/>
                <w:sz w:val="20"/>
                <w:lang w:val="en-US"/>
              </w:rPr>
              <w:t>-$14.731</w:t>
            </w:r>
          </w:p>
        </w:tc>
        <w:tc>
          <w:tcPr>
            <w:tcW w:w="134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color w:val="000000"/>
                <w:sz w:val="20"/>
                <w:lang w:val="en-US"/>
              </w:rPr>
            </w:pPr>
            <w:r w:rsidRPr="006A69FB">
              <w:rPr>
                <w:rFonts w:ascii="Calibri" w:eastAsia="Times New Roman" w:hAnsi="Calibri" w:cs="Times New Roman"/>
                <w:color w:val="000000"/>
                <w:sz w:val="20"/>
                <w:lang w:val="en-US"/>
              </w:rPr>
              <w:t>38</w:t>
            </w:r>
          </w:p>
        </w:tc>
        <w:tc>
          <w:tcPr>
            <w:tcW w:w="112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color w:val="000000"/>
                <w:sz w:val="20"/>
                <w:lang w:val="en-US"/>
              </w:rPr>
            </w:pPr>
            <w:r w:rsidRPr="006A69FB">
              <w:rPr>
                <w:rFonts w:ascii="Calibri" w:eastAsia="Times New Roman" w:hAnsi="Calibri" w:cs="Times New Roman"/>
                <w:color w:val="000000"/>
                <w:sz w:val="20"/>
                <w:lang w:val="en-US"/>
              </w:rPr>
              <w:t>-$388</w:t>
            </w:r>
          </w:p>
        </w:tc>
      </w:tr>
      <w:tr w:rsidR="006A69FB" w:rsidRPr="006A69FB" w:rsidTr="006A69FB">
        <w:trPr>
          <w:trHeight w:val="315"/>
          <w:jc w:val="center"/>
        </w:trPr>
        <w:tc>
          <w:tcPr>
            <w:tcW w:w="140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b/>
                <w:bCs/>
                <w:color w:val="000000"/>
                <w:sz w:val="20"/>
                <w:szCs w:val="24"/>
                <w:lang w:val="en-US"/>
              </w:rPr>
            </w:pPr>
            <w:r w:rsidRPr="006A69FB">
              <w:rPr>
                <w:rFonts w:ascii="Calibri" w:eastAsia="Times New Roman" w:hAnsi="Calibri" w:cs="Times New Roman"/>
                <w:b/>
                <w:bCs/>
                <w:color w:val="000000"/>
                <w:sz w:val="20"/>
                <w:szCs w:val="24"/>
                <w:lang w:val="en-US"/>
              </w:rPr>
              <w:t>1000</w:t>
            </w:r>
          </w:p>
        </w:tc>
        <w:tc>
          <w:tcPr>
            <w:tcW w:w="130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color w:val="000000"/>
                <w:sz w:val="20"/>
                <w:lang w:val="en-US"/>
              </w:rPr>
            </w:pPr>
            <w:r w:rsidRPr="006A69FB">
              <w:rPr>
                <w:rFonts w:ascii="Calibri" w:eastAsia="Times New Roman" w:hAnsi="Calibri" w:cs="Times New Roman"/>
                <w:color w:val="000000"/>
                <w:sz w:val="20"/>
                <w:lang w:val="en-US"/>
              </w:rPr>
              <w:t>-$14.039</w:t>
            </w:r>
          </w:p>
        </w:tc>
        <w:tc>
          <w:tcPr>
            <w:tcW w:w="134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color w:val="000000"/>
                <w:sz w:val="20"/>
                <w:lang w:val="en-US"/>
              </w:rPr>
            </w:pPr>
            <w:r w:rsidRPr="006A69FB">
              <w:rPr>
                <w:rFonts w:ascii="Calibri" w:eastAsia="Times New Roman" w:hAnsi="Calibri" w:cs="Times New Roman"/>
                <w:color w:val="000000"/>
                <w:sz w:val="20"/>
                <w:lang w:val="en-US"/>
              </w:rPr>
              <w:t>37</w:t>
            </w:r>
          </w:p>
        </w:tc>
        <w:tc>
          <w:tcPr>
            <w:tcW w:w="112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color w:val="000000"/>
                <w:sz w:val="20"/>
                <w:lang w:val="en-US"/>
              </w:rPr>
            </w:pPr>
            <w:r w:rsidRPr="006A69FB">
              <w:rPr>
                <w:rFonts w:ascii="Calibri" w:eastAsia="Times New Roman" w:hAnsi="Calibri" w:cs="Times New Roman"/>
                <w:color w:val="000000"/>
                <w:sz w:val="20"/>
                <w:lang w:val="en-US"/>
              </w:rPr>
              <w:t>-$379</w:t>
            </w:r>
          </w:p>
        </w:tc>
      </w:tr>
      <w:tr w:rsidR="006A69FB" w:rsidRPr="006A69FB" w:rsidTr="006A69FB">
        <w:trPr>
          <w:trHeight w:val="315"/>
          <w:jc w:val="center"/>
        </w:trPr>
        <w:tc>
          <w:tcPr>
            <w:tcW w:w="140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b/>
                <w:bCs/>
                <w:color w:val="000000"/>
                <w:sz w:val="20"/>
                <w:szCs w:val="24"/>
                <w:lang w:val="en-US"/>
              </w:rPr>
            </w:pPr>
            <w:r w:rsidRPr="006A69FB">
              <w:rPr>
                <w:rFonts w:ascii="Calibri" w:eastAsia="Times New Roman" w:hAnsi="Calibri" w:cs="Times New Roman"/>
                <w:b/>
                <w:bCs/>
                <w:color w:val="000000"/>
                <w:sz w:val="20"/>
                <w:szCs w:val="24"/>
                <w:lang w:val="en-US"/>
              </w:rPr>
              <w:t>500</w:t>
            </w:r>
          </w:p>
        </w:tc>
        <w:tc>
          <w:tcPr>
            <w:tcW w:w="130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color w:val="000000"/>
                <w:sz w:val="20"/>
                <w:lang w:val="en-US"/>
              </w:rPr>
            </w:pPr>
            <w:r w:rsidRPr="006A69FB">
              <w:rPr>
                <w:rFonts w:ascii="Calibri" w:eastAsia="Times New Roman" w:hAnsi="Calibri" w:cs="Times New Roman"/>
                <w:color w:val="000000"/>
                <w:sz w:val="20"/>
                <w:lang w:val="en-US"/>
              </w:rPr>
              <w:t>-$13.684</w:t>
            </w:r>
          </w:p>
        </w:tc>
        <w:tc>
          <w:tcPr>
            <w:tcW w:w="134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color w:val="000000"/>
                <w:sz w:val="20"/>
                <w:lang w:val="en-US"/>
              </w:rPr>
            </w:pPr>
            <w:r w:rsidRPr="006A69FB">
              <w:rPr>
                <w:rFonts w:ascii="Calibri" w:eastAsia="Times New Roman" w:hAnsi="Calibri" w:cs="Times New Roman"/>
                <w:color w:val="000000"/>
                <w:sz w:val="20"/>
                <w:lang w:val="en-US"/>
              </w:rPr>
              <w:t>36</w:t>
            </w:r>
          </w:p>
        </w:tc>
        <w:tc>
          <w:tcPr>
            <w:tcW w:w="112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color w:val="000000"/>
                <w:sz w:val="20"/>
                <w:lang w:val="en-US"/>
              </w:rPr>
            </w:pPr>
            <w:r w:rsidRPr="006A69FB">
              <w:rPr>
                <w:rFonts w:ascii="Calibri" w:eastAsia="Times New Roman" w:hAnsi="Calibri" w:cs="Times New Roman"/>
                <w:color w:val="000000"/>
                <w:sz w:val="20"/>
                <w:lang w:val="en-US"/>
              </w:rPr>
              <w:t>-$380</w:t>
            </w:r>
          </w:p>
        </w:tc>
      </w:tr>
      <w:tr w:rsidR="006A69FB" w:rsidRPr="006A69FB" w:rsidTr="006A69FB">
        <w:trPr>
          <w:trHeight w:val="315"/>
          <w:jc w:val="center"/>
        </w:trPr>
        <w:tc>
          <w:tcPr>
            <w:tcW w:w="140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b/>
                <w:bCs/>
                <w:color w:val="000000"/>
                <w:sz w:val="20"/>
                <w:szCs w:val="24"/>
                <w:lang w:val="en-US"/>
              </w:rPr>
            </w:pPr>
            <w:r w:rsidRPr="006A69FB">
              <w:rPr>
                <w:rFonts w:ascii="Calibri" w:eastAsia="Times New Roman" w:hAnsi="Calibri" w:cs="Times New Roman"/>
                <w:b/>
                <w:bCs/>
                <w:color w:val="000000"/>
                <w:sz w:val="20"/>
                <w:szCs w:val="24"/>
                <w:lang w:val="en-US"/>
              </w:rPr>
              <w:t>300</w:t>
            </w:r>
          </w:p>
        </w:tc>
        <w:tc>
          <w:tcPr>
            <w:tcW w:w="130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color w:val="000000"/>
                <w:sz w:val="20"/>
                <w:lang w:val="en-US"/>
              </w:rPr>
            </w:pPr>
            <w:r w:rsidRPr="006A69FB">
              <w:rPr>
                <w:rFonts w:ascii="Calibri" w:eastAsia="Times New Roman" w:hAnsi="Calibri" w:cs="Times New Roman"/>
                <w:color w:val="000000"/>
                <w:sz w:val="20"/>
                <w:lang w:val="en-US"/>
              </w:rPr>
              <w:t>-$10.566</w:t>
            </w:r>
          </w:p>
        </w:tc>
        <w:tc>
          <w:tcPr>
            <w:tcW w:w="134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color w:val="000000"/>
                <w:sz w:val="20"/>
                <w:lang w:val="en-US"/>
              </w:rPr>
            </w:pPr>
            <w:r w:rsidRPr="006A69FB">
              <w:rPr>
                <w:rFonts w:ascii="Calibri" w:eastAsia="Times New Roman" w:hAnsi="Calibri" w:cs="Times New Roman"/>
                <w:color w:val="000000"/>
                <w:sz w:val="20"/>
                <w:lang w:val="en-US"/>
              </w:rPr>
              <w:t>31</w:t>
            </w:r>
          </w:p>
        </w:tc>
        <w:tc>
          <w:tcPr>
            <w:tcW w:w="112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color w:val="000000"/>
                <w:sz w:val="20"/>
                <w:lang w:val="en-US"/>
              </w:rPr>
            </w:pPr>
            <w:r w:rsidRPr="006A69FB">
              <w:rPr>
                <w:rFonts w:ascii="Calibri" w:eastAsia="Times New Roman" w:hAnsi="Calibri" w:cs="Times New Roman"/>
                <w:color w:val="000000"/>
                <w:sz w:val="20"/>
                <w:lang w:val="en-US"/>
              </w:rPr>
              <w:t>-$341</w:t>
            </w:r>
          </w:p>
        </w:tc>
      </w:tr>
      <w:tr w:rsidR="006A69FB" w:rsidRPr="006A69FB" w:rsidTr="006A69FB">
        <w:trPr>
          <w:trHeight w:val="315"/>
          <w:jc w:val="center"/>
        </w:trPr>
        <w:tc>
          <w:tcPr>
            <w:tcW w:w="1400" w:type="dxa"/>
            <w:tcBorders>
              <w:top w:val="single" w:sz="4" w:space="0" w:color="BFBFBF"/>
              <w:left w:val="single" w:sz="4" w:space="0" w:color="BFBFBF"/>
              <w:bottom w:val="single" w:sz="4" w:space="0" w:color="BFBFBF"/>
              <w:right w:val="single" w:sz="4" w:space="0" w:color="BFBFBF"/>
            </w:tcBorders>
            <w:vAlign w:val="center"/>
            <w:hideMark/>
          </w:tcPr>
          <w:p w:rsidR="006A69FB" w:rsidRPr="006A69FB" w:rsidRDefault="006A69FB" w:rsidP="006A69FB">
            <w:pPr>
              <w:spacing w:after="0" w:line="240" w:lineRule="auto"/>
              <w:jc w:val="center"/>
              <w:rPr>
                <w:rFonts w:ascii="Calibri" w:eastAsia="Times New Roman" w:hAnsi="Calibri" w:cs="Times New Roman"/>
                <w:b/>
                <w:bCs/>
                <w:color w:val="000000"/>
                <w:sz w:val="20"/>
                <w:szCs w:val="24"/>
                <w:lang w:val="en-US"/>
              </w:rPr>
            </w:pPr>
            <w:r w:rsidRPr="006A69FB">
              <w:rPr>
                <w:rFonts w:ascii="Calibri" w:eastAsia="Times New Roman" w:hAnsi="Calibri" w:cs="Times New Roman"/>
                <w:b/>
                <w:bCs/>
                <w:color w:val="000000"/>
                <w:sz w:val="20"/>
                <w:szCs w:val="24"/>
                <w:lang w:val="en-US"/>
              </w:rPr>
              <w:t>200</w:t>
            </w:r>
          </w:p>
        </w:tc>
        <w:tc>
          <w:tcPr>
            <w:tcW w:w="130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color w:val="000000"/>
                <w:sz w:val="20"/>
                <w:lang w:val="en-US"/>
              </w:rPr>
            </w:pPr>
            <w:r w:rsidRPr="006A69FB">
              <w:rPr>
                <w:rFonts w:ascii="Calibri" w:eastAsia="Times New Roman" w:hAnsi="Calibri" w:cs="Times New Roman"/>
                <w:color w:val="000000"/>
                <w:sz w:val="20"/>
                <w:lang w:val="en-US"/>
              </w:rPr>
              <w:t>-$8.897</w:t>
            </w:r>
          </w:p>
        </w:tc>
        <w:tc>
          <w:tcPr>
            <w:tcW w:w="134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color w:val="000000"/>
                <w:sz w:val="20"/>
                <w:lang w:val="en-US"/>
              </w:rPr>
            </w:pPr>
            <w:r w:rsidRPr="006A69FB">
              <w:rPr>
                <w:rFonts w:ascii="Calibri" w:eastAsia="Times New Roman" w:hAnsi="Calibri" w:cs="Times New Roman"/>
                <w:color w:val="000000"/>
                <w:sz w:val="20"/>
                <w:lang w:val="en-US"/>
              </w:rPr>
              <w:t>26</w:t>
            </w:r>
          </w:p>
        </w:tc>
        <w:tc>
          <w:tcPr>
            <w:tcW w:w="112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color w:val="000000"/>
                <w:sz w:val="20"/>
                <w:lang w:val="en-US"/>
              </w:rPr>
            </w:pPr>
            <w:r w:rsidRPr="006A69FB">
              <w:rPr>
                <w:rFonts w:ascii="Calibri" w:eastAsia="Times New Roman" w:hAnsi="Calibri" w:cs="Times New Roman"/>
                <w:color w:val="000000"/>
                <w:sz w:val="20"/>
                <w:lang w:val="en-US"/>
              </w:rPr>
              <w:t>-$342</w:t>
            </w:r>
          </w:p>
        </w:tc>
      </w:tr>
      <w:tr w:rsidR="006A69FB" w:rsidRPr="006A69FB" w:rsidTr="006A69FB">
        <w:trPr>
          <w:trHeight w:val="315"/>
          <w:jc w:val="center"/>
        </w:trPr>
        <w:tc>
          <w:tcPr>
            <w:tcW w:w="1400" w:type="dxa"/>
            <w:tcBorders>
              <w:top w:val="single" w:sz="4" w:space="0" w:color="BFBFBF"/>
              <w:left w:val="single" w:sz="4" w:space="0" w:color="BFBFBF"/>
              <w:bottom w:val="single" w:sz="4" w:space="0" w:color="BFBFBF"/>
              <w:right w:val="single" w:sz="4" w:space="0" w:color="BFBFBF"/>
            </w:tcBorders>
            <w:vAlign w:val="center"/>
            <w:hideMark/>
          </w:tcPr>
          <w:p w:rsidR="006A69FB" w:rsidRPr="006A69FB" w:rsidRDefault="006A69FB" w:rsidP="006A69FB">
            <w:pPr>
              <w:spacing w:after="0" w:line="240" w:lineRule="auto"/>
              <w:jc w:val="center"/>
              <w:rPr>
                <w:rFonts w:ascii="Calibri" w:eastAsia="Times New Roman" w:hAnsi="Calibri" w:cs="Times New Roman"/>
                <w:b/>
                <w:bCs/>
                <w:color w:val="000000"/>
                <w:sz w:val="20"/>
                <w:szCs w:val="24"/>
                <w:lang w:val="en-US"/>
              </w:rPr>
            </w:pPr>
            <w:r w:rsidRPr="006A69FB">
              <w:rPr>
                <w:rFonts w:ascii="Calibri" w:eastAsia="Times New Roman" w:hAnsi="Calibri" w:cs="Times New Roman"/>
                <w:b/>
                <w:bCs/>
                <w:color w:val="000000"/>
                <w:sz w:val="20"/>
                <w:szCs w:val="24"/>
                <w:lang w:val="en-US"/>
              </w:rPr>
              <w:t>100</w:t>
            </w:r>
          </w:p>
        </w:tc>
        <w:tc>
          <w:tcPr>
            <w:tcW w:w="130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color w:val="000000"/>
                <w:sz w:val="20"/>
                <w:lang w:val="en-US"/>
              </w:rPr>
            </w:pPr>
            <w:r w:rsidRPr="006A69FB">
              <w:rPr>
                <w:rFonts w:ascii="Calibri" w:eastAsia="Times New Roman" w:hAnsi="Calibri" w:cs="Times New Roman"/>
                <w:color w:val="000000"/>
                <w:sz w:val="20"/>
                <w:lang w:val="en-US"/>
              </w:rPr>
              <w:t>-$6.684</w:t>
            </w:r>
          </w:p>
        </w:tc>
        <w:tc>
          <w:tcPr>
            <w:tcW w:w="134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spacing w:after="0" w:line="240" w:lineRule="auto"/>
              <w:jc w:val="center"/>
              <w:rPr>
                <w:rFonts w:ascii="Calibri" w:eastAsia="Times New Roman" w:hAnsi="Calibri" w:cs="Times New Roman"/>
                <w:color w:val="000000"/>
                <w:sz w:val="20"/>
                <w:lang w:val="en-US"/>
              </w:rPr>
            </w:pPr>
            <w:r w:rsidRPr="006A69FB">
              <w:rPr>
                <w:rFonts w:ascii="Calibri" w:eastAsia="Times New Roman" w:hAnsi="Calibri" w:cs="Times New Roman"/>
                <w:color w:val="000000"/>
                <w:sz w:val="20"/>
                <w:lang w:val="en-US"/>
              </w:rPr>
              <w:t>22</w:t>
            </w:r>
          </w:p>
        </w:tc>
        <w:tc>
          <w:tcPr>
            <w:tcW w:w="1120" w:type="dxa"/>
            <w:tcBorders>
              <w:top w:val="single" w:sz="4" w:space="0" w:color="BFBFBF"/>
              <w:left w:val="single" w:sz="4" w:space="0" w:color="BFBFBF"/>
              <w:bottom w:val="single" w:sz="4" w:space="0" w:color="BFBFBF"/>
              <w:right w:val="single" w:sz="4" w:space="0" w:color="BFBFBF"/>
            </w:tcBorders>
            <w:noWrap/>
            <w:vAlign w:val="center"/>
            <w:hideMark/>
          </w:tcPr>
          <w:p w:rsidR="006A69FB" w:rsidRPr="006A69FB" w:rsidRDefault="006A69FB" w:rsidP="006A69FB">
            <w:pPr>
              <w:keepNext/>
              <w:spacing w:after="0" w:line="240" w:lineRule="auto"/>
              <w:jc w:val="center"/>
              <w:rPr>
                <w:rFonts w:ascii="Calibri" w:eastAsia="Times New Roman" w:hAnsi="Calibri" w:cs="Times New Roman"/>
                <w:color w:val="000000"/>
                <w:sz w:val="20"/>
                <w:lang w:val="en-US"/>
              </w:rPr>
            </w:pPr>
            <w:r w:rsidRPr="006A69FB">
              <w:rPr>
                <w:rFonts w:ascii="Calibri" w:eastAsia="Times New Roman" w:hAnsi="Calibri" w:cs="Times New Roman"/>
                <w:color w:val="000000"/>
                <w:sz w:val="20"/>
                <w:lang w:val="en-US"/>
              </w:rPr>
              <w:t>-$304</w:t>
            </w:r>
          </w:p>
        </w:tc>
      </w:tr>
    </w:tbl>
    <w:p w:rsidR="006A69FB" w:rsidRDefault="006A69FB" w:rsidP="006A69FB">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xml:space="preserve"> - </w:t>
      </w:r>
      <w:r w:rsidRPr="00F75F8B">
        <w:t xml:space="preserve">Resultados </w:t>
      </w:r>
      <w:r>
        <w:t xml:space="preserve">limitando las operaciones por el </w:t>
      </w:r>
      <w:proofErr w:type="spellStart"/>
      <w:r>
        <w:t>Bid</w:t>
      </w:r>
      <w:proofErr w:type="spellEnd"/>
      <w:r>
        <w:t>-Ask Spread</w:t>
      </w:r>
    </w:p>
    <w:p w:rsidR="006A69FB" w:rsidRPr="006A69FB" w:rsidRDefault="006A69FB" w:rsidP="006A69FB">
      <w:pPr>
        <w:spacing w:after="0" w:line="240" w:lineRule="auto"/>
        <w:jc w:val="both"/>
      </w:pPr>
    </w:p>
    <w:p w:rsidR="00362E98" w:rsidRDefault="00362E98" w:rsidP="00D41E74">
      <w:pPr>
        <w:spacing w:after="0" w:line="240" w:lineRule="auto"/>
      </w:pPr>
    </w:p>
    <w:p w:rsidR="00362E98" w:rsidRDefault="00362E98" w:rsidP="00310A8C">
      <w:pPr>
        <w:pStyle w:val="Heading2"/>
      </w:pPr>
      <w:r>
        <w:t>Conclusiones</w:t>
      </w:r>
    </w:p>
    <w:p w:rsidR="00362E98" w:rsidRDefault="00310A8C" w:rsidP="00310A8C">
      <w:pPr>
        <w:spacing w:after="0" w:line="240" w:lineRule="auto"/>
        <w:jc w:val="both"/>
      </w:pPr>
      <w:r>
        <w:t>Se evaluó una estrategia de arbitraje por “</w:t>
      </w:r>
      <w:proofErr w:type="spellStart"/>
      <w:r>
        <w:t>pairs</w:t>
      </w:r>
      <w:proofErr w:type="spellEnd"/>
      <w:r>
        <w:t xml:space="preserve"> trading” con dos futuros de Merval que cotizan en </w:t>
      </w:r>
      <w:proofErr w:type="spellStart"/>
      <w:r>
        <w:t>Rofex</w:t>
      </w:r>
      <w:proofErr w:type="spellEnd"/>
      <w:r>
        <w:t xml:space="preserve">, obteniéndose que no se pudo encontrar una configuración de los parámetros que hagan rentable la misma. Las suposiciones detrás de la estrategia suponen un mercado donde hay suficiente liquidez para poder operar al precio de pantalla en cada momento, sin embargo, esto es algo que no necesariamente tiene lugar para estos instrumentos. Más aún se encontró que entre las causas que hacen que las estrategias no sean exitosas se encuentra justamente un </w:t>
      </w:r>
      <w:proofErr w:type="spellStart"/>
      <w:r>
        <w:t>bid-ask</w:t>
      </w:r>
      <w:proofErr w:type="spellEnd"/>
      <w:r>
        <w:t xml:space="preserve"> spread muy grande producto de la falta liquidez. Ante este problema se trató de limitar la apertura de posiciones para cuando dicho spread era menor a una cierta cota, pero si bien el efecto se mitigó parcialmente, se continuó teniendo estrategias que generan pérdidas.</w:t>
      </w:r>
    </w:p>
    <w:p w:rsidR="00310A8C" w:rsidRDefault="00310A8C" w:rsidP="00310A8C">
      <w:pPr>
        <w:spacing w:after="0" w:line="240" w:lineRule="auto"/>
        <w:jc w:val="both"/>
      </w:pPr>
      <w:r>
        <w:t>Incluso, al probar con un caso teórico donde no existen costos de operación ni comisiones, los resultados no son positivos.</w:t>
      </w:r>
    </w:p>
    <w:p w:rsidR="00310A8C" w:rsidRDefault="00310A8C" w:rsidP="00310A8C">
      <w:pPr>
        <w:spacing w:after="0" w:line="240" w:lineRule="auto"/>
        <w:jc w:val="both"/>
      </w:pPr>
      <w:r>
        <w:t xml:space="preserve">Para continuar con este estudio, sería necesario buscar otros instrumentos donde haya mayor volumen de operación, y deberían tenerse en cuenta dos factores importantes que aquí fueron obviados. El primero es la limitación real de operar solamente cuando hay una contraparte dispuesta a hacerlo (durante estas evaluaciones se supuso que siempre podía operarse). El segundo es la construcción de un modelo más sofisticado para el valor medio de la diferencia de los precios. Aquí se fijó el valor medio obtenido en la ventana de estimación y se mantuvo para todo el rango, </w:t>
      </w:r>
      <w:r>
        <w:lastRenderedPageBreak/>
        <w:t>sin embargo, dicho valor debería ajustarse por los cambios posteriores en la valuación relativa de los instrumentos. Para este ejemplo, al tratarse de dos futuros sobre el mismo subyacente con distinta madurez, la tasa de interés debería incorporarse para ajustar el valor medio de la diferencia.</w:t>
      </w:r>
      <w:bookmarkStart w:id="0" w:name="_GoBack"/>
      <w:bookmarkEnd w:id="0"/>
    </w:p>
    <w:sectPr w:rsidR="00310A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12FF0"/>
    <w:multiLevelType w:val="hybridMultilevel"/>
    <w:tmpl w:val="77D0CE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F7"/>
    <w:rsid w:val="0002173E"/>
    <w:rsid w:val="00064588"/>
    <w:rsid w:val="000A4B13"/>
    <w:rsid w:val="001221F7"/>
    <w:rsid w:val="00136FCF"/>
    <w:rsid w:val="00170A62"/>
    <w:rsid w:val="001B4036"/>
    <w:rsid w:val="002407F8"/>
    <w:rsid w:val="00271EE5"/>
    <w:rsid w:val="002915F7"/>
    <w:rsid w:val="002C0512"/>
    <w:rsid w:val="002D0A76"/>
    <w:rsid w:val="002D75C0"/>
    <w:rsid w:val="00306E10"/>
    <w:rsid w:val="00310A8C"/>
    <w:rsid w:val="00351596"/>
    <w:rsid w:val="00362E98"/>
    <w:rsid w:val="00375232"/>
    <w:rsid w:val="003A6D07"/>
    <w:rsid w:val="003A7B04"/>
    <w:rsid w:val="003D6F38"/>
    <w:rsid w:val="00407F22"/>
    <w:rsid w:val="004E1257"/>
    <w:rsid w:val="00541702"/>
    <w:rsid w:val="0057406D"/>
    <w:rsid w:val="005A35C5"/>
    <w:rsid w:val="005A38A3"/>
    <w:rsid w:val="00601187"/>
    <w:rsid w:val="006761D3"/>
    <w:rsid w:val="006A69FB"/>
    <w:rsid w:val="006C65FA"/>
    <w:rsid w:val="006C6C8F"/>
    <w:rsid w:val="00704677"/>
    <w:rsid w:val="0072509E"/>
    <w:rsid w:val="00781C62"/>
    <w:rsid w:val="00797FC7"/>
    <w:rsid w:val="00835818"/>
    <w:rsid w:val="008B296E"/>
    <w:rsid w:val="008D080E"/>
    <w:rsid w:val="00931BAB"/>
    <w:rsid w:val="00A05AE6"/>
    <w:rsid w:val="00A45C8B"/>
    <w:rsid w:val="00A5782C"/>
    <w:rsid w:val="00A67157"/>
    <w:rsid w:val="00A72963"/>
    <w:rsid w:val="00AC3E68"/>
    <w:rsid w:val="00AD7D41"/>
    <w:rsid w:val="00AE31E9"/>
    <w:rsid w:val="00B02461"/>
    <w:rsid w:val="00B4075E"/>
    <w:rsid w:val="00B539DF"/>
    <w:rsid w:val="00BA2C22"/>
    <w:rsid w:val="00BE7018"/>
    <w:rsid w:val="00BF536C"/>
    <w:rsid w:val="00C06F6B"/>
    <w:rsid w:val="00C402EB"/>
    <w:rsid w:val="00C471E3"/>
    <w:rsid w:val="00CA1370"/>
    <w:rsid w:val="00CA6E19"/>
    <w:rsid w:val="00CE1E9E"/>
    <w:rsid w:val="00CF386F"/>
    <w:rsid w:val="00D41E74"/>
    <w:rsid w:val="00D62EC1"/>
    <w:rsid w:val="00D75C61"/>
    <w:rsid w:val="00D92B74"/>
    <w:rsid w:val="00DE636B"/>
    <w:rsid w:val="00E07495"/>
    <w:rsid w:val="00E42057"/>
    <w:rsid w:val="00E521F9"/>
    <w:rsid w:val="00E661C4"/>
    <w:rsid w:val="00EB732A"/>
    <w:rsid w:val="00F003F5"/>
    <w:rsid w:val="00F72F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FBEC"/>
  <w15:docId w15:val="{56F353D7-D687-42CE-9C80-2F141F68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3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A62"/>
    <w:pPr>
      <w:ind w:left="720"/>
      <w:contextualSpacing/>
    </w:pPr>
  </w:style>
  <w:style w:type="character" w:customStyle="1" w:styleId="Heading2Char">
    <w:name w:val="Heading 2 Char"/>
    <w:basedOn w:val="DefaultParagraphFont"/>
    <w:link w:val="Heading2"/>
    <w:uiPriority w:val="9"/>
    <w:rsid w:val="00F003F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A578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782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D75C0"/>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2D75C0"/>
    <w:rPr>
      <w:i/>
      <w:iCs/>
      <w:color w:val="000000" w:themeColor="text1"/>
    </w:rPr>
  </w:style>
  <w:style w:type="character" w:customStyle="1" w:styleId="QuoteChar">
    <w:name w:val="Quote Char"/>
    <w:basedOn w:val="DefaultParagraphFont"/>
    <w:link w:val="Quote"/>
    <w:uiPriority w:val="29"/>
    <w:rsid w:val="002D75C0"/>
    <w:rPr>
      <w:i/>
      <w:iCs/>
      <w:color w:val="000000" w:themeColor="text1"/>
    </w:rPr>
  </w:style>
  <w:style w:type="paragraph" w:styleId="Caption">
    <w:name w:val="caption"/>
    <w:basedOn w:val="Normal"/>
    <w:next w:val="Normal"/>
    <w:uiPriority w:val="35"/>
    <w:unhideWhenUsed/>
    <w:qFormat/>
    <w:rsid w:val="006C6C8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07388">
      <w:bodyDiv w:val="1"/>
      <w:marLeft w:val="0"/>
      <w:marRight w:val="0"/>
      <w:marTop w:val="0"/>
      <w:marBottom w:val="0"/>
      <w:divBdr>
        <w:top w:val="none" w:sz="0" w:space="0" w:color="auto"/>
        <w:left w:val="none" w:sz="0" w:space="0" w:color="auto"/>
        <w:bottom w:val="none" w:sz="0" w:space="0" w:color="auto"/>
        <w:right w:val="none" w:sz="0" w:space="0" w:color="auto"/>
      </w:divBdr>
    </w:div>
    <w:div w:id="375349989">
      <w:bodyDiv w:val="1"/>
      <w:marLeft w:val="0"/>
      <w:marRight w:val="0"/>
      <w:marTop w:val="0"/>
      <w:marBottom w:val="0"/>
      <w:divBdr>
        <w:top w:val="none" w:sz="0" w:space="0" w:color="auto"/>
        <w:left w:val="none" w:sz="0" w:space="0" w:color="auto"/>
        <w:bottom w:val="none" w:sz="0" w:space="0" w:color="auto"/>
        <w:right w:val="none" w:sz="0" w:space="0" w:color="auto"/>
      </w:divBdr>
    </w:div>
    <w:div w:id="417286099">
      <w:bodyDiv w:val="1"/>
      <w:marLeft w:val="0"/>
      <w:marRight w:val="0"/>
      <w:marTop w:val="0"/>
      <w:marBottom w:val="0"/>
      <w:divBdr>
        <w:top w:val="none" w:sz="0" w:space="0" w:color="auto"/>
        <w:left w:val="none" w:sz="0" w:space="0" w:color="auto"/>
        <w:bottom w:val="none" w:sz="0" w:space="0" w:color="auto"/>
        <w:right w:val="none" w:sz="0" w:space="0" w:color="auto"/>
      </w:divBdr>
    </w:div>
    <w:div w:id="684020088">
      <w:bodyDiv w:val="1"/>
      <w:marLeft w:val="0"/>
      <w:marRight w:val="0"/>
      <w:marTop w:val="0"/>
      <w:marBottom w:val="0"/>
      <w:divBdr>
        <w:top w:val="none" w:sz="0" w:space="0" w:color="auto"/>
        <w:left w:val="none" w:sz="0" w:space="0" w:color="auto"/>
        <w:bottom w:val="none" w:sz="0" w:space="0" w:color="auto"/>
        <w:right w:val="none" w:sz="0" w:space="0" w:color="auto"/>
      </w:divBdr>
    </w:div>
    <w:div w:id="692026870">
      <w:bodyDiv w:val="1"/>
      <w:marLeft w:val="0"/>
      <w:marRight w:val="0"/>
      <w:marTop w:val="0"/>
      <w:marBottom w:val="0"/>
      <w:divBdr>
        <w:top w:val="none" w:sz="0" w:space="0" w:color="auto"/>
        <w:left w:val="none" w:sz="0" w:space="0" w:color="auto"/>
        <w:bottom w:val="none" w:sz="0" w:space="0" w:color="auto"/>
        <w:right w:val="none" w:sz="0" w:space="0" w:color="auto"/>
      </w:divBdr>
    </w:div>
    <w:div w:id="708187999">
      <w:bodyDiv w:val="1"/>
      <w:marLeft w:val="0"/>
      <w:marRight w:val="0"/>
      <w:marTop w:val="0"/>
      <w:marBottom w:val="0"/>
      <w:divBdr>
        <w:top w:val="none" w:sz="0" w:space="0" w:color="auto"/>
        <w:left w:val="none" w:sz="0" w:space="0" w:color="auto"/>
        <w:bottom w:val="none" w:sz="0" w:space="0" w:color="auto"/>
        <w:right w:val="none" w:sz="0" w:space="0" w:color="auto"/>
      </w:divBdr>
    </w:div>
    <w:div w:id="771972740">
      <w:bodyDiv w:val="1"/>
      <w:marLeft w:val="0"/>
      <w:marRight w:val="0"/>
      <w:marTop w:val="0"/>
      <w:marBottom w:val="0"/>
      <w:divBdr>
        <w:top w:val="none" w:sz="0" w:space="0" w:color="auto"/>
        <w:left w:val="none" w:sz="0" w:space="0" w:color="auto"/>
        <w:bottom w:val="none" w:sz="0" w:space="0" w:color="auto"/>
        <w:right w:val="none" w:sz="0" w:space="0" w:color="auto"/>
      </w:divBdr>
    </w:div>
    <w:div w:id="1081488402">
      <w:bodyDiv w:val="1"/>
      <w:marLeft w:val="0"/>
      <w:marRight w:val="0"/>
      <w:marTop w:val="0"/>
      <w:marBottom w:val="0"/>
      <w:divBdr>
        <w:top w:val="none" w:sz="0" w:space="0" w:color="auto"/>
        <w:left w:val="none" w:sz="0" w:space="0" w:color="auto"/>
        <w:bottom w:val="none" w:sz="0" w:space="0" w:color="auto"/>
        <w:right w:val="none" w:sz="0" w:space="0" w:color="auto"/>
      </w:divBdr>
    </w:div>
    <w:div w:id="1123814798">
      <w:bodyDiv w:val="1"/>
      <w:marLeft w:val="0"/>
      <w:marRight w:val="0"/>
      <w:marTop w:val="0"/>
      <w:marBottom w:val="0"/>
      <w:divBdr>
        <w:top w:val="none" w:sz="0" w:space="0" w:color="auto"/>
        <w:left w:val="none" w:sz="0" w:space="0" w:color="auto"/>
        <w:bottom w:val="none" w:sz="0" w:space="0" w:color="auto"/>
        <w:right w:val="none" w:sz="0" w:space="0" w:color="auto"/>
      </w:divBdr>
    </w:div>
    <w:div w:id="1572158240">
      <w:bodyDiv w:val="1"/>
      <w:marLeft w:val="0"/>
      <w:marRight w:val="0"/>
      <w:marTop w:val="0"/>
      <w:marBottom w:val="0"/>
      <w:divBdr>
        <w:top w:val="none" w:sz="0" w:space="0" w:color="auto"/>
        <w:left w:val="none" w:sz="0" w:space="0" w:color="auto"/>
        <w:bottom w:val="none" w:sz="0" w:space="0" w:color="auto"/>
        <w:right w:val="none" w:sz="0" w:space="0" w:color="auto"/>
      </w:divBdr>
    </w:div>
    <w:div w:id="1747848011">
      <w:bodyDiv w:val="1"/>
      <w:marLeft w:val="0"/>
      <w:marRight w:val="0"/>
      <w:marTop w:val="0"/>
      <w:marBottom w:val="0"/>
      <w:divBdr>
        <w:top w:val="none" w:sz="0" w:space="0" w:color="auto"/>
        <w:left w:val="none" w:sz="0" w:space="0" w:color="auto"/>
        <w:bottom w:val="none" w:sz="0" w:space="0" w:color="auto"/>
        <w:right w:val="none" w:sz="0" w:space="0" w:color="auto"/>
      </w:divBdr>
    </w:div>
    <w:div w:id="1749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F6939-2EF4-4EC8-9BFD-F8656160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2566</Words>
  <Characters>14630</Characters>
  <Application>Microsoft Office Word</Application>
  <DocSecurity>0</DocSecurity>
  <Lines>121</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YPF</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RY05295</dc:creator>
  <cp:lastModifiedBy>Bruno Ruyu</cp:lastModifiedBy>
  <cp:revision>12</cp:revision>
  <cp:lastPrinted>2017-04-17T21:05:00Z</cp:lastPrinted>
  <dcterms:created xsi:type="dcterms:W3CDTF">2017-06-05T12:14:00Z</dcterms:created>
  <dcterms:modified xsi:type="dcterms:W3CDTF">2017-06-17T22:59:00Z</dcterms:modified>
</cp:coreProperties>
</file>