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ADR 001: Arquitetura de Segurança, Observabilidade e Resiliência – CashFlow API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Proposto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08 de Fevereiro de 2026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Contexto:</w:t>
      </w:r>
      <w:r w:rsidDel="00000000" w:rsidR="00000000" w:rsidRPr="00000000">
        <w:rPr>
          <w:sz w:val="24"/>
          <w:szCs w:val="24"/>
          <w:rtl w:val="0"/>
        </w:rPr>
        <w:t xml:space="preserve"> Necessidade de implantar a CashFlow API num cluster Kubernetes atendendo a requisitos rigorosos de conformidade bancária e estabilidade.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para Aceitação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Para que esta ADR passe do estado "Proposto" para "Aceite", os seguintes critérios precisam ser formalmente verificados e aprovados pela equipa de Arquitetura/Segurança, conforme definido no documento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Validação Técnica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Confirmação de que a arquitetura funciona corretamente nos ambientes DEV ou QA.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Conformidade do CI/CD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Verificação de que o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pipeline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CI/CD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cumpre os requisitos de segurança e assinatura de imagem.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  - Scan de imagem sem vulnerabilidades Critical ou High.</w:t>
        <w:br w:type="textWrapping"/>
        <w:t xml:space="preserve">   - Assinatura da imagem com Cosign.</w:t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Implementação no Cluster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Garantir que o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deploy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utiliza a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Gateway API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 certificados TLS automáticos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Monitorização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 Assegurar que o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endpoint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/metrics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 está a expor dados e que as métricas estão a ser recolhidas pelo </w:t>
      </w:r>
      <w:r w:rsidDel="00000000" w:rsidR="00000000" w:rsidRPr="00000000">
        <w:rPr>
          <w:b w:val="1"/>
          <w:bCs w:val="1"/>
          <w:color w:val="0a0a0a"/>
          <w:sz w:val="24"/>
          <w:szCs w:val="24"/>
          <w:highlight w:val="white"/>
          <w:rtl w:val="0"/>
        </w:rPr>
        <w:t xml:space="preserve">ServiceMonitor.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1: Segurança da Cadeia de Suprimentos</w:t>
      </w:r>
    </w:p>
    <w:p w:rsidR="00000000" w:rsidDel="00000000" w:rsidP="00000000" w:rsidRDefault="00000000" w:rsidRPr="00000000" w14:paraId="0000000D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Imagem Base: Distroless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Utilizaremos imagens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Distroless</w:t>
      </w:r>
      <w:r w:rsidDel="00000000" w:rsidR="00000000" w:rsidRPr="00000000">
        <w:rPr>
          <w:sz w:val="24"/>
          <w:szCs w:val="24"/>
          <w:rtl w:val="0"/>
        </w:rPr>
        <w:t xml:space="preserve"> (como google distroless).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Ao contrário do Ubuntu ou até do Alpine, as imagens Distroless contêm apenas a aplicação e as suas dependências de runtime. Não possuem gestores de pacotes (apt, apk) nem shells (bash, sh), o que reduz drasticamente a superfície de ataque e elimina a maioria das CVEs comuns do SO.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Alternativa:</w:t>
      </w:r>
      <w:r w:rsidDel="00000000" w:rsidR="00000000" w:rsidRPr="00000000">
        <w:rPr>
          <w:sz w:val="24"/>
          <w:szCs w:val="24"/>
          <w:rtl w:val="0"/>
        </w:rPr>
        <w:t xml:space="preserve"> Podem ser utilizadas imagens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Wolfi</w:t>
      </w:r>
      <w:r w:rsidDel="00000000" w:rsidR="00000000" w:rsidRPr="00000000">
        <w:rPr>
          <w:sz w:val="24"/>
          <w:szCs w:val="24"/>
          <w:rtl w:val="0"/>
        </w:rPr>
        <w:t xml:space="preserve">, fornecidas pela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Chainguard</w:t>
      </w:r>
      <w:r w:rsidDel="00000000" w:rsidR="00000000" w:rsidRPr="00000000">
        <w:rPr>
          <w:sz w:val="24"/>
          <w:szCs w:val="24"/>
          <w:rtl w:val="0"/>
        </w:rPr>
        <w:t xml:space="preserve">, uma distribuição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distroless-like</w:t>
      </w:r>
      <w:r w:rsidDel="00000000" w:rsidR="00000000" w:rsidRPr="00000000">
        <w:rPr>
          <w:sz w:val="24"/>
          <w:szCs w:val="24"/>
          <w:rtl w:val="0"/>
        </w:rPr>
        <w:t xml:space="preserve"> focada em segurança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supply chain integrity</w:t>
      </w:r>
      <w:r w:rsidDel="00000000" w:rsidR="00000000" w:rsidRPr="00000000">
        <w:rPr>
          <w:sz w:val="24"/>
          <w:szCs w:val="24"/>
          <w:rtl w:val="0"/>
        </w:rPr>
        <w:t xml:space="preserve">, que oferece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imagens com ausência de vulnerabilidades conhecidas acima de severidades acordadas contratualmente</w:t>
      </w:r>
      <w:r w:rsidDel="00000000" w:rsidR="00000000" w:rsidRPr="00000000">
        <w:rPr>
          <w:sz w:val="24"/>
          <w:szCs w:val="24"/>
          <w:rtl w:val="0"/>
        </w:rPr>
        <w:t xml:space="preserve">, mediante licenciamento.</w:t>
      </w:r>
    </w:p>
    <w:p w:rsidR="00000000" w:rsidDel="00000000" w:rsidP="00000000" w:rsidRDefault="00000000" w:rsidRPr="00000000" w14:paraId="00000010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Ferramentas de Pipeline (CI/CD): Trivy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Implementação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Trivy </w:t>
      </w:r>
      <w:r w:rsidDel="00000000" w:rsidR="00000000" w:rsidRPr="00000000">
        <w:rPr>
          <w:sz w:val="24"/>
          <w:szCs w:val="24"/>
          <w:rtl w:val="0"/>
        </w:rPr>
        <w:t xml:space="preserve">no pipeline de CI  para escaneamento de imagens 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Trivy </w:t>
      </w:r>
      <w:r w:rsidDel="00000000" w:rsidR="00000000" w:rsidRPr="00000000">
        <w:rPr>
          <w:sz w:val="24"/>
          <w:szCs w:val="24"/>
          <w:rtl w:val="0"/>
        </w:rPr>
        <w:t xml:space="preserve">é um scanner de código aberto abrangente que detecta além de vulnerabilidades de images (como o Docker Scout)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, verifica repositórios de código, IaC (Terraform, etc.) e Kubernetes.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 cada nova versão da API a imagem será sempre escaneada e validada a ausência de vulnerabilidades acima de um determinado severity. Caso encontre uma nova vulnerabilidade a equipa será notificada de imediato.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Integridade da Imagem: Cosign (Sigstore)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Utilizar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Cosign</w:t>
      </w:r>
      <w:r w:rsidDel="00000000" w:rsidR="00000000" w:rsidRPr="00000000">
        <w:rPr>
          <w:sz w:val="24"/>
          <w:szCs w:val="24"/>
          <w:rtl w:val="0"/>
        </w:rPr>
        <w:t xml:space="preserve"> para assinar as imagens após o build.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Garante que apenas imagens assinadas pela nossa chave privada sejam executadas no cluster, prevenindo ataques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man-in-the-middle</w:t>
      </w:r>
      <w:r w:rsidDel="00000000" w:rsidR="00000000" w:rsidRPr="00000000">
        <w:rPr>
          <w:sz w:val="24"/>
          <w:szCs w:val="24"/>
          <w:rtl w:val="0"/>
        </w:rPr>
        <w:t xml:space="preserve"> no registo de imagens. No cluster, usar-se-á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Admission Controller</w:t>
      </w:r>
      <w:r w:rsidDel="00000000" w:rsidR="00000000" w:rsidRPr="00000000">
        <w:rPr>
          <w:sz w:val="24"/>
          <w:szCs w:val="24"/>
          <w:rtl w:val="0"/>
        </w:rPr>
        <w:t xml:space="preserve"> (como Kyverno ou Policy Agent) para verificar a assinatura.</w:t>
      </w:r>
    </w:p>
    <w:p w:rsidR="00000000" w:rsidDel="00000000" w:rsidP="00000000" w:rsidRDefault="00000000" w:rsidRPr="00000000" w14:paraId="00000017">
      <w:pPr>
        <w:spacing w:befor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2: Estratégia de Acesso (Network &amp; TLS)</w:t>
      </w:r>
    </w:p>
    <w:p w:rsidR="00000000" w:rsidDel="00000000" w:rsidP="00000000" w:rsidRDefault="00000000" w:rsidRPr="00000000" w14:paraId="00000019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Exposição do Serviço: Gateway API com Nginx Fabric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Utilizar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Gateway API com Nginx Gateway Fabric </w:t>
      </w:r>
      <w:r w:rsidDel="00000000" w:rsidR="00000000" w:rsidRPr="00000000">
        <w:rPr>
          <w:sz w:val="24"/>
          <w:szCs w:val="24"/>
          <w:rtl w:val="0"/>
        </w:rPr>
        <w:t xml:space="preserve">em conjunto com um Service do tipo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ClusterIP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O Ingress encontra-se em modo de manutenção, sendo a Gateway API o modelo recomendado para novas implementações. Usar o Nginx Gateway Fabric é uma escolha lógica para quem já usava o Nginx Ingress Controller. </w:t>
        <w:br w:type="textWrapping"/>
        <w:t xml:space="preserve">O gateway Nginx Gateway Fabric será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entrypoint </w:t>
      </w:r>
      <w:r w:rsidDel="00000000" w:rsidR="00000000" w:rsidRPr="00000000">
        <w:rPr>
          <w:sz w:val="24"/>
          <w:szCs w:val="24"/>
          <w:rtl w:val="0"/>
        </w:rPr>
        <w:t xml:space="preserve">do tráfego externo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encaminhará as requisições para os services da nossa API através configurações centralizadas de rotas. Ele</w:t>
      </w:r>
      <w:r w:rsidDel="00000000" w:rsidR="00000000" w:rsidRPr="00000000">
        <w:rPr>
          <w:sz w:val="24"/>
          <w:szCs w:val="24"/>
          <w:rtl w:val="0"/>
        </w:rPr>
        <w:t xml:space="preserve"> permite ainda gerir certificados TLS num único ponto de entrada (Load Balancer único), otimizando custos e centralizando o controlo de tráfego L7 (capacidade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inspecionar, decidir e manipular o tráfego com base no conteúdo da aplicação</w:t>
      </w:r>
      <w:r w:rsidDel="00000000" w:rsidR="00000000" w:rsidRPr="00000000">
        <w:rPr>
          <w:sz w:val="24"/>
          <w:szCs w:val="24"/>
          <w:rtl w:val="0"/>
        </w:rPr>
        <w:t xml:space="preserve">, e não apenas em IPs, portas ou protocolos básicos).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Gestão de Certificados: Cert-Manager + Let's Encrypt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Instalação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Cert-Manager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Automatiza o ciclo de vida dos certificados (emissão, renovação e aplicação no Secret do K8s) via protocolo ACME, garantindo HTTPS sem intervenção manual.</w:t>
      </w:r>
    </w:p>
    <w:p w:rsidR="00000000" w:rsidDel="00000000" w:rsidP="00000000" w:rsidRDefault="00000000" w:rsidRPr="00000000" w14:paraId="00000021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Objeto de Roteamento: HTTP Route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Criação de um HTTP Route.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É neste objeto que definiremos o </w:t>
      </w:r>
      <w:r w:rsidDel="00000000" w:rsidR="00000000" w:rsidRPr="00000000">
        <w:rPr>
          <w:sz w:val="24"/>
          <w:szCs w:val="24"/>
          <w:rtl w:val="0"/>
        </w:rPr>
        <w:t xml:space="preserve">host</w:t>
      </w:r>
      <w:r w:rsidDel="00000000" w:rsidR="00000000" w:rsidRPr="00000000">
        <w:rPr>
          <w:sz w:val="24"/>
          <w:szCs w:val="24"/>
          <w:rtl w:val="0"/>
        </w:rPr>
        <w:t xml:space="preserve"> (ex: api.cashflow.com) e as regras de </w:t>
      </w:r>
      <w:r w:rsidDel="00000000" w:rsidR="00000000" w:rsidRPr="00000000">
        <w:rPr>
          <w:sz w:val="24"/>
          <w:szCs w:val="24"/>
          <w:rtl w:val="0"/>
        </w:rPr>
        <w:t xml:space="preserve">path</w:t>
      </w:r>
      <w:r w:rsidDel="00000000" w:rsidR="00000000" w:rsidRPr="00000000">
        <w:rPr>
          <w:sz w:val="24"/>
          <w:szCs w:val="24"/>
          <w:rtl w:val="0"/>
        </w:rPr>
        <w:t xml:space="preserve"> para direcionar o tráfego para o Service da aplicação.</w:t>
      </w:r>
    </w:p>
    <w:p w:rsidR="00000000" w:rsidDel="00000000" w:rsidP="00000000" w:rsidRDefault="00000000" w:rsidRPr="00000000" w14:paraId="00000024">
      <w:pPr>
        <w:spacing w:befor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3: Observabilidade Total</w:t>
      </w:r>
    </w:p>
    <w:p w:rsidR="00000000" w:rsidDel="00000000" w:rsidP="00000000" w:rsidRDefault="00000000" w:rsidRPr="00000000" w14:paraId="00000026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Descoberta de Métricas: ServiceMonitor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Instalar Kube-Prometheus e criar CRDs do tipo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ServiceMonitor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 instalação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kube-prometheus</w:t>
      </w:r>
      <w:r w:rsidDel="00000000" w:rsidR="00000000" w:rsidRPr="00000000">
        <w:rPr>
          <w:sz w:val="24"/>
          <w:szCs w:val="24"/>
          <w:rtl w:val="0"/>
        </w:rPr>
        <w:t xml:space="preserve"> no cluster Kubernetes introduz um conjunto abrangente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de observabilidade</w:t>
      </w:r>
      <w:r w:rsidDel="00000000" w:rsidR="00000000" w:rsidRPr="00000000">
        <w:rPr>
          <w:sz w:val="24"/>
          <w:szCs w:val="24"/>
          <w:rtl w:val="0"/>
        </w:rPr>
        <w:t xml:space="preserve">, incluindo a recolha, armazenamento e visualização de métricas, bem como uma coleção extensiva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dashboards pré-configurados</w:t>
      </w:r>
      <w:r w:rsidDel="00000000" w:rsidR="00000000" w:rsidRPr="00000000">
        <w:rPr>
          <w:sz w:val="24"/>
          <w:szCs w:val="24"/>
          <w:rtl w:val="0"/>
        </w:rPr>
        <w:t xml:space="preserve"> para monitorização do estado e desempenho do cluster.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monitorização da API será realizada através da definição de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Resource Definition (CRD) do tipo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ServiceMonitor</w:t>
      </w:r>
      <w:r w:rsidDel="00000000" w:rsidR="00000000" w:rsidRPr="00000000">
        <w:rPr>
          <w:sz w:val="24"/>
          <w:szCs w:val="24"/>
          <w:rtl w:val="0"/>
        </w:rPr>
        <w:t xml:space="preserve">, disponibilizado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Prometheus Operator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recurso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ServiceMonitor</w:t>
      </w:r>
      <w:r w:rsidDel="00000000" w:rsidR="00000000" w:rsidRPr="00000000">
        <w:rPr>
          <w:sz w:val="24"/>
          <w:szCs w:val="24"/>
          <w:rtl w:val="0"/>
        </w:rPr>
        <w:t xml:space="preserve"> estabelecerá, de forma declarativa, os critérios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descoberta automática de Services</w:t>
      </w:r>
      <w:r w:rsidDel="00000000" w:rsidR="00000000" w:rsidRPr="00000000">
        <w:rPr>
          <w:sz w:val="24"/>
          <w:szCs w:val="24"/>
          <w:rtl w:val="0"/>
        </w:rPr>
        <w:t xml:space="preserve"> e os parâmetros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scraping de métricas</w:t>
      </w:r>
      <w:r w:rsidDel="00000000" w:rsidR="00000000" w:rsidRPr="00000000">
        <w:rPr>
          <w:sz w:val="24"/>
          <w:szCs w:val="24"/>
          <w:rtl w:val="0"/>
        </w:rPr>
        <w:t xml:space="preserve"> pelo Prometheus, incluindo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/metrics</w:t>
      </w:r>
      <w:r w:rsidDel="00000000" w:rsidR="00000000" w:rsidRPr="00000000">
        <w:rPr>
          <w:sz w:val="24"/>
          <w:szCs w:val="24"/>
          <w:rtl w:val="0"/>
        </w:rPr>
        <w:t xml:space="preserve">, portas expostas, seletores de labels e intervalos de recolha, garantindo a integração consistente da aplicação no sistema de monitorização do cluster.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Alertas: Alertmanager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Configuração de regras de alerta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Alertmanager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 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AlertManager será o componente responsável por agrupar, silenciar e enviar notificações (Slack, Teams, E-mail, etc..) caso as métricas recolhidas pelo Prometheus indiquem alguma falha no cluster ou na nossa API.</w:t>
      </w:r>
    </w:p>
    <w:p w:rsidR="00000000" w:rsidDel="00000000" w:rsidP="00000000" w:rsidRDefault="00000000" w:rsidRPr="00000000" w14:paraId="0000002F">
      <w:pPr>
        <w:spacing w:befor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SEÇÃO 4: Resiliência e Disponibilidade</w:t>
      </w:r>
    </w:p>
    <w:p w:rsidR="00000000" w:rsidDel="00000000" w:rsidP="00000000" w:rsidRDefault="00000000" w:rsidRPr="00000000" w14:paraId="00000031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Gestão de Memória: Resources Requests &amp; Limits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Definir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limits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 memória superiores ao consumo de pico inicial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requests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 garantam espaço inicial no nó.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Configurar corretamente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limits.memory</w:t>
      </w:r>
      <w:r w:rsidDel="00000000" w:rsidR="00000000" w:rsidRPr="00000000">
        <w:rPr>
          <w:sz w:val="24"/>
          <w:szCs w:val="24"/>
          <w:rtl w:val="0"/>
        </w:rPr>
        <w:t xml:space="preserve"> evita que o container sofra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OOMKill</w:t>
      </w:r>
      <w:r w:rsidDel="00000000" w:rsidR="00000000" w:rsidRPr="00000000">
        <w:rPr>
          <w:sz w:val="24"/>
          <w:szCs w:val="24"/>
          <w:rtl w:val="0"/>
        </w:rPr>
        <w:t xml:space="preserve"> se houver um pico previsível, enquanto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requests.memory</w:t>
      </w:r>
      <w:r w:rsidDel="00000000" w:rsidR="00000000" w:rsidRPr="00000000">
        <w:rPr>
          <w:sz w:val="24"/>
          <w:szCs w:val="24"/>
          <w:rtl w:val="0"/>
        </w:rPr>
        <w:t xml:space="preserve"> garante que o Scheduler coloque o Pod num nó com recursos suficientes.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Probes de Saúde: Startup Probe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Implementar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Startup Probe</w:t>
      </w:r>
      <w:r w:rsidDel="00000000" w:rsidR="00000000" w:rsidRPr="00000000">
        <w:rPr>
          <w:sz w:val="24"/>
          <w:szCs w:val="24"/>
          <w:rtl w:val="0"/>
        </w:rPr>
        <w:t xml:space="preserve"> com um parâmetro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failureThreshold</w:t>
      </w:r>
      <w:r w:rsidDel="00000000" w:rsidR="00000000" w:rsidRPr="00000000">
        <w:rPr>
          <w:sz w:val="24"/>
          <w:szCs w:val="24"/>
          <w:rtl w:val="0"/>
        </w:rPr>
        <w:t xml:space="preserve"> adequado ao startup da aplicação (ex: 35 - 45s), seguida de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Readiness Probe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Justificação: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Startup Probe</w:t>
      </w:r>
      <w:r w:rsidDel="00000000" w:rsidR="00000000" w:rsidRPr="00000000">
        <w:rPr>
          <w:sz w:val="24"/>
          <w:szCs w:val="24"/>
          <w:rtl w:val="0"/>
        </w:rPr>
        <w:t xml:space="preserve"> desativa as outras probes até que a aplicação suba. Isso evita que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Liveness Probe</w:t>
      </w:r>
      <w:r w:rsidDel="00000000" w:rsidR="00000000" w:rsidRPr="00000000">
        <w:rPr>
          <w:sz w:val="24"/>
          <w:szCs w:val="24"/>
          <w:rtl w:val="0"/>
        </w:rPr>
        <w:t xml:space="preserve"> reinicie o container prematuramente ou que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Readiness Probe</w:t>
      </w:r>
      <w:r w:rsidDel="00000000" w:rsidR="00000000" w:rsidRPr="00000000">
        <w:rPr>
          <w:sz w:val="24"/>
          <w:szCs w:val="24"/>
          <w:rtl w:val="0"/>
        </w:rPr>
        <w:t xml:space="preserve"> falhe enquanto a conexão com a base de dados está a ser estabelecida nos primeiros 30 segundos.</w:t>
      </w:r>
    </w:p>
    <w:p w:rsidR="00000000" w:rsidDel="00000000" w:rsidP="00000000" w:rsidRDefault="00000000" w:rsidRPr="00000000" w14:paraId="00000039">
      <w:pPr>
        <w:spacing w:befor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36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Consequências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Benefícios: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Alta segurança (imagens limpas e assinadas).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Automação total de TLS.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Observabilidade nativa.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Gestão de recursos adequados.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Alinhamento com requisitos de conformidade e auditoria.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54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5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Trade-Offs / Riscos: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 Maior complexidade na configuração inicial do pipeline de CI/CD.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gerir as chaves do Cosign.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complexidade na configuração inicial dos manifestos kubernetes.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