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</w:pPr>
      <w:r>
        <w:rPr>
          <w:rFonts w:ascii="Arial" w:hAnsi="Arial"/>
          <w:b/>
          <w:color w:val="107C41"/>
          <w:sz w:val="40"/>
        </w:rPr>
        <w:t>Plano de Implementação: Engenharia de Prompt para Operacionalização de Embalagens (Acessórios de Smartphone)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 xml:space="preserve">Este plano descreve como estruturar um fluxo de trabalho de Inteligência Artificial para que os </w:t>
      </w:r>
      <w:r>
        <w:rPr>
          <w:rFonts w:ascii="Calibri" w:hAnsi="Calibri"/>
          <w:b/>
          <w:color w:val="333333"/>
          <w:sz w:val="22"/>
        </w:rPr>
        <w:t>4 Account Managers (Gestores de Conta)</w:t>
      </w:r>
      <w:r>
        <w:rPr>
          <w:rFonts w:ascii="Calibri" w:hAnsi="Calibri"/>
          <w:color w:val="333333"/>
          <w:sz w:val="22"/>
        </w:rPr>
        <w:t xml:space="preserve"> possam validar e aprovar rapidamente linhas visuais de embalagens com os clientes, sem depender de edições demoradas em Illustrator (`.ai`) ou CorelDRAW (`.cdr`). O objetivo é agilidade comercial (fase de "bate-bola" e aprovação do conceito visual). A arte-finalização e o fechamento do arquivo serão feitos posteriormente pelo arte-finalista.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107C41"/>
          <w:sz w:val="30"/>
        </w:rPr>
        <w:t>User Review Required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07C41"/>
                <w:sz w:val="20"/>
              </w:rPr>
              <w:t xml:space="preserve">IMPORTANT: </w:t>
            </w:r>
            <w:r>
              <w:rPr>
                <w:rFonts w:ascii="Calibri" w:hAnsi="Calibri"/>
                <w:color w:val="505050"/>
                <w:sz w:val="20"/>
              </w:rPr>
            </w:r>
          </w:p>
          <w:p>
            <w:pPr>
              <w:spacing w:after="40" w:before="40"/>
            </w:pPr>
            <w:r>
              <w:rPr>
                <w:rFonts w:ascii="Calibri" w:hAnsi="Calibri"/>
                <w:color w:val="505050"/>
                <w:sz w:val="20"/>
              </w:rPr>
            </w:r>
            <w:r>
              <w:rPr>
                <w:rFonts w:ascii="Calibri" w:hAnsi="Calibri"/>
                <w:b/>
                <w:color w:val="505050"/>
                <w:sz w:val="20"/>
              </w:rPr>
              <w:t>Adaptação Completa ao Caso Real (Acessórios de Celular)</w:t>
            </w:r>
            <w:r>
              <w:rPr>
                <w:rFonts w:ascii="Calibri" w:hAnsi="Calibri"/>
                <w:color w:val="505050"/>
                <w:sz w:val="20"/>
              </w:rPr>
              <w:t>:</w:t>
            </w:r>
          </w:p>
          <w:p>
            <w:pPr>
              <w:spacing w:after="40" w:before="40"/>
            </w:pPr>
            <w:r>
              <w:rPr>
                <w:rFonts w:ascii="Calibri" w:hAnsi="Calibri"/>
                <w:color w:val="505050"/>
                <w:sz w:val="20"/>
              </w:rPr>
              <w:t>Ajustamos o escopo de atuação com base nas imagens enviadas:</w:t>
            </w:r>
          </w:p>
          <w:p>
            <w:pPr>
              <w:spacing w:after="40" w:before="40"/>
            </w:pPr>
            <w:r>
              <w:rPr>
                <w:rFonts w:ascii="Calibri" w:hAnsi="Calibri"/>
                <w:color w:val="505050"/>
                <w:sz w:val="20"/>
              </w:rPr>
              <w:t xml:space="preserve">1. </w:t>
            </w:r>
            <w:r>
              <w:rPr>
                <w:rFonts w:ascii="Calibri" w:hAnsi="Calibri"/>
                <w:b/>
                <w:color w:val="505050"/>
                <w:sz w:val="20"/>
              </w:rPr>
              <w:t>Faca / Limites</w:t>
            </w:r>
            <w:r>
              <w:rPr>
                <w:rFonts w:ascii="Calibri" w:hAnsi="Calibri"/>
                <w:color w:val="505050"/>
                <w:sz w:val="20"/>
              </w:rPr>
              <w:t>: Caixas do tipo cartucho (retail boxes) com furo tipo Euro slot para pendurar, aplicadas a todos os acessórios (lentes, películas, capinhas, etc.).</w:t>
            </w:r>
          </w:p>
          <w:p>
            <w:pPr>
              <w:spacing w:after="40" w:before="40"/>
            </w:pPr>
            <w:r>
              <w:rPr>
                <w:rFonts w:ascii="Calibri" w:hAnsi="Calibri"/>
                <w:color w:val="505050"/>
                <w:sz w:val="20"/>
              </w:rPr>
              <w:t xml:space="preserve">2. </w:t>
            </w:r>
            <w:r>
              <w:rPr>
                <w:rFonts w:ascii="Calibri" w:hAnsi="Calibri"/>
                <w:b/>
                <w:color w:val="505050"/>
                <w:sz w:val="20"/>
              </w:rPr>
              <w:t>Estilo / Identidade</w:t>
            </w:r>
            <w:r>
              <w:rPr>
                <w:rFonts w:ascii="Calibri" w:hAnsi="Calibri"/>
                <w:color w:val="505050"/>
                <w:sz w:val="20"/>
              </w:rPr>
              <w:t xml:space="preserve">: Estilos premium como o preto/dourado da </w:t>
            </w:r>
            <w:r>
              <w:rPr>
                <w:rFonts w:ascii="Calibri" w:hAnsi="Calibri"/>
                <w:b/>
                <w:color w:val="505050"/>
                <w:sz w:val="20"/>
              </w:rPr>
              <w:t>Pangox</w:t>
            </w:r>
            <w:r>
              <w:rPr>
                <w:rFonts w:ascii="Calibri" w:hAnsi="Calibri"/>
                <w:color w:val="505050"/>
                <w:sz w:val="20"/>
              </w:rPr>
              <w:t xml:space="preserve"> e o verde neon texturizado da </w:t>
            </w:r>
            <w:r>
              <w:rPr>
                <w:rFonts w:ascii="Calibri" w:hAnsi="Calibri"/>
                <w:b/>
                <w:color w:val="505050"/>
                <w:sz w:val="20"/>
              </w:rPr>
              <w:t>Case &amp; Screen</w:t>
            </w:r>
            <w:r>
              <w:rPr>
                <w:rFonts w:ascii="Calibri" w:hAnsi="Calibri"/>
                <w:color w:val="505050"/>
                <w:sz w:val="20"/>
              </w:rPr>
              <w:t>.</w:t>
            </w:r>
          </w:p>
          <w:p>
            <w:pPr>
              <w:spacing w:after="40" w:before="40"/>
            </w:pPr>
            <w:r>
              <w:rPr>
                <w:rFonts w:ascii="Calibri" w:hAnsi="Calibri"/>
                <w:color w:val="505050"/>
                <w:sz w:val="20"/>
              </w:rPr>
              <w:t xml:space="preserve">3. </w:t>
            </w:r>
            <w:r>
              <w:rPr>
                <w:rFonts w:ascii="Calibri" w:hAnsi="Calibri"/>
                <w:b/>
                <w:color w:val="505050"/>
                <w:sz w:val="20"/>
              </w:rPr>
              <w:t>Extensão de Linha</w:t>
            </w:r>
            <w:r>
              <w:rPr>
                <w:rFonts w:ascii="Calibri" w:hAnsi="Calibri"/>
                <w:color w:val="505050"/>
                <w:sz w:val="20"/>
              </w:rPr>
              <w:t>: Variações para Capas TPU Transparente, Capas TPU Fosco, Placas de Exibição (Boards) e mais 6 itens de acessórios.</w:t>
            </w:r>
          </w:p>
          <w:p>
            <w:pPr>
              <w:spacing w:after="40" w:before="40"/>
            </w:pPr>
            <w:r>
              <w:rPr>
                <w:rFonts w:ascii="Calibri" w:hAnsi="Calibri"/>
                <w:color w:val="505050"/>
                <w:sz w:val="20"/>
              </w:rPr>
            </w:r>
          </w:p>
          <w:p>
            <w:pPr>
              <w:spacing w:after="40" w:before="40"/>
            </w:pPr>
            <w:r>
              <w:rPr>
                <w:rFonts w:ascii="Calibri" w:hAnsi="Calibri"/>
                <w:color w:val="505050"/>
                <w:sz w:val="20"/>
              </w:rPr>
              <w:t>Solicitamos sua avaliação sobre se os detalhes da infraestrutura do Flow e a estrutura dos prompts de teste correspondem exatamente às necessidades do projeto.</w:t>
            </w:r>
          </w:p>
        </w:tc>
      </w:tr>
    </w:tbl>
    <w:p/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107C41"/>
          <w:sz w:val="30"/>
        </w:rPr>
        <w:t>Open Questions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B43232"/>
                <w:sz w:val="20"/>
              </w:rPr>
              <w:t xml:space="preserve">WARNING: </w:t>
            </w:r>
            <w:r>
              <w:rPr>
                <w:rFonts w:ascii="Calibri" w:hAnsi="Calibri"/>
                <w:color w:val="505050"/>
                <w:sz w:val="20"/>
              </w:rPr>
            </w:r>
          </w:p>
          <w:p>
            <w:pPr>
              <w:spacing w:after="40" w:before="40"/>
            </w:pPr>
            <w:r>
              <w:rPr>
                <w:rFonts w:ascii="Calibri" w:hAnsi="Calibri"/>
                <w:color w:val="505050"/>
                <w:sz w:val="20"/>
              </w:rPr>
            </w:r>
            <w:r>
              <w:rPr>
                <w:rFonts w:ascii="Calibri" w:hAnsi="Calibri"/>
                <w:b/>
                <w:color w:val="505050"/>
                <w:sz w:val="20"/>
              </w:rPr>
              <w:t>Perguntas em Aberto para Alinhamento com o Cliente</w:t>
            </w:r>
            <w:r>
              <w:rPr>
                <w:rFonts w:ascii="Calibri" w:hAnsi="Calibri"/>
                <w:color w:val="505050"/>
                <w:sz w:val="20"/>
              </w:rPr>
              <w:t>:</w:t>
            </w:r>
          </w:p>
          <w:p>
            <w:pPr>
              <w:spacing w:after="40" w:before="40"/>
            </w:pPr>
            <w:r>
              <w:rPr>
                <w:rFonts w:ascii="Calibri" w:hAnsi="Calibri"/>
                <w:color w:val="505050"/>
                <w:sz w:val="20"/>
              </w:rPr>
              <w:t xml:space="preserve">1. </w:t>
            </w:r>
            <w:r>
              <w:rPr>
                <w:rFonts w:ascii="Calibri" w:hAnsi="Calibri"/>
                <w:b/>
                <w:color w:val="505050"/>
                <w:sz w:val="20"/>
              </w:rPr>
              <w:t>Repositório de Logos</w:t>
            </w:r>
            <w:r>
              <w:rPr>
                <w:rFonts w:ascii="Calibri" w:hAnsi="Calibri"/>
                <w:color w:val="505050"/>
                <w:sz w:val="20"/>
              </w:rPr>
              <w:t>: Para as simulações e para que os Account Managers façam substituições precisas de logotipos nas novas artes, eles precisam dos arquivos de logo em PNG transparente (como os logos da Pangox e Obli) hospedados em links públicos para passar como referência no prompt do Flow. Onde ficarão hospedados?</w:t>
            </w:r>
          </w:p>
          <w:p>
            <w:pPr>
              <w:spacing w:after="40" w:before="40"/>
            </w:pPr>
            <w:r>
              <w:rPr>
                <w:rFonts w:ascii="Calibri" w:hAnsi="Calibri"/>
                <w:color w:val="505050"/>
                <w:sz w:val="20"/>
              </w:rPr>
              <w:t xml:space="preserve">2. </w:t>
            </w:r>
            <w:r>
              <w:rPr>
                <w:rFonts w:ascii="Calibri" w:hAnsi="Calibri"/>
                <w:b/>
                <w:color w:val="505050"/>
                <w:sz w:val="20"/>
              </w:rPr>
              <w:t>Configuração nos Computadores</w:t>
            </w:r>
            <w:r>
              <w:rPr>
                <w:rFonts w:ascii="Calibri" w:hAnsi="Calibri"/>
                <w:color w:val="505050"/>
                <w:sz w:val="20"/>
              </w:rPr>
              <w:t>: Todos os 4 gestores já possuem acesso à conta Google Labs Flow? O ambiente é gratuito, mas exige login com uma conta Google.</w:t>
            </w:r>
          </w:p>
        </w:tc>
      </w:tr>
    </w:tbl>
    <w:p/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107C41"/>
          <w:sz w:val="30"/>
        </w:rPr>
        <w:t>Onde o Google Labs Flow se conecta com este projeto?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07C41"/>
                <w:sz w:val="20"/>
              </w:rPr>
              <w:t xml:space="preserve">TIP: </w:t>
            </w:r>
            <w:r>
              <w:rPr>
                <w:rFonts w:ascii="Calibri" w:hAnsi="Calibri"/>
                <w:color w:val="505050"/>
                <w:sz w:val="20"/>
              </w:rPr>
            </w:r>
          </w:p>
          <w:p>
            <w:pPr>
              <w:spacing w:after="40" w:before="40"/>
            </w:pPr>
            <w:r>
              <w:rPr>
                <w:rFonts w:ascii="Calibri" w:hAnsi="Calibri"/>
                <w:color w:val="505050"/>
                <w:sz w:val="20"/>
              </w:rPr>
            </w:r>
            <w:r>
              <w:rPr>
                <w:rFonts w:ascii="Calibri" w:hAnsi="Calibri"/>
                <w:b/>
                <w:color w:val="505050"/>
                <w:sz w:val="20"/>
              </w:rPr>
              <w:t>O Flow é a interface final dos seus Account Managers!</w:t>
            </w:r>
            <w:r>
              <w:rPr>
                <w:rFonts w:ascii="Calibri" w:hAnsi="Calibri"/>
                <w:color w:val="505050"/>
                <w:sz w:val="20"/>
              </w:rPr>
            </w:r>
          </w:p>
          <w:p>
            <w:pPr>
              <w:spacing w:after="40" w:before="40"/>
            </w:pPr>
            <w:r>
              <w:rPr>
                <w:rFonts w:ascii="Calibri" w:hAnsi="Calibri"/>
                <w:color w:val="505050"/>
                <w:sz w:val="20"/>
              </w:rPr>
              <w:t xml:space="preserve">Em vez de fazer os gestores de conta usarem chats de IA (como Discord do Midjourney ou interfaces de prompt complexas), nós usaremos o </w:t>
            </w:r>
            <w:r>
              <w:rPr>
                <w:rFonts w:ascii="Calibri" w:hAnsi="Calibri"/>
                <w:b/>
                <w:color w:val="505050"/>
                <w:sz w:val="20"/>
              </w:rPr>
              <w:t>Google Labs Flow</w:t>
            </w:r>
            <w:r>
              <w:rPr>
                <w:rFonts w:ascii="Calibri" w:hAnsi="Calibri"/>
                <w:color w:val="505050"/>
                <w:sz w:val="20"/>
              </w:rPr>
              <w:t xml:space="preserve"> para construir um </w:t>
            </w:r>
            <w:r>
              <w:rPr>
                <w:rFonts w:ascii="Calibri" w:hAnsi="Calibri"/>
                <w:b/>
                <w:color w:val="505050"/>
                <w:sz w:val="20"/>
              </w:rPr>
              <w:t>aplicativo/ferramenta customizada interna (Custom Tool)</w:t>
            </w:r>
            <w:r>
              <w:rPr>
                <w:rFonts w:ascii="Calibri" w:hAnsi="Calibri"/>
                <w:color w:val="505050"/>
                <w:sz w:val="20"/>
              </w:rPr>
              <w:t>.</w:t>
            </w:r>
          </w:p>
          <w:p>
            <w:pPr>
              <w:spacing w:after="40" w:before="40"/>
            </w:pPr>
            <w:r>
              <w:rPr>
                <w:rFonts w:ascii="Calibri" w:hAnsi="Calibri"/>
                <w:color w:val="505050"/>
                <w:sz w:val="20"/>
              </w:rPr>
            </w:r>
          </w:p>
          <w:p>
            <w:pPr>
              <w:spacing w:after="40" w:before="40"/>
            </w:pPr>
            <w:r>
              <w:rPr>
                <w:rFonts w:ascii="Calibri" w:hAnsi="Calibri"/>
                <w:color w:val="505050"/>
                <w:sz w:val="20"/>
              </w:rPr>
            </w:r>
            <w:r>
              <w:rPr>
                <w:rFonts w:ascii="Calibri" w:hAnsi="Calibri"/>
                <w:b/>
                <w:color w:val="505050"/>
                <w:sz w:val="20"/>
              </w:rPr>
              <w:t>Como funcionará na prática:</w:t>
            </w:r>
            <w:r>
              <w:rPr>
                <w:rFonts w:ascii="Calibri" w:hAnsi="Calibri"/>
                <w:color w:val="505050"/>
                <w:sz w:val="20"/>
              </w:rPr>
            </w:r>
          </w:p>
          <w:p>
            <w:pPr>
              <w:spacing w:after="40" w:before="40"/>
            </w:pPr>
            <w:r>
              <w:rPr>
                <w:rFonts w:ascii="Calibri" w:hAnsi="Calibri"/>
                <w:color w:val="505050"/>
                <w:sz w:val="20"/>
              </w:rPr>
              <w:t xml:space="preserve">1. </w:t>
            </w:r>
            <w:r>
              <w:rPr>
                <w:rFonts w:ascii="Calibri" w:hAnsi="Calibri"/>
                <w:b/>
                <w:color w:val="505050"/>
                <w:sz w:val="20"/>
              </w:rPr>
              <w:t>No Flow, criamos um pipeline visual com nós (nodes):</w:t>
            </w:r>
            <w:r>
              <w:rPr>
                <w:rFonts w:ascii="Calibri" w:hAnsi="Calibri"/>
                <w:color w:val="505050"/>
                <w:sz w:val="20"/>
              </w:rPr>
            </w:r>
          </w:p>
          <w:p>
            <w:pPr>
              <w:spacing w:after="40" w:before="40"/>
            </w:pPr>
            <w:r>
              <w:rPr>
                <w:rFonts w:ascii="Calibri" w:hAnsi="Calibri"/>
                <w:color w:val="505050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505050"/>
                <w:sz w:val="20"/>
              </w:rPr>
              <w:t>Inputs (Campos de Entrada)</w:t>
            </w:r>
            <w:r>
              <w:rPr>
                <w:rFonts w:ascii="Calibri" w:hAnsi="Calibri"/>
                <w:color w:val="505050"/>
                <w:sz w:val="20"/>
              </w:rPr>
              <w:t>: Um campo para subir a imagem da embalagem de referência (ex: PANGOX), um campo de seleção para o produto (ex: Película de Lente, Capa TPU) e um campo para a cor desejada.</w:t>
            </w:r>
          </w:p>
          <w:p>
            <w:pPr>
              <w:spacing w:after="40" w:before="40"/>
            </w:pPr>
            <w:r>
              <w:rPr>
                <w:rFonts w:ascii="Calibri" w:hAnsi="Calibri"/>
                <w:color w:val="505050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505050"/>
                <w:sz w:val="20"/>
              </w:rPr>
              <w:t>Nó de Prompt</w:t>
            </w:r>
            <w:r>
              <w:rPr>
                <w:rFonts w:ascii="Calibri" w:hAnsi="Calibri"/>
                <w:color w:val="505050"/>
                <w:sz w:val="20"/>
              </w:rPr>
              <w:t>: Um modelo de prompt oculto que junta as informações digitadas e cria o prompt técnico automaticamente.</w:t>
            </w:r>
          </w:p>
          <w:p>
            <w:pPr>
              <w:spacing w:after="40" w:before="40"/>
            </w:pPr>
            <w:r>
              <w:rPr>
                <w:rFonts w:ascii="Calibri" w:hAnsi="Calibri"/>
                <w:color w:val="505050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505050"/>
                <w:sz w:val="20"/>
              </w:rPr>
              <w:t>Nó de Imagem (Imagen 3 / ImageFX)</w:t>
            </w:r>
            <w:r>
              <w:rPr>
                <w:rFonts w:ascii="Calibri" w:hAnsi="Calibri"/>
                <w:color w:val="505050"/>
                <w:sz w:val="20"/>
              </w:rPr>
              <w:t>: Gera as opções mantendo a consistência da embalagem original.</w:t>
            </w:r>
          </w:p>
          <w:p>
            <w:pPr>
              <w:spacing w:after="40" w:before="40"/>
            </w:pPr>
            <w:r>
              <w:rPr>
                <w:rFonts w:ascii="Calibri" w:hAnsi="Calibri"/>
                <w:color w:val="505050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505050"/>
                <w:sz w:val="20"/>
              </w:rPr>
              <w:t>Output (Saída)</w:t>
            </w:r>
            <w:r>
              <w:rPr>
                <w:rFonts w:ascii="Calibri" w:hAnsi="Calibri"/>
                <w:color w:val="505050"/>
                <w:sz w:val="20"/>
              </w:rPr>
              <w:t>: Mostra as duas opções finais lado a lado para o gestor.</w:t>
            </w:r>
          </w:p>
          <w:p>
            <w:pPr>
              <w:spacing w:after="40" w:before="40"/>
            </w:pPr>
            <w:r>
              <w:rPr>
                <w:rFonts w:ascii="Calibri" w:hAnsi="Calibri"/>
                <w:color w:val="505050"/>
                <w:sz w:val="20"/>
              </w:rPr>
              <w:t xml:space="preserve">2. </w:t>
            </w:r>
            <w:r>
              <w:rPr>
                <w:rFonts w:ascii="Calibri" w:hAnsi="Calibri"/>
                <w:b/>
                <w:color w:val="505050"/>
                <w:sz w:val="20"/>
              </w:rPr>
              <w:t>Para o Gestor de Contas</w:t>
            </w:r>
            <w:r>
              <w:rPr>
                <w:rFonts w:ascii="Calibri" w:hAnsi="Calibri"/>
                <w:color w:val="505050"/>
                <w:sz w:val="20"/>
              </w:rPr>
              <w:t>: Eles abrirão um link simples do Flow com um formulário limpo, preencherão os campos e clicarão em "Gerar". Sem precisar saber inglês ou engenharia de prompt.</w:t>
            </w:r>
          </w:p>
        </w:tc>
      </w:tr>
    </w:tbl>
    <w:p/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107C41"/>
          <w:sz w:val="30"/>
        </w:rPr>
        <w:t>Estudo e Escolha de IAs (Demanda 1)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 xml:space="preserve">Para atender aos requisitos de </w:t>
      </w:r>
      <w:r>
        <w:rPr>
          <w:rFonts w:ascii="Calibri" w:hAnsi="Calibri"/>
          <w:b/>
          <w:color w:val="333333"/>
          <w:sz w:val="22"/>
        </w:rPr>
        <w:t>coerência estética (extensão de linha)</w:t>
      </w:r>
      <w:r>
        <w:rPr>
          <w:rFonts w:ascii="Calibri" w:hAnsi="Calibri"/>
          <w:color w:val="333333"/>
          <w:sz w:val="22"/>
        </w:rPr>
        <w:t xml:space="preserve"> e </w:t>
      </w:r>
      <w:r>
        <w:rPr>
          <w:rFonts w:ascii="Calibri" w:hAnsi="Calibri"/>
          <w:b/>
          <w:color w:val="333333"/>
          <w:sz w:val="22"/>
        </w:rPr>
        <w:t>controle geométrico (faca/limites)</w:t>
      </w:r>
      <w:r>
        <w:rPr>
          <w:rFonts w:ascii="Calibri" w:hAnsi="Calibri"/>
          <w:color w:val="333333"/>
          <w:sz w:val="22"/>
        </w:rPr>
        <w:t>, analisamos as principais ferramentas de IA generativa de imagens que podem ser integradas ou usadas junto ao Flow: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07C41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Ferramenta</w:t>
            </w:r>
            <w:r>
              <w:rPr>
                <w:rFonts w:ascii="Calibri" w:hAnsi="Calibri"/>
                <w:color w:val="FFFFFF"/>
                <w:sz w:val="20"/>
              </w:rPr>
            </w:r>
          </w:p>
        </w:tc>
        <w:tc>
          <w:tcPr>
            <w:tcW w:type="dxa" w:w="2340"/>
            <w:shd w:fill="107C41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Vantagens para este Projeto</w:t>
            </w:r>
            <w:r>
              <w:rPr>
                <w:rFonts w:ascii="Calibri" w:hAnsi="Calibri"/>
                <w:color w:val="FFFFFF"/>
                <w:sz w:val="20"/>
              </w:rPr>
            </w:r>
          </w:p>
        </w:tc>
        <w:tc>
          <w:tcPr>
            <w:tcW w:type="dxa" w:w="2340"/>
            <w:shd w:fill="107C41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Desvantagens</w:t>
            </w:r>
            <w:r>
              <w:rPr>
                <w:rFonts w:ascii="Calibri" w:hAnsi="Calibri"/>
                <w:color w:val="FFFFFF"/>
                <w:sz w:val="20"/>
              </w:rPr>
            </w:r>
          </w:p>
        </w:tc>
        <w:tc>
          <w:tcPr>
            <w:tcW w:type="dxa" w:w="2340"/>
            <w:shd w:fill="107C41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Recomendação</w:t>
            </w:r>
            <w:r>
              <w:rPr>
                <w:rFonts w:ascii="Calibri" w:hAnsi="Calibri"/>
                <w:color w:val="FFFFFF"/>
                <w:sz w:val="20"/>
              </w:rPr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9"/>
              </w:rPr>
              <w:t>:---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9"/>
              </w:rPr>
              <w:t>:---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9"/>
              </w:rPr>
              <w:t>:---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9"/>
              </w:rPr>
              <w:t>:---</w:t>
            </w:r>
          </w:p>
        </w:tc>
      </w:tr>
      <w:tr>
        <w:tc>
          <w:tcPr>
            <w:tcW w:type="dxa" w:w="2340"/>
            <w:shd w:fill="F2F9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9"/>
              </w:rPr>
            </w:r>
            <w:r>
              <w:rPr>
                <w:rFonts w:ascii="Calibri" w:hAnsi="Calibri"/>
                <w:b/>
                <w:color w:val="333333"/>
                <w:sz w:val="19"/>
              </w:rPr>
              <w:t>Google Labs Flow (ImageFX / Imagen 3)</w:t>
            </w:r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2340"/>
            <w:shd w:fill="F2F9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9"/>
              </w:rPr>
              <w:t>- Permite criar a interface no-code simplificada para os gestores.&lt;br&gt;- Excelente fotorealismo e controle de detalhes.&lt;br&gt;- Gratuito no ambiente experimental Labs.</w:t>
            </w:r>
          </w:p>
        </w:tc>
        <w:tc>
          <w:tcPr>
            <w:tcW w:type="dxa" w:w="2340"/>
            <w:shd w:fill="F2F9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9"/>
              </w:rPr>
              <w:t>- O controle de consistência de estilo 1:1 ainda está evoluindo se comparado ao Midjourney.</w:t>
            </w:r>
          </w:p>
        </w:tc>
        <w:tc>
          <w:tcPr>
            <w:tcW w:type="dxa" w:w="2340"/>
            <w:shd w:fill="F2F9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9"/>
              </w:rPr>
            </w:r>
            <w:r>
              <w:rPr>
                <w:rFonts w:ascii="Calibri" w:hAnsi="Calibri"/>
                <w:b/>
                <w:color w:val="333333"/>
                <w:sz w:val="19"/>
              </w:rPr>
              <w:t>Principal recomendação para a interface final (Frontend) e geração rápida.</w:t>
            </w:r>
            <w:r>
              <w:rPr>
                <w:rFonts w:ascii="Calibri" w:hAnsi="Calibri"/>
                <w:color w:val="333333"/>
                <w:sz w:val="19"/>
              </w:rPr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9"/>
              </w:rPr>
            </w:r>
            <w:r>
              <w:rPr>
                <w:rFonts w:ascii="Calibri" w:hAnsi="Calibri"/>
                <w:b/>
                <w:color w:val="333333"/>
                <w:sz w:val="19"/>
              </w:rPr>
              <w:t>Midjourney (Web Interface)</w:t>
            </w:r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9"/>
              </w:rPr>
              <w:t>- Qualidade estética imbatível.&lt;br&gt;- Recurso `--sref` (Style Reference) garante consistência de estilo 1:1 com as embalagens prontas.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9"/>
              </w:rPr>
              <w:t>- Requer assinatura paga por usuário.&lt;br&gt;- Não permite criar formulários simples para terceiros como o Flow.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9"/>
              </w:rPr>
            </w:r>
            <w:r>
              <w:rPr>
                <w:rFonts w:ascii="Calibri" w:hAnsi="Calibri"/>
                <w:b/>
                <w:color w:val="333333"/>
                <w:sz w:val="19"/>
              </w:rPr>
              <w:t>Ideal para gerar os primeiros conceitos visuais consistentes de referência.</w:t>
            </w:r>
            <w:r>
              <w:rPr>
                <w:rFonts w:ascii="Calibri" w:hAnsi="Calibri"/>
                <w:color w:val="333333"/>
                <w:sz w:val="19"/>
              </w:rPr>
            </w:r>
          </w:p>
        </w:tc>
      </w:tr>
      <w:tr>
        <w:tc>
          <w:tcPr>
            <w:tcW w:type="dxa" w:w="2340"/>
            <w:shd w:fill="F2F9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9"/>
              </w:rPr>
            </w:r>
            <w:r>
              <w:rPr>
                <w:rFonts w:ascii="Calibri" w:hAnsi="Calibri"/>
                <w:b/>
                <w:color w:val="333333"/>
                <w:sz w:val="19"/>
              </w:rPr>
              <w:t>Adobe Firefly / Photoshop Web</w:t>
            </w:r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2340"/>
            <w:shd w:fill="F2F9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9"/>
              </w:rPr>
              <w:t>- Excelente para ajustes finos (Inpainting) de forma manual na hora de trocar o produto ou ajustar cores em áreas específicas.</w:t>
            </w:r>
          </w:p>
        </w:tc>
        <w:tc>
          <w:tcPr>
            <w:tcW w:type="dxa" w:w="2340"/>
            <w:shd w:fill="F2F9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9"/>
              </w:rPr>
              <w:t>- Interface mais técnica que o Flow.</w:t>
            </w:r>
          </w:p>
        </w:tc>
        <w:tc>
          <w:tcPr>
            <w:tcW w:type="dxa" w:w="2340"/>
            <w:shd w:fill="F2F9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9"/>
              </w:rPr>
            </w:r>
            <w:r>
              <w:rPr>
                <w:rFonts w:ascii="Calibri" w:hAnsi="Calibri"/>
                <w:b/>
                <w:color w:val="333333"/>
                <w:sz w:val="19"/>
              </w:rPr>
              <w:t>Recomendada como ferramenta de apoio/refinamento.</w:t>
            </w:r>
            <w:r>
              <w:rPr>
                <w:rFonts w:ascii="Calibri" w:hAnsi="Calibri"/>
                <w:color w:val="333333"/>
                <w:sz w:val="19"/>
              </w:rPr>
            </w:r>
          </w:p>
        </w:tc>
      </w:tr>
    </w:tbl>
    <w:p/>
    <w:p>
      <w:pPr>
        <w:spacing w:before="200" w:after="60"/>
      </w:pPr>
      <w:r>
        <w:rPr>
          <w:rFonts w:ascii="Arial" w:hAnsi="Arial"/>
          <w:b/>
          <w:color w:val="107C41"/>
          <w:sz w:val="25"/>
        </w:rPr>
        <w:t>Fluxo de Trabalho Recomendado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 xml:space="preserve">Propomos utilizar o </w:t>
      </w:r>
      <w:r>
        <w:rPr>
          <w:rFonts w:ascii="Calibri" w:hAnsi="Calibri"/>
          <w:b/>
          <w:color w:val="333333"/>
          <w:sz w:val="22"/>
        </w:rPr>
        <w:t>Google Labs Flow</w:t>
      </w:r>
      <w:r>
        <w:rPr>
          <w:rFonts w:ascii="Calibri" w:hAnsi="Calibri"/>
          <w:color w:val="333333"/>
          <w:sz w:val="22"/>
        </w:rPr>
        <w:t xml:space="preserve"> para criar uma ferramenta de geração de variações rápida para os Account Managers, usando prompts otimizados em inglês que rodam por trás da interface.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107C41"/>
          <w:sz w:val="30"/>
        </w:rPr>
        <w:t>Modelos de Prompts e Sequência (Demanda 2)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 xml:space="preserve">Criaremos a lógica dos prompts que ficará </w:t>
      </w:r>
      <w:r>
        <w:rPr>
          <w:rFonts w:ascii="Calibri" w:hAnsi="Calibri"/>
          <w:b/>
          <w:color w:val="333333"/>
          <w:sz w:val="22"/>
        </w:rPr>
        <w:t>oculta dentro dos nós do Flow</w:t>
      </w:r>
      <w:r>
        <w:rPr>
          <w:rFonts w:ascii="Calibri" w:hAnsi="Calibri"/>
          <w:color w:val="333333"/>
          <w:sz w:val="22"/>
        </w:rPr>
        <w:t>, de modo que o gestor de contas apenas preencha campos simples no formulário: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Formulário do Gestor: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  <w:t>Imagem de Referência: [Upload da Embalagem Pronta]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  <w:t>Produto Novo: [Protetor de Lente de Celular / Capa TPU / Board]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  <w:t>Cor Predominante: [Verde Neon / Preto Fosco / Ouro]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  <w:t>Acabamento: [Transparente / Fosco / Brilhante]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O nó do Flow transformará isso no prompt técnico em português correspondente para a geração da imagem (já que o Imagen 3 / Google Labs Flow possui suporte excelente e nativo ao português, facilitando a operação e os ajustes finos pelo time comercial brasileiro).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107C41"/>
          <w:sz w:val="30"/>
        </w:rPr>
        <w:t>Validação de Precificação (Acessórios de Celular)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Para estruturar a precificação deste projeto para o cliente final no Workana, sugerimos dividir em duas partes:</w:t>
      </w:r>
    </w:p>
    <w:p>
      <w:pPr>
        <w:pStyle w:val="ListNumber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Custo de Infraestrutura de IA (Mensal)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Opção Premium (Midjourney)</w:t>
      </w:r>
      <w:r>
        <w:rPr>
          <w:rFonts w:ascii="Calibri" w:hAnsi="Calibri"/>
          <w:color w:val="333333"/>
          <w:sz w:val="22"/>
        </w:rPr>
        <w:t xml:space="preserve">: 4 licenças Midjourney Basic ($10/mês cada) = </w:t>
      </w:r>
      <w:r>
        <w:rPr>
          <w:rFonts w:ascii="Calibri" w:hAnsi="Calibri"/>
          <w:b/>
          <w:color w:val="333333"/>
          <w:sz w:val="22"/>
        </w:rPr>
        <w:t>$40 USD/mês</w:t>
      </w:r>
      <w:r>
        <w:rPr>
          <w:rFonts w:ascii="Calibri" w:hAnsi="Calibri"/>
          <w:color w:val="333333"/>
          <w:sz w:val="22"/>
        </w:rPr>
        <w:t xml:space="preserve"> no total.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Opção Standard (Google Flow)</w:t>
      </w:r>
      <w:r>
        <w:rPr>
          <w:rFonts w:ascii="Calibri" w:hAnsi="Calibri"/>
          <w:color w:val="333333"/>
          <w:sz w:val="22"/>
        </w:rPr>
        <w:t xml:space="preserve">: Uso no ambiente experimental gratuito do Google Labs = </w:t>
      </w:r>
      <w:r>
        <w:rPr>
          <w:rFonts w:ascii="Calibri" w:hAnsi="Calibri"/>
          <w:b/>
          <w:color w:val="333333"/>
          <w:sz w:val="22"/>
        </w:rPr>
        <w:t>$0 USD/mês</w:t>
      </w:r>
      <w:r>
        <w:rPr>
          <w:rFonts w:ascii="Calibri" w:hAnsi="Calibri"/>
          <w:color w:val="333333"/>
          <w:sz w:val="22"/>
        </w:rPr>
        <w:t>.</w:t>
      </w:r>
    </w:p>
    <w:p>
      <w:pPr>
        <w:pStyle w:val="ListNumber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Valor dos Serviços (Engenharia de Prompt e Entrega)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  <w:t xml:space="preserve">Como se trata de criar a lógica de prompt no Flow, validar o fluxo para a linha de Protetores de Câmera e estruturar para os Account Managers de forma no-code, o projeto é de tamanho </w:t>
      </w:r>
      <w:r>
        <w:rPr>
          <w:rFonts w:ascii="Calibri" w:hAnsi="Calibri"/>
          <w:b/>
          <w:color w:val="333333"/>
          <w:sz w:val="22"/>
        </w:rPr>
        <w:t>Grande</w:t>
      </w:r>
      <w:r>
        <w:rPr>
          <w:rFonts w:ascii="Calibri" w:hAnsi="Calibri"/>
          <w:color w:val="333333"/>
          <w:sz w:val="22"/>
        </w:rPr>
        <w:t>.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  <w:t xml:space="preserve">Sugestão de valor para esta demanda inicial de Protetor de Lente + setup do Flow: </w:t>
      </w:r>
      <w:r>
        <w:rPr>
          <w:rFonts w:ascii="Calibri" w:hAnsi="Calibri"/>
          <w:b/>
          <w:color w:val="333333"/>
          <w:sz w:val="22"/>
        </w:rPr>
        <w:t>$150 a $300 USD</w:t>
      </w:r>
      <w:r>
        <w:rPr>
          <w:rFonts w:ascii="Calibri" w:hAnsi="Calibri"/>
          <w:color w:val="333333"/>
          <w:sz w:val="22"/>
        </w:rPr>
        <w:t xml:space="preserve"> (equivalente a R$ 800 - R$ 1.500), pois resolve a produtividade de 4 pessoas permanentemente. As outras 7 demandas podem ser fechadas como um contrato mensal ou valor por pacote (ex: $50 USD por novo produto configurado).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107C41"/>
          <w:sz w:val="30"/>
        </w:rPr>
        <w:t>Proposta de Arquivos no Workspace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Recomendamos criar uma pasta chamada `workana_packaging_ai` dentro do diretório de scratch e torná-la o workspace ativo. Dentro dela, criaremos o seguinte arquivo com o manual operacional:</w:t>
      </w:r>
    </w:p>
    <w:p>
      <w:pPr>
        <w:spacing w:before="200" w:after="60"/>
      </w:pPr>
      <w:r>
        <w:rPr>
          <w:rFonts w:ascii="Arial" w:hAnsi="Arial"/>
          <w:b/>
          <w:color w:val="107C41"/>
          <w:sz w:val="25"/>
        </w:rPr>
        <w:t>[NEW] [manual_operacional.md](file:///C:/Users/bruno/.gemini/antigravity-ide/scratch/workana_packaging_ai/manual_operacional.md)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*Um guia passo a passo em formato markdown interativo e visual que os Account Managers podem manter aberto no navegador ou em um leitor de markdown para copiar os prompts e seguir o fluxo de trabalho.*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O arquivo conterá:</w:t>
      </w:r>
    </w:p>
    <w:p>
      <w:pPr>
        <w:pStyle w:val="ListNumber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Configuração Inicial</w:t>
      </w:r>
      <w:r>
        <w:rPr>
          <w:rFonts w:ascii="Calibri" w:hAnsi="Calibri"/>
          <w:color w:val="333333"/>
          <w:sz w:val="22"/>
        </w:rPr>
        <w:t>: Como obter os links das imagens prontas (referências).</w:t>
      </w:r>
    </w:p>
    <w:p>
      <w:pPr>
        <w:pStyle w:val="ListNumber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Templates de Prompt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  <w:t>Criação de nova embalagem (Extensão de linha para outros produtos).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  <w:t>Inserção do produto dentro da embalagem.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  <w:t>Aplicação de materiais específicos (TPU Transparente, TPU Fosco, Protetores de Lente de Celular, Películas de Tela, Boards).</w:t>
      </w:r>
    </w:p>
    <w:p>
      <w:pPr>
        <w:pStyle w:val="ListNumber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Guia de Resolução de Problemas (Edição de Cor e Posição)</w:t>
      </w:r>
      <w:r>
        <w:rPr>
          <w:rFonts w:ascii="Calibri" w:hAnsi="Calibri"/>
          <w:color w:val="333333"/>
          <w:sz w:val="22"/>
        </w:rPr>
        <w:t>: Como solicitar alterações na IA usando inpainting ou modificando termos de cor e peso.</w:t>
      </w:r>
    </w:p>
    <w:p>
      <w:pPr>
        <w:pStyle w:val="ListNumber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Validação e Precificação (Acessórios de Celular)</w:t>
      </w:r>
      <w:r>
        <w:rPr>
          <w:rFonts w:ascii="Calibri" w:hAnsi="Calibri"/>
          <w:color w:val="333333"/>
          <w:sz w:val="22"/>
        </w:rPr>
        <w:t>.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107C41"/>
          <w:sz w:val="30"/>
        </w:rPr>
        <w:t>Plano de Verificação</w:t>
      </w:r>
    </w:p>
    <w:p>
      <w:pPr>
        <w:spacing w:before="200" w:after="60"/>
      </w:pPr>
      <w:r>
        <w:rPr>
          <w:rFonts w:ascii="Arial" w:hAnsi="Arial"/>
          <w:b/>
          <w:color w:val="107C41"/>
          <w:sz w:val="25"/>
        </w:rPr>
        <w:t>Verificação Manual (Bate-Bola Comercial)</w:t>
      </w:r>
    </w:p>
    <w:p>
      <w:pPr>
        <w:pStyle w:val="ListNumber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Teste Prático de Geração</w:t>
      </w:r>
      <w:r>
        <w:rPr>
          <w:rFonts w:ascii="Calibri" w:hAnsi="Calibri"/>
          <w:color w:val="333333"/>
          <w:sz w:val="22"/>
        </w:rPr>
        <w:t>: Usar as imagens de referência fornecidas pelo usuário para gerar variações das embalagens para Protetores de Lente de Celular, Películas de Tela e Cases TPU usando os templates definidos.</w:t>
      </w:r>
    </w:p>
    <w:p>
      <w:pPr>
        <w:pStyle w:val="ListNumber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Validação do Fluxo</w:t>
      </w:r>
      <w:r>
        <w:rPr>
          <w:rFonts w:ascii="Calibri" w:hAnsi="Calibri"/>
          <w:color w:val="333333"/>
          <w:sz w:val="22"/>
        </w:rPr>
        <w:t>: Confirmar que o processo de cópia e colagem leva menos de 2 minutos por variação e gera resultados esteticamente aceitáveis para apresentação imediata ao cliente.</w:t>
      </w:r>
    </w:p>
    <w:p>
      <w:pPr>
        <w:pStyle w:val="ListNumber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Simulação de Alterações</w:t>
      </w:r>
      <w:r>
        <w:rPr>
          <w:rFonts w:ascii="Calibri" w:hAnsi="Calibri"/>
          <w:color w:val="333333"/>
          <w:sz w:val="22"/>
        </w:rPr>
        <w:t>: Testar a edição de cor da paleta e a troca de produto interno, simulando o feedback de um cliente real.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