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00"/>
      </w:pPr>
      <w:r>
        <w:rPr>
          <w:rFonts w:ascii="Calibri" w:cs="Calibri" w:eastAsia="Calibri" w:hAnsi="Calibri"/>
          <w:b/>
          <w:bCs/>
          <w:caps/>
          <w:color w:val="2C7A7B"/>
          <w:sz w:val="22"/>
          <w:szCs w:val="22"/>
        </w:rPr>
        <w:t xml:space="preserve">Documento 1 de 3 · Rediseño del producto</w:t>
      </w:r>
    </w:p>
    <w:p>
      <w:pPr>
        <w:pBdr>
          <w:bottom w:val="single" w:color="2C7A7B" w:sz="12" w:space="4"/>
        </w:pBdr>
        <w:spacing w:after="60"/>
      </w:pPr>
    </w:p>
    <w:p>
      <w:pPr>
        <w:spacing w:after="80" w:before="120"/>
      </w:pPr>
      <w:r>
        <w:rPr>
          <w:rFonts w:ascii="Calibri" w:cs="Calibri" w:eastAsia="Calibri" w:hAnsi="Calibri"/>
          <w:b/>
          <w:bCs/>
          <w:color w:val="1F2A44"/>
          <w:sz w:val="52"/>
          <w:szCs w:val="52"/>
        </w:rPr>
        <w:t xml:space="preserve">Business Decision Architecture</w:t>
      </w:r>
    </w:p>
    <w:p>
      <w:pPr>
        <w:spacing w:after="400"/>
      </w:pPr>
      <w:r>
        <w:rPr>
          <w:rFonts w:ascii="Calibri" w:cs="Calibri" w:eastAsia="Calibri" w:hAnsi="Calibri"/>
          <w:color w:val="425466"/>
          <w:sz w:val="26"/>
          <w:szCs w:val="26"/>
        </w:rPr>
        <w:t xml:space="preserve">La arquitectura conceptual del Sistema de Soporte a la Decisión de BVS</w:t>
      </w:r>
    </w:p>
    <w:p>
      <w:pPr>
        <w:spacing w:after="40"/>
      </w:pPr>
      <w:r>
        <w:rPr>
          <w:rFonts w:ascii="Calibri" w:cs="Calibri" w:eastAsia="Calibri" w:hAnsi="Calibri"/>
          <w:b/>
          <w:bCs/>
          <w:color w:val="1F2A44"/>
          <w:sz w:val="20"/>
          <w:szCs w:val="20"/>
        </w:rPr>
        <w:t xml:space="preserve">Producto   </w:t>
      </w:r>
      <w:r>
        <w:rPr>
          <w:rFonts w:ascii="Calibri" w:cs="Calibri" w:eastAsia="Calibri" w:hAnsi="Calibri"/>
          <w:color w:val="425466"/>
          <w:sz w:val="20"/>
          <w:szCs w:val="20"/>
        </w:rPr>
        <w:t xml:space="preserve">BVS Decision Support System (marketing · CRM · negocio)</w:t>
      </w:r>
    </w:p>
    <w:p>
      <w:pPr>
        <w:spacing w:after="40"/>
      </w:pPr>
      <w:r>
        <w:rPr>
          <w:rFonts w:ascii="Calibri" w:cs="Calibri" w:eastAsia="Calibri" w:hAnsi="Calibri"/>
          <w:b/>
          <w:bCs/>
          <w:color w:val="1F2A44"/>
          <w:sz w:val="20"/>
          <w:szCs w:val="20"/>
        </w:rPr>
        <w:t xml:space="preserve">Preparado para   </w:t>
      </w:r>
      <w:r>
        <w:rPr>
          <w:rFonts w:ascii="Calibri" w:cs="Calibri" w:eastAsia="Calibri" w:hAnsi="Calibri"/>
          <w:color w:val="425466"/>
          <w:sz w:val="20"/>
          <w:szCs w:val="20"/>
        </w:rPr>
        <w:t xml:space="preserve">Bruno Vignati — Co-founder (decisor multi-rol)</w:t>
      </w:r>
    </w:p>
    <w:p>
      <w:pPr>
        <w:spacing w:after="40"/>
      </w:pPr>
      <w:r>
        <w:rPr>
          <w:rFonts w:ascii="Calibri" w:cs="Calibri" w:eastAsia="Calibri" w:hAnsi="Calibri"/>
          <w:b/>
          <w:bCs/>
          <w:color w:val="1F2A44"/>
          <w:sz w:val="20"/>
          <w:szCs w:val="20"/>
        </w:rPr>
        <w:t xml:space="preserve">Naturaleza   </w:t>
      </w:r>
      <w:r>
        <w:rPr>
          <w:rFonts w:ascii="Calibri" w:cs="Calibri" w:eastAsia="Calibri" w:hAnsi="Calibri"/>
          <w:color w:val="425466"/>
          <w:sz w:val="20"/>
          <w:szCs w:val="20"/>
        </w:rPr>
        <w:t xml:space="preserve">Dashboard de evidencia read-only sobre Supabase + React</w:t>
      </w:r>
    </w:p>
    <w:p>
      <w:pPr>
        <w:spacing w:after="40"/>
      </w:pPr>
      <w:r>
        <w:rPr>
          <w:rFonts w:ascii="Calibri" w:cs="Calibri" w:eastAsia="Calibri" w:hAnsi="Calibri"/>
          <w:b/>
          <w:bCs/>
          <w:color w:val="1F2A44"/>
          <w:sz w:val="20"/>
          <w:szCs w:val="20"/>
        </w:rPr>
        <w:t xml:space="preserve">Estado   </w:t>
      </w:r>
      <w:r>
        <w:rPr>
          <w:rFonts w:ascii="Calibri" w:cs="Calibri" w:eastAsia="Calibri" w:hAnsi="Calibri"/>
          <w:color w:val="425466"/>
          <w:sz w:val="20"/>
          <w:szCs w:val="20"/>
        </w:rPr>
        <w:t xml:space="preserve">Modelo de decisión ratificado — base para los Documentos 2 y 3</w:t>
      </w:r>
    </w:p>
    <w:p>
      <w:pPr>
        <w:spacing w:after="40"/>
      </w:pPr>
      <w:r>
        <w:rPr>
          <w:rFonts w:ascii="Calibri" w:cs="Calibri" w:eastAsia="Calibri" w:hAnsi="Calibri"/>
          <w:b/>
          <w:bCs/>
          <w:color w:val="1F2A44"/>
          <w:sz w:val="20"/>
          <w:szCs w:val="20"/>
        </w:rPr>
        <w:t xml:space="preserve">Fecha   </w:t>
      </w:r>
      <w:r>
        <w:rPr>
          <w:rFonts w:ascii="Calibri" w:cs="Calibri" w:eastAsia="Calibri" w:hAnsi="Calibri"/>
          <w:color w:val="425466"/>
          <w:sz w:val="20"/>
          <w:szCs w:val="20"/>
        </w:rPr>
        <w:t xml:space="preserve">Julio 2026</w:t>
      </w:r>
    </w:p>
    <w:p>
      <w:r>
        <w:br w:type="page"/>
      </w:r>
    </w:p>
    <w:p>
      <w:pPr>
        <w:pStyle w:val="Heading1"/>
        <w:spacing w:after="120"/>
      </w:pPr>
      <w:r>
        <w:rPr>
          <w:rFonts w:ascii="Calibri" w:cs="Calibri" w:eastAsia="Calibri" w:hAnsi="Calibri"/>
          <w:b/>
          <w:bCs/>
          <w:color w:val="1F2A44"/>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2A44"/>
          <w:sz w:val="30"/>
          <w:szCs w:val="30"/>
        </w:rPr>
        <w:t xml:space="preserve">1 · Propósito y cambio de filosofía</w:t>
      </w:r>
    </w:p>
    <w:p>
      <w:pPr>
        <w:spacing w:after="160" w:line="288"/>
      </w:pPr>
      <w:r>
        <w:rPr>
          <w:rFonts w:ascii="Calibri" w:cs="Calibri" w:eastAsia="Calibri" w:hAnsi="Calibri"/>
          <w:i/>
          <w:iCs/>
          <w:color w:val="425466"/>
          <w:sz w:val="22"/>
          <w:szCs w:val="22"/>
        </w:rPr>
        <w:t xml:space="preserve">El producto no existe para mostrar datos. Existe para organizar la evidencia necesaria para responder las preguntas de negocio más importantes, permitiendo tomar decisiones mejor fundamentadas y más rápidas — sin sustituir el criterio humano.</w:t>
      </w:r>
    </w:p>
    <w:p>
      <w:pPr>
        <w:spacing w:after="120" w:line="276"/>
        <w:jc w:val="left"/>
      </w:pPr>
      <w:r>
        <w:rPr>
          <w:rFonts w:ascii="Calibri" w:cs="Calibri" w:eastAsia="Calibri" w:hAnsi="Calibri"/>
          <w:color w:val="222831"/>
          <w:sz w:val="21"/>
          <w:szCs w:val="21"/>
        </w:rPr>
        <w:t xml:space="preserve">Hasta ahora BVS ha construido un dashboard que captura datos y los presenta mediante gráficos y tablas. Este documento marca un cambio de naturaleza: dejamos de construir un panel de métricas y pasamos a construir un Sistema de Soporte a la Decisión (Decision Support System, DSS). La diferencia no es cosmética. Un dashboard de métricas parte del dato y espera que alguien descubra algo; un DSS parte de una pregunta de negocio y trae únicamente la evidencia necesaria para actuar sobre ella.</w:t>
      </w:r>
    </w:p>
    <w:p>
      <w:pPr>
        <w:spacing w:after="120" w:line="276"/>
        <w:jc w:val="left"/>
      </w:pPr>
      <w:r>
        <w:rPr>
          <w:rFonts w:ascii="Calibri" w:cs="Calibri" w:eastAsia="Calibri" w:hAnsi="Calibri"/>
          <w:b w:val="false"/>
          <w:bCs w:val="false"/>
          <w:i w:val="false"/>
          <w:iCs w:val="false"/>
          <w:color w:val="222831"/>
          <w:sz w:val="21"/>
          <w:szCs w:val="21"/>
        </w:rPr>
        <w:t xml:space="preserve">Este documento es la </w:t>
      </w:r>
      <w:r>
        <w:rPr>
          <w:rFonts w:ascii="Calibri" w:cs="Calibri" w:eastAsia="Calibri" w:hAnsi="Calibri"/>
          <w:b/>
          <w:bCs/>
          <w:i w:val="false"/>
          <w:iCs w:val="false"/>
          <w:color w:val="222831"/>
          <w:sz w:val="21"/>
          <w:szCs w:val="21"/>
        </w:rPr>
        <w:t xml:space="preserve">arquitectura conceptual</w:t>
      </w:r>
      <w:r>
        <w:rPr>
          <w:rFonts w:ascii="Calibri" w:cs="Calibri" w:eastAsia="Calibri" w:hAnsi="Calibri"/>
          <w:b w:val="false"/>
          <w:bCs w:val="false"/>
          <w:i w:val="false"/>
          <w:iCs w:val="false"/>
          <w:color w:val="222831"/>
          <w:sz w:val="21"/>
          <w:szCs w:val="21"/>
        </w:rPr>
        <w:t xml:space="preserve"> del producto: define qué preguntas soporta el sistema, quién las usa y con qué ritmo, qué KPI las responde, qué dataset alimenta ese KPI y qué acciones razonables se desprenden. El Documento 2 (Manual de Implementación) es la materialización visual de esta arquitectura; el Documento 3 (Roadmap) es su plan de construcción por fases.</w:t>
      </w:r>
    </w:p>
    <w:tbl>
      <w:tblPr>
        <w:tblW w:type="pct" w:w="100%"/>
        <w:tblBorders>
          <w:top w:val="single" w:color="2C7A7B" w:sz="2"/>
          <w:left w:val="single" w:color="2C7A7B" w:sz="18"/>
          <w:bottom w:val="single" w:color="2C7A7B" w:sz="2"/>
          <w:right w:val="single" w:color="2C7A7B" w:sz="2"/>
          <w:insideH w:val="none"/>
          <w:insideV w:val="none"/>
        </w:tblBorders>
      </w:tblPr>
      <w:tblGrid>
        <w:gridCol w:w="9360"/>
      </w:tblGrid>
      <w:tr>
        <w:tc>
          <w:tcPr>
            <w:tcW w:type="dxa" w:w="9360"/>
            <w:shd w:fill="F4F8F8" w:val="clear"/>
            <w:tcMar>
              <w:top w:type="dxa" w:w="100"/>
              <w:left w:type="dxa" w:w="160"/>
              <w:bottom w:type="dxa" w:w="100"/>
              <w:right w:type="dxa" w:w="160"/>
            </w:tcMar>
          </w:tcPr>
          <w:p>
            <w:pPr>
              <w:spacing w:after="60"/>
            </w:pPr>
            <w:r>
              <w:rPr>
                <w:rFonts w:ascii="Calibri" w:cs="Calibri" w:eastAsia="Calibri" w:hAnsi="Calibri"/>
                <w:b/>
                <w:bCs/>
                <w:color w:val="2C7A7B"/>
                <w:sz w:val="21"/>
                <w:szCs w:val="21"/>
              </w:rPr>
              <w:t xml:space="preserve">Qué es y qué NO es este producto</w:t>
            </w:r>
          </w:p>
          <w:p>
            <w:pPr>
              <w:spacing w:after="40"/>
            </w:pPr>
            <w:r>
              <w:rPr>
                <w:rFonts w:ascii="Calibri" w:cs="Calibri" w:eastAsia="Calibri" w:hAnsi="Calibri"/>
                <w:color w:val="2D3748"/>
                <w:sz w:val="20"/>
                <w:szCs w:val="20"/>
              </w:rPr>
              <w:t xml:space="preserve">SÍ es: un organizador de evidencia y contexto alrededor de decisiones, con recomendaciones heurísticas.</w:t>
            </w:r>
          </w:p>
          <w:p>
            <w:pPr>
              <w:spacing w:after="40"/>
            </w:pPr>
            <w:r>
              <w:rPr>
                <w:rFonts w:ascii="Calibri" w:cs="Calibri" w:eastAsia="Calibri" w:hAnsi="Calibri"/>
                <w:color w:val="2D3748"/>
                <w:sz w:val="20"/>
                <w:szCs w:val="20"/>
              </w:rPr>
              <w:t xml:space="preserve">NO es: un CDP, un data warehouse, ni un sistema experto que automatiza decisiones o recuerda lo que hiciste.</w:t>
            </w:r>
          </w:p>
          <w:p>
            <w:pPr>
              <w:spacing w:after="40"/>
            </w:pPr>
            <w:r>
              <w:rPr>
                <w:rFonts w:ascii="Calibri" w:cs="Calibri" w:eastAsia="Calibri" w:hAnsi="Calibri"/>
                <w:color w:val="2D3748"/>
                <w:sz w:val="20"/>
                <w:szCs w:val="20"/>
              </w:rPr>
              <w:t xml:space="preserve">El sistema aporta la evidencia; el humano decide, actúa fuera del sistema, y vuelve para comprobar el resultado en las series temporales.</w:t>
            </w:r>
          </w:p>
        </w:tc>
      </w:tr>
    </w:tbl>
    <w:p>
      <w:pPr>
        <w:pStyle w:val="Heading1"/>
        <w:spacing w:after="140" w:before="320"/>
      </w:pPr>
      <w:r>
        <w:rPr>
          <w:rFonts w:ascii="Calibri" w:cs="Calibri" w:eastAsia="Calibri" w:hAnsi="Calibri"/>
          <w:b/>
          <w:bCs/>
          <w:color w:val="1F2A44"/>
          <w:sz w:val="30"/>
          <w:szCs w:val="30"/>
        </w:rPr>
        <w:t xml:space="preserve">2 · Principios rectores</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La unidad atómica es la pregunta de negocio.</w:t>
      </w:r>
      <w:r>
        <w:rPr>
          <w:rFonts w:ascii="Calibri" w:cs="Calibri" w:eastAsia="Calibri" w:hAnsi="Calibri"/>
          <w:b w:val="false"/>
          <w:bCs w:val="false"/>
          <w:i w:val="false"/>
          <w:iCs w:val="false"/>
          <w:color w:val="222831"/>
          <w:sz w:val="21"/>
          <w:szCs w:val="21"/>
        </w:rPr>
        <w:t xml:space="preserve"> Una pregunta puede alimentar muchas decisiones. La pregunta es estable y precede a la decisión; es el punto de entrada del sistema.</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Regla de admisión: toda pregunta debe terminar en acción.</w:t>
      </w:r>
      <w:r>
        <w:rPr>
          <w:rFonts w:ascii="Calibri" w:cs="Calibri" w:eastAsia="Calibri" w:hAnsi="Calibri"/>
          <w:b w:val="false"/>
          <w:bCs w:val="false"/>
          <w:i w:val="false"/>
          <w:iCs w:val="false"/>
          <w:color w:val="222831"/>
          <w:sz w:val="21"/>
          <w:szCs w:val="21"/>
        </w:rPr>
        <w:t xml:space="preserve"> Si una pregunta no puede listar al menos una acción posible, no entra en el producto. Es lo que evita recaer en “muestro datos y ojalá alguien descubra algo”.</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Organización por decisión y por ritmo, no por dataset.</w:t>
      </w:r>
      <w:r>
        <w:rPr>
          <w:rFonts w:ascii="Calibri" w:cs="Calibri" w:eastAsia="Calibri" w:hAnsi="Calibri"/>
          <w:b w:val="false"/>
          <w:bCs w:val="false"/>
          <w:i w:val="false"/>
          <w:iCs w:val="false"/>
          <w:color w:val="222831"/>
          <w:sz w:val="21"/>
          <w:szCs w:val="21"/>
        </w:rPr>
        <w:t xml:space="preserve"> La navegación se estructura por el momento en que se decide, no por el origen técnico del dato.</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Evidencia, no automatización.</w:t>
      </w:r>
      <w:r>
        <w:rPr>
          <w:rFonts w:ascii="Calibri" w:cs="Calibri" w:eastAsia="Calibri" w:hAnsi="Calibri"/>
          <w:b w:val="false"/>
          <w:bCs w:val="false"/>
          <w:i w:val="false"/>
          <w:iCs w:val="false"/>
          <w:color w:val="222831"/>
          <w:sz w:val="21"/>
          <w:szCs w:val="21"/>
        </w:rPr>
        <w:t xml:space="preserve"> El dashboard da la mejor evidencia; no dicta la acción ni sustituye el criterio.</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La puerta del dato.</w:t>
      </w:r>
      <w:r>
        <w:rPr>
          <w:rFonts w:ascii="Calibri" w:cs="Calibri" w:eastAsia="Calibri" w:hAnsi="Calibri"/>
          <w:b w:val="false"/>
          <w:bCs w:val="false"/>
          <w:i w:val="false"/>
          <w:iCs w:val="false"/>
          <w:color w:val="222831"/>
          <w:sz w:val="21"/>
          <w:szCs w:val="21"/>
        </w:rPr>
        <w:t xml:space="preserve"> Cada bloque declara su estado de madurez de datos. Diseñamos para el sistema maduro, sin autoengaño sobre qué se enciende hoy.</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Recomendaciones heurísticas, nunca imperativas.</w:t>
      </w:r>
      <w:r>
        <w:rPr>
          <w:rFonts w:ascii="Calibri" w:cs="Calibri" w:eastAsia="Calibri" w:hAnsi="Calibri"/>
          <w:b w:val="false"/>
          <w:bCs w:val="false"/>
          <w:i w:val="false"/>
          <w:iCs w:val="false"/>
          <w:color w:val="222831"/>
          <w:sz w:val="21"/>
          <w:szCs w:val="21"/>
        </w:rPr>
        <w:t xml:space="preserve"> “Open rate ↓ → revisar entregabilidad” es una lectura razonable de dónde mirar, no un diagnóstico de la causa.</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El lazo lo cierra el humano, con datos, gratis.</w:t>
      </w:r>
      <w:r>
        <w:rPr>
          <w:rFonts w:ascii="Calibri" w:cs="Calibri" w:eastAsia="Calibri" w:hAnsi="Calibri"/>
          <w:b w:val="false"/>
          <w:bCs w:val="false"/>
          <w:i w:val="false"/>
          <w:iCs w:val="false"/>
          <w:color w:val="222831"/>
          <w:sz w:val="21"/>
          <w:szCs w:val="21"/>
        </w:rPr>
        <w:t xml:space="preserve"> Como casi todo es serie temporal, el “después” ya vive en el dato: tras actuar, el mismo KPI muestra si se movió. No hace falta memoria ni registro de acciones.</w:t>
      </w:r>
    </w:p>
    <w:p>
      <w:pPr>
        <w:pStyle w:val="ListParagraph"/>
        <w:numPr>
          <w:ilvl w:val="0"/>
          <w:numId w:val="2"/>
        </w:numPr>
        <w:spacing w:after="60" w:line="268"/>
      </w:pPr>
      <w:r>
        <w:rPr>
          <w:rFonts w:ascii="Calibri" w:cs="Calibri" w:eastAsia="Calibri" w:hAnsi="Calibri"/>
          <w:b/>
          <w:bCs/>
          <w:i w:val="false"/>
          <w:iCs w:val="false"/>
          <w:color w:val="222831"/>
          <w:sz w:val="21"/>
          <w:szCs w:val="21"/>
        </w:rPr>
        <w:t xml:space="preserve">Prioridad explícita.</w:t>
      </w:r>
      <w:r>
        <w:rPr>
          <w:rFonts w:ascii="Calibri" w:cs="Calibri" w:eastAsia="Calibri" w:hAnsi="Calibri"/>
          <w:b w:val="false"/>
          <w:bCs w:val="false"/>
          <w:i w:val="false"/>
          <w:iCs w:val="false"/>
          <w:color w:val="222831"/>
          <w:sz w:val="21"/>
          <w:szCs w:val="21"/>
        </w:rPr>
        <w:t xml:space="preserve"> Las acciones se ordenan por impacto × urgencia × reversibilidad.</w:t>
      </w:r>
    </w:p>
    <w:p>
      <w:pPr>
        <w:pStyle w:val="Heading1"/>
        <w:spacing w:after="140" w:before="320"/>
      </w:pPr>
      <w:r>
        <w:rPr>
          <w:rFonts w:ascii="Calibri" w:cs="Calibri" w:eastAsia="Calibri" w:hAnsi="Calibri"/>
          <w:b/>
          <w:bCs/>
          <w:color w:val="1F2A44"/>
          <w:sz w:val="30"/>
          <w:szCs w:val="30"/>
        </w:rPr>
        <w:t xml:space="preserve">3 · El modelo de decisión</w:t>
      </w:r>
    </w:p>
    <w:p>
      <w:pPr>
        <w:pStyle w:val="Heading2"/>
        <w:spacing w:after="100" w:before="240"/>
      </w:pPr>
      <w:r>
        <w:rPr>
          <w:rFonts w:ascii="Calibri" w:cs="Calibri" w:eastAsia="Calibri" w:hAnsi="Calibri"/>
          <w:b/>
          <w:bCs/>
          <w:color w:val="2C7A7B"/>
          <w:sz w:val="26"/>
          <w:szCs w:val="26"/>
        </w:rPr>
        <w:t xml:space="preserve">3.1 · La espina</w:t>
      </w:r>
    </w:p>
    <w:p>
      <w:pPr>
        <w:spacing w:after="120" w:line="276"/>
        <w:jc w:val="left"/>
      </w:pPr>
      <w:r>
        <w:rPr>
          <w:rFonts w:ascii="Calibri" w:cs="Calibri" w:eastAsia="Calibri" w:hAnsi="Calibri"/>
          <w:color w:val="222831"/>
          <w:sz w:val="21"/>
          <w:szCs w:val="21"/>
        </w:rPr>
        <w:t xml:space="preserve">El producto convierte preguntas de negocio en evidencia accionable, agrupada por el momento en que se decide. La cadena de valor es:</w:t>
      </w:r>
    </w:p>
    <w:tbl>
      <w:tblPr>
        <w:tblW w:type="pct" w:w="100%"/>
        <w:tblBorders>
          <w:top w:val="single" w:color="1F2A44" w:sz="2"/>
          <w:left w:val="single" w:color="1F2A44" w:sz="18"/>
          <w:bottom w:val="single" w:color="1F2A44" w:sz="2"/>
          <w:right w:val="single" w:color="1F2A44" w:sz="2"/>
          <w:insideH w:val="none"/>
          <w:insideV w:val="none"/>
        </w:tblBorders>
      </w:tblPr>
      <w:tblGrid>
        <w:gridCol w:w="9360"/>
      </w:tblGrid>
      <w:tr>
        <w:tc>
          <w:tcPr>
            <w:tcW w:type="dxa" w:w="9360"/>
            <w:shd w:fill="F4F8F8" w:val="clear"/>
            <w:tcMar>
              <w:top w:type="dxa" w:w="100"/>
              <w:left w:type="dxa" w:w="160"/>
              <w:bottom w:type="dxa" w:w="100"/>
              <w:right w:type="dxa" w:w="160"/>
            </w:tcMar>
          </w:tcPr>
          <w:p>
            <w:pPr>
              <w:spacing w:after="60"/>
            </w:pPr>
            <w:r>
              <w:rPr>
                <w:rFonts w:ascii="Calibri" w:cs="Calibri" w:eastAsia="Calibri" w:hAnsi="Calibri"/>
                <w:b/>
                <w:bCs/>
                <w:color w:val="1F2A44"/>
                <w:sz w:val="21"/>
                <w:szCs w:val="21"/>
              </w:rPr>
              <w:t xml:space="preserve">Cadena de valor del sistema</w:t>
            </w:r>
          </w:p>
          <w:p>
            <w:pPr>
              <w:spacing w:after="40"/>
            </w:pPr>
            <w:r>
              <w:rPr>
                <w:rFonts w:ascii="Calibri" w:cs="Calibri" w:eastAsia="Calibri" w:hAnsi="Calibri"/>
                <w:color w:val="2D3748"/>
                <w:sz w:val="20"/>
                <w:szCs w:val="20"/>
              </w:rPr>
              <w:t xml:space="preserve">Pregunta estratégica → Decisión de negocio → KPI → Dato que responde el KPI → Visualización → Acción posible → (el humano actúa) → Resultado observable en la serie temporal.</w:t>
            </w:r>
          </w:p>
        </w:tc>
      </w:tr>
    </w:tbl>
    <w:p>
      <w:pPr>
        <w:spacing w:after="120" w:line="276"/>
        <w:jc w:val="left"/>
      </w:pPr>
      <w:r>
        <w:rPr>
          <w:rFonts w:ascii="Calibri" w:cs="Calibri" w:eastAsia="Calibri" w:hAnsi="Calibri"/>
          <w:b w:val="false"/>
          <w:bCs w:val="false"/>
          <w:i w:val="false"/>
          <w:iCs w:val="false"/>
          <w:color w:val="222831"/>
          <w:sz w:val="21"/>
          <w:szCs w:val="21"/>
        </w:rPr>
        <w:t xml:space="preserve">Nótese que el sistema no “aprende” ni “recuerda”: la última etapa —comprobar si el resultado esperado ocurrió— la realiza el usuario volviendo al mismo indicador semanas después. El dashboard solo garantiza que la evidencia del antes y el después esté disponible.</w:t>
      </w:r>
    </w:p>
    <w:p>
      <w:pPr>
        <w:pStyle w:val="Heading2"/>
        <w:spacing w:after="100" w:before="240"/>
      </w:pPr>
      <w:r>
        <w:rPr>
          <w:rFonts w:ascii="Calibri" w:cs="Calibri" w:eastAsia="Calibri" w:hAnsi="Calibri"/>
          <w:b/>
          <w:bCs/>
          <w:color w:val="2C7A7B"/>
          <w:sz w:val="26"/>
          <w:szCs w:val="26"/>
        </w:rPr>
        <w:t xml:space="preserve">3.2 · Las cuatro capas cognitivas</w:t>
      </w:r>
    </w:p>
    <w:p>
      <w:pPr>
        <w:spacing w:after="120" w:line="276"/>
        <w:jc w:val="left"/>
      </w:pPr>
      <w:r>
        <w:rPr>
          <w:rFonts w:ascii="Calibri" w:cs="Calibri" w:eastAsia="Calibri" w:hAnsi="Calibri"/>
          <w:color w:val="222831"/>
          <w:sz w:val="21"/>
          <w:szCs w:val="21"/>
        </w:rPr>
        <w:t xml:space="preserve">Cada indicador del sistema sube una escalera cognitiva completa. Un bloque que se queda en “qué pasa” no entra en el producto: debe llegar hasta “qué puedo hacer”.</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1700"/>
        <w:gridCol w:w="3400"/>
        <w:gridCol w:w="4260"/>
      </w:tblGrid>
      <w:tr>
        <w:trPr>
          <w:tblHeader/>
        </w:trPr>
        <w:tc>
          <w:tcPr>
            <w:tcW w:type="dxa" w:w="17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Capa</w:t>
            </w:r>
          </w:p>
        </w:tc>
        <w:tc>
          <w:tcPr>
            <w:tcW w:type="dxa" w:w="34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Pregunta</w:t>
            </w:r>
          </w:p>
        </w:tc>
        <w:tc>
          <w:tcPr>
            <w:tcW w:type="dxa" w:w="42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Qué aporta</w:t>
            </w:r>
          </w:p>
        </w:tc>
      </w:tr>
      <w:tr>
        <w:tc>
          <w:tcPr>
            <w:tcW w:type="dxa" w:w="17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Descriptiva</w:t>
            </w:r>
          </w:p>
        </w:tc>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está ocurriendo?</w:t>
            </w:r>
          </w:p>
        </w:tc>
        <w:tc>
          <w:tcPr>
            <w:tcW w:type="dxa" w:w="42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Monitor: el estado actual y su tendencia.</w:t>
            </w:r>
          </w:p>
        </w:tc>
      </w:tr>
      <w:tr>
        <w:tc>
          <w:tcPr>
            <w:tcW w:type="dxa" w:w="17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Diagnóstica</w:t>
            </w:r>
          </w:p>
        </w:tc>
        <w:tc>
          <w:tcPr>
            <w:tcW w:type="dxa" w:w="3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¿Por qué está ocurriendo?</w:t>
            </w:r>
          </w:p>
        </w:tc>
        <w:tc>
          <w:tcPr>
            <w:tcW w:type="dxa" w:w="42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Contexto: drill-down, comparación, desagregación.</w:t>
            </w:r>
          </w:p>
        </w:tc>
      </w:tr>
      <w:tr>
        <w:tc>
          <w:tcPr>
            <w:tcW w:type="dxa" w:w="17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Predictiva</w:t>
            </w:r>
          </w:p>
        </w:tc>
        <w:tc>
          <w:tcPr>
            <w:tcW w:type="dxa" w:w="3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va a ocurrir?</w:t>
            </w:r>
          </w:p>
        </w:tc>
        <w:tc>
          <w:tcPr>
            <w:tcW w:type="dxa" w:w="42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Anticipación: forecast, proyección de tendencia, riesgo.</w:t>
            </w:r>
          </w:p>
        </w:tc>
      </w:tr>
      <w:tr>
        <w:tc>
          <w:tcPr>
            <w:tcW w:type="dxa" w:w="17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Prescriptiva</w:t>
            </w:r>
          </w:p>
        </w:tc>
        <w:tc>
          <w:tcPr>
            <w:tcW w:type="dxa" w:w="3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puedo hacer?</w:t>
            </w:r>
          </w:p>
        </w:tc>
        <w:tc>
          <w:tcPr>
            <w:tcW w:type="dxa" w:w="42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Acciones posibles (heurísticas), priorizadas.</w:t>
            </w:r>
          </w:p>
        </w:tc>
      </w:tr>
    </w:tbl>
    <w:p>
      <w:pPr>
        <w:spacing w:after="80"/>
      </w:pPr>
    </w:p>
    <w:p>
      <w:pPr>
        <w:pStyle w:val="Heading2"/>
        <w:spacing w:after="100" w:before="240"/>
      </w:pPr>
      <w:r>
        <w:rPr>
          <w:rFonts w:ascii="Calibri" w:cs="Calibri" w:eastAsia="Calibri" w:hAnsi="Calibri"/>
          <w:b/>
          <w:bCs/>
          <w:color w:val="2C7A7B"/>
          <w:sz w:val="26"/>
          <w:szCs w:val="26"/>
        </w:rPr>
        <w:t xml:space="preserve">3.3 · Los cuatro modos de decisión</w:t>
      </w:r>
    </w:p>
    <w:p>
      <w:pPr>
        <w:spacing w:after="120" w:line="276"/>
        <w:jc w:val="left"/>
      </w:pPr>
      <w:r>
        <w:rPr>
          <w:rFonts w:ascii="Calibri" w:cs="Calibri" w:eastAsia="Calibri" w:hAnsi="Calibri"/>
          <w:color w:val="222831"/>
          <w:sz w:val="21"/>
          <w:szCs w:val="21"/>
        </w:rPr>
        <w:t xml:space="preserve">Como hay un único decisor (tú) que lleva cuatro sombreros, el eje organizador no son roles sino modos, cada uno con su cadencia, su duración de uso y su pregunta dominante. El sistema te sitúa en el modo correcto según el momento, en vez de mostrarlo todo a la vez.</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1300"/>
        <w:gridCol w:w="1750"/>
        <w:gridCol w:w="3900"/>
        <w:gridCol w:w="2410"/>
      </w:tblGrid>
      <w:tr>
        <w:trPr>
          <w:tblHeader/>
        </w:trPr>
        <w:tc>
          <w:tcPr>
            <w:tcW w:type="dxa" w:w="13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Modo</w:t>
            </w:r>
          </w:p>
        </w:tc>
        <w:tc>
          <w:tcPr>
            <w:tcW w:type="dxa" w:w="175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Cadencia · uso</w:t>
            </w:r>
          </w:p>
        </w:tc>
        <w:tc>
          <w:tcPr>
            <w:tcW w:type="dxa" w:w="39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Pregunta dominante</w:t>
            </w:r>
          </w:p>
        </w:tc>
        <w:tc>
          <w:tcPr>
            <w:tcW w:type="dxa" w:w="241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Verbos de acción</w:t>
            </w:r>
          </w:p>
        </w:tc>
      </w:tr>
      <w:tr>
        <w:tc>
          <w:tcPr>
            <w:tcW w:type="dxa" w:w="13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Pulso</w:t>
            </w:r>
          </w:p>
        </w:tc>
        <w:tc>
          <w:tcPr>
            <w:tcW w:type="dxa" w:w="17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Diario · 2 min</w:t>
            </w:r>
          </w:p>
        </w:tc>
        <w:tc>
          <w:tcPr>
            <w:tcW w:type="dxa" w:w="3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¿Algo se rompió hoy?</w:t>
            </w:r>
          </w:p>
        </w:tc>
        <w:tc>
          <w:tcPr>
            <w:tcW w:type="dxa" w:w="241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w:t>
            </w:r>
          </w:p>
        </w:tc>
      </w:tr>
      <w:tr>
        <w:tc>
          <w:tcPr>
            <w:tcW w:type="dxa" w:w="13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Operador</w:t>
            </w:r>
          </w:p>
        </w:tc>
        <w:tc>
          <w:tcPr>
            <w:tcW w:type="dxa" w:w="17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Semanal · 20 min</w:t>
            </w:r>
          </w:p>
        </w:tc>
        <w:tc>
          <w:tcPr>
            <w:tcW w:type="dxa" w:w="3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detengo, escalo o investigo?</w:t>
            </w:r>
          </w:p>
        </w:tc>
        <w:tc>
          <w:tcPr>
            <w:tcW w:type="dxa" w:w="241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Detener · Escalar · Investigar</w:t>
            </w:r>
          </w:p>
        </w:tc>
      </w:tr>
      <w:tr>
        <w:tc>
          <w:tcPr>
            <w:tcW w:type="dxa" w:w="13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Estratega</w:t>
            </w:r>
          </w:p>
        </w:tc>
        <w:tc>
          <w:tcPr>
            <w:tcW w:type="dxa" w:w="17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Mensual · 1 h</w:t>
            </w:r>
          </w:p>
        </w:tc>
        <w:tc>
          <w:tcPr>
            <w:tcW w:type="dxa" w:w="3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¿Reasigno esfuerzo? ¿el mix y la retención son sanos?</w:t>
            </w:r>
          </w:p>
        </w:tc>
        <w:tc>
          <w:tcPr>
            <w:tcW w:type="dxa" w:w="241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Reasignar · Mantener · Crear</w:t>
            </w:r>
          </w:p>
        </w:tc>
      </w:tr>
      <w:tr>
        <w:tc>
          <w:tcPr>
            <w:tcW w:type="dxa" w:w="13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Dirección</w:t>
            </w:r>
          </w:p>
        </w:tc>
        <w:tc>
          <w:tcPr>
            <w:tcW w:type="dxa" w:w="17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Trimestral</w:t>
            </w:r>
          </w:p>
        </w:tc>
        <w:tc>
          <w:tcPr>
            <w:tcW w:type="dxa" w:w="3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¿Cumplo objetivo? ¿la marca propia funciona? ¿dónde invierto?</w:t>
            </w:r>
          </w:p>
        </w:tc>
        <w:tc>
          <w:tcPr>
            <w:tcW w:type="dxa" w:w="241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Crear · Reasignar</w:t>
            </w:r>
          </w:p>
        </w:tc>
      </w:tr>
    </w:tbl>
    <w:p>
      <w:pPr>
        <w:spacing w:after="80"/>
      </w:pPr>
    </w:p>
    <w:p>
      <w:pPr>
        <w:pStyle w:val="Heading2"/>
        <w:spacing w:after="100" w:before="240"/>
      </w:pPr>
      <w:r>
        <w:rPr>
          <w:rFonts w:ascii="Calibri" w:cs="Calibri" w:eastAsia="Calibri" w:hAnsi="Calibri"/>
          <w:b/>
          <w:bCs/>
          <w:color w:val="2C7A7B"/>
          <w:sz w:val="26"/>
          <w:szCs w:val="26"/>
        </w:rPr>
        <w:t xml:space="preserve">3.4 · La unidad de pantalla: la Tarjeta de Evidencia</w:t>
      </w:r>
    </w:p>
    <w:p>
      <w:pPr>
        <w:spacing w:after="120" w:line="276"/>
        <w:jc w:val="left"/>
      </w:pPr>
      <w:r>
        <w:rPr>
          <w:rFonts w:ascii="Calibri" w:cs="Calibri" w:eastAsia="Calibri" w:hAnsi="Calibri"/>
          <w:color w:val="222831"/>
          <w:sz w:val="21"/>
          <w:szCs w:val="21"/>
        </w:rPr>
        <w:t xml:space="preserve">La unidad visual del producto no es el gráfico: es la Tarjeta de Evidencia. Cada tarjeta responde a una pregunta y tiene una anatomía fija. El gráfico es solo la fila “Evidencia”.</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1900"/>
        <w:gridCol w:w="7460"/>
      </w:tblGrid>
      <w:tr>
        <w:trPr>
          <w:tblHeader/>
        </w:trPr>
        <w:tc>
          <w:tcPr>
            <w:tcW w:type="dxa" w:w="19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Fila</w:t>
            </w:r>
          </w:p>
        </w:tc>
        <w:tc>
          <w:tcPr>
            <w:tcW w:type="dxa" w:w="74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Contenido</w:t>
            </w:r>
          </w:p>
        </w:tc>
      </w:tr>
      <w:tr>
        <w:tc>
          <w:tcPr>
            <w:tcW w:type="dxa" w:w="1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Pregunta</w:t>
            </w:r>
          </w:p>
        </w:tc>
        <w:tc>
          <w:tcPr>
            <w:tcW w:type="dxa" w:w="74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La pregunta de negocio, redactada en lenguaje de decisor.</w:t>
            </w:r>
          </w:p>
        </w:tc>
      </w:tr>
      <w:tr>
        <w:tc>
          <w:tcPr>
            <w:tcW w:type="dxa" w:w="1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Respuesta</w:t>
            </w:r>
          </w:p>
        </w:tc>
        <w:tc>
          <w:tcPr>
            <w:tcW w:type="dxa" w:w="74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La respuesta directa en una frase o un número (la lectura, no el gráfico).</w:t>
            </w:r>
          </w:p>
        </w:tc>
      </w:tr>
      <w:tr>
        <w:tc>
          <w:tcPr>
            <w:tcW w:type="dxa" w:w="1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Contexto</w:t>
            </w:r>
          </w:p>
        </w:tc>
        <w:tc>
          <w:tcPr>
            <w:tcW w:type="dxa" w:w="74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Comparación que da sentido: vs. periodo anterior, vs. objetivo, vs. baseline.</w:t>
            </w:r>
          </w:p>
        </w:tc>
      </w:tr>
      <w:tr>
        <w:tc>
          <w:tcPr>
            <w:tcW w:type="dxa" w:w="1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Evidencia</w:t>
            </w:r>
          </w:p>
        </w:tc>
        <w:tc>
          <w:tcPr>
            <w:tcW w:type="dxa" w:w="74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La visualización mínima que sostiene la respuesta.</w:t>
            </w:r>
          </w:p>
        </w:tc>
      </w:tr>
      <w:tr>
        <w:tc>
          <w:tcPr>
            <w:tcW w:type="dxa" w:w="1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Posibles acciones</w:t>
            </w:r>
          </w:p>
        </w:tc>
        <w:tc>
          <w:tcPr>
            <w:tcW w:type="dxa" w:w="74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Fila OBLIGATORIA. Uno o más verbos con su racional heurístico. Sin esto, la tarjeta no existe.</w:t>
            </w:r>
          </w:p>
        </w:tc>
      </w:tr>
    </w:tbl>
    <w:p>
      <w:pPr>
        <w:spacing w:after="80"/>
      </w:pPr>
    </w:p>
    <w:tbl>
      <w:tblPr>
        <w:tblW w:type="pct" w:w="100%"/>
        <w:tblBorders>
          <w:top w:val="single" w:color="2C7A7B" w:sz="2"/>
          <w:left w:val="single" w:color="2C7A7B" w:sz="18"/>
          <w:bottom w:val="single" w:color="2C7A7B" w:sz="2"/>
          <w:right w:val="single" w:color="2C7A7B" w:sz="2"/>
          <w:insideH w:val="none"/>
          <w:insideV w:val="none"/>
        </w:tblBorders>
      </w:tblPr>
      <w:tblGrid>
        <w:gridCol w:w="9360"/>
      </w:tblGrid>
      <w:tr>
        <w:tc>
          <w:tcPr>
            <w:tcW w:type="dxa" w:w="9360"/>
            <w:shd w:fill="F4F8F8" w:val="clear"/>
            <w:tcMar>
              <w:top w:type="dxa" w:w="100"/>
              <w:left w:type="dxa" w:w="160"/>
              <w:bottom w:type="dxa" w:w="100"/>
              <w:right w:type="dxa" w:w="160"/>
            </w:tcMar>
          </w:tcPr>
          <w:p>
            <w:pPr>
              <w:spacing w:after="60"/>
            </w:pPr>
            <w:r>
              <w:rPr>
                <w:rFonts w:ascii="Calibri" w:cs="Calibri" w:eastAsia="Calibri" w:hAnsi="Calibri"/>
                <w:b/>
                <w:bCs/>
                <w:color w:val="2C7A7B"/>
                <w:sz w:val="21"/>
                <w:szCs w:val="21"/>
              </w:rPr>
              <w:t xml:space="preserve">Tarjeta de Evidencia vs. Tarjeta de decisión</w:t>
            </w:r>
          </w:p>
          <w:p>
            <w:pPr>
              <w:spacing w:after="40"/>
            </w:pPr>
            <w:r>
              <w:rPr>
                <w:rFonts w:ascii="Calibri" w:cs="Calibri" w:eastAsia="Calibri" w:hAnsi="Calibri"/>
                <w:color w:val="2D3748"/>
                <w:sz w:val="20"/>
                <w:szCs w:val="20"/>
              </w:rPr>
              <w:t xml:space="preserve">El dashboard no dice “haz esto”. Dice “esto es lo que pasa, este es el contexto, esta es la evidencia, y estas son las acciones razonables”.</w:t>
            </w:r>
          </w:p>
          <w:p>
            <w:pPr>
              <w:spacing w:after="40"/>
            </w:pPr>
            <w:r>
              <w:rPr>
                <w:rFonts w:ascii="Calibri" w:cs="Calibri" w:eastAsia="Calibri" w:hAnsi="Calibri"/>
                <w:color w:val="2D3748"/>
                <w:sz w:val="20"/>
                <w:szCs w:val="20"/>
              </w:rPr>
              <w:t xml:space="preserve">La decisión —cuál de esas acciones tomar— sigue siendo del humano.</w:t>
            </w:r>
          </w:p>
        </w:tc>
      </w:tr>
    </w:tbl>
    <w:p>
      <w:pPr>
        <w:pStyle w:val="Heading2"/>
        <w:spacing w:after="100" w:before="240"/>
      </w:pPr>
      <w:r>
        <w:rPr>
          <w:rFonts w:ascii="Calibri" w:cs="Calibri" w:eastAsia="Calibri" w:hAnsi="Calibri"/>
          <w:b/>
          <w:bCs/>
          <w:color w:val="2C7A7B"/>
          <w:sz w:val="26"/>
          <w:szCs w:val="26"/>
        </w:rPr>
        <w:t xml:space="preserve">3.5 · El motor de señales y recomendaciones</w:t>
      </w:r>
    </w:p>
    <w:p>
      <w:pPr>
        <w:spacing w:after="120" w:line="276"/>
        <w:jc w:val="left"/>
      </w:pPr>
      <w:r>
        <w:rPr>
          <w:rFonts w:ascii="Calibri" w:cs="Calibri" w:eastAsia="Calibri" w:hAnsi="Calibri"/>
          <w:color w:val="222831"/>
          <w:sz w:val="21"/>
          <w:szCs w:val="21"/>
        </w:rPr>
        <w:t xml:space="preserve">Es la capa que convierte esto en un DSS y no en un panel. Funciona en dos tiempos: primero SEÑALA (una regla con umbral detecta que algo merece tu atención), luego SUGIERE (propone lecturas heurísticas). Nunca ordena, y nunca afirma conocer la causa.</w:t>
      </w:r>
    </w:p>
    <w:p>
      <w:pPr>
        <w:pStyle w:val="ListParagraph"/>
        <w:numPr>
          <w:ilvl w:val="0"/>
          <w:numId w:val="3"/>
        </w:numPr>
        <w:spacing w:after="60" w:line="268"/>
      </w:pPr>
      <w:r>
        <w:rPr>
          <w:rFonts w:ascii="Calibri" w:cs="Calibri" w:eastAsia="Calibri" w:hAnsi="Calibri"/>
          <w:b/>
          <w:bCs/>
          <w:i w:val="false"/>
          <w:iCs w:val="false"/>
          <w:color w:val="222831"/>
          <w:sz w:val="21"/>
          <w:szCs w:val="21"/>
        </w:rPr>
        <w:t xml:space="preserve">Señal: </w:t>
      </w:r>
      <w:r>
        <w:rPr>
          <w:rFonts w:ascii="Calibri" w:cs="Calibri" w:eastAsia="Calibri" w:hAnsi="Calibri"/>
          <w:b w:val="false"/>
          <w:bCs w:val="false"/>
          <w:i w:val="false"/>
          <w:iCs w:val="false"/>
          <w:color w:val="222831"/>
          <w:sz w:val="21"/>
          <w:szCs w:val="21"/>
        </w:rPr>
        <w:t xml:space="preserve">“La conv. rate de este sticky lleva N cortes en 0.” (regla objetiva sobre el dato)</w:t>
      </w:r>
    </w:p>
    <w:p>
      <w:pPr>
        <w:pStyle w:val="ListParagraph"/>
        <w:numPr>
          <w:ilvl w:val="0"/>
          <w:numId w:val="3"/>
        </w:numPr>
        <w:spacing w:after="60" w:line="268"/>
      </w:pPr>
      <w:r>
        <w:rPr>
          <w:rFonts w:ascii="Calibri" w:cs="Calibri" w:eastAsia="Calibri" w:hAnsi="Calibri"/>
          <w:b/>
          <w:bCs/>
          <w:i w:val="false"/>
          <w:iCs w:val="false"/>
          <w:color w:val="222831"/>
          <w:sz w:val="21"/>
          <w:szCs w:val="21"/>
        </w:rPr>
        <w:t xml:space="preserve">Recomendación: </w:t>
      </w:r>
      <w:r>
        <w:rPr>
          <w:rFonts w:ascii="Calibri" w:cs="Calibri" w:eastAsia="Calibri" w:hAnsi="Calibri"/>
          <w:b w:val="false"/>
          <w:bCs w:val="false"/>
          <w:i w:val="false"/>
          <w:iCs w:val="false"/>
          <w:color w:val="222831"/>
          <w:sz w:val="21"/>
          <w:szCs w:val="21"/>
        </w:rPr>
        <w:t xml:space="preserve">“Considera DETENER esta pieza.” (heurística razonable, revisable por el humano)</w:t>
      </w:r>
    </w:p>
    <w:p>
      <w:pPr>
        <w:spacing w:after="120" w:line="276"/>
        <w:jc w:val="left"/>
      </w:pPr>
      <w:r>
        <w:rPr>
          <w:rFonts w:ascii="Calibri" w:cs="Calibri" w:eastAsia="Calibri" w:hAnsi="Calibri"/>
          <w:color w:val="222831"/>
          <w:sz w:val="21"/>
          <w:szCs w:val="21"/>
        </w:rPr>
        <w:t xml:space="preserve">Las reglas viven en una capa declarativa (umbrales configurables), no en el dato ni dispersas por los componentes. Su implementación se aborda en el Documento 3, Fase 3.</w:t>
      </w:r>
    </w:p>
    <w:p>
      <w:pPr>
        <w:pStyle w:val="Heading2"/>
        <w:spacing w:after="100" w:before="240"/>
      </w:pPr>
      <w:r>
        <w:rPr>
          <w:rFonts w:ascii="Calibri" w:cs="Calibri" w:eastAsia="Calibri" w:hAnsi="Calibri"/>
          <w:b/>
          <w:bCs/>
          <w:color w:val="2C7A7B"/>
          <w:sz w:val="26"/>
          <w:szCs w:val="26"/>
        </w:rPr>
        <w:t xml:space="preserve">3.6 · La puerta del dato y el semáforo de madurez</w:t>
      </w:r>
    </w:p>
    <w:p>
      <w:pPr>
        <w:spacing w:after="120" w:line="276"/>
        <w:jc w:val="left"/>
      </w:pPr>
      <w:r>
        <w:rPr>
          <w:rFonts w:ascii="Calibri" w:cs="Calibri" w:eastAsia="Calibri" w:hAnsi="Calibri"/>
          <w:color w:val="222831"/>
          <w:sz w:val="21"/>
          <w:szCs w:val="21"/>
        </w:rPr>
        <w:t xml:space="preserve">Diseñamos para el sistema maduro, pero cada tarjeta declara honestamente qué puede responder hoy. El semáforo tiene tres estados:</w:t>
      </w:r>
    </w:p>
    <w:p>
      <w:pPr>
        <w:spacing w:after="60"/>
      </w:pPr>
      <w:r>
        <w:rPr>
          <w:rFonts w:ascii="Calibri" w:cs="Calibri" w:eastAsia="Calibri" w:hAnsi="Calibri"/>
          <w:b/>
          <w:bCs/>
          <w:color w:val="2F855A"/>
          <w:sz w:val="17"/>
          <w:szCs w:val="17"/>
        </w:rPr>
        <w:t xml:space="preserve">●  Responde hoy</w:t>
      </w:r>
      <w:r>
        <w:rPr>
          <w:rFonts w:ascii="Calibri" w:cs="Calibri" w:eastAsia="Calibri" w:hAnsi="Calibri"/>
          <w:sz w:val="21"/>
          <w:szCs w:val="21"/>
        </w:rPr>
        <w:t xml:space="preserve">   — el dato existe con profundidad suficiente; la tarjeta funciona ya.</w:t>
      </w:r>
    </w:p>
    <w:p>
      <w:pPr>
        <w:spacing w:after="60"/>
      </w:pPr>
      <w:r>
        <w:rPr>
          <w:rFonts w:ascii="Calibri" w:cs="Calibri" w:eastAsia="Calibri" w:hAnsi="Calibri"/>
          <w:b/>
          <w:bCs/>
          <w:color w:val="B7791F"/>
          <w:sz w:val="17"/>
          <w:szCs w:val="17"/>
        </w:rPr>
        <w:t xml:space="preserve">◐  Madura al acumular</w:t>
      </w:r>
      <w:r>
        <w:rPr>
          <w:rFonts w:ascii="Calibri" w:cs="Calibri" w:eastAsia="Calibri" w:hAnsi="Calibri"/>
          <w:sz w:val="21"/>
          <w:szCs w:val="21"/>
        </w:rPr>
        <w:t xml:space="preserve">   — la capacidad existe pero el histórico aún es corto o el dato es un snapshot; madura al acumular cortes con su fecha de carga.</w:t>
      </w:r>
    </w:p>
    <w:p>
      <w:pPr>
        <w:spacing w:after="120"/>
      </w:pPr>
      <w:r>
        <w:rPr>
          <w:rFonts w:ascii="Calibri" w:cs="Calibri" w:eastAsia="Calibri" w:hAnsi="Calibri"/>
          <w:b/>
          <w:bCs/>
          <w:color w:val="C53030"/>
          <w:sz w:val="17"/>
          <w:szCs w:val="17"/>
        </w:rPr>
        <w:t xml:space="preserve">○  Falta dato</w:t>
      </w:r>
      <w:r>
        <w:rPr>
          <w:rFonts w:ascii="Calibri" w:cs="Calibri" w:eastAsia="Calibri" w:hAnsi="Calibri"/>
          <w:sz w:val="21"/>
          <w:szCs w:val="21"/>
        </w:rPr>
        <w:t xml:space="preserve">   — falta un dato estructural (p. ej. Contact ID); la pregunta no es respondible sin ampliar el modelo de datos.</w:t>
      </w:r>
    </w:p>
    <w:tbl>
      <w:tblPr>
        <w:tblW w:type="pct" w:w="100%"/>
        <w:tblBorders>
          <w:top w:val="single" w:color="B7791F" w:sz="2"/>
          <w:left w:val="single" w:color="B7791F" w:sz="18"/>
          <w:bottom w:val="single" w:color="B7791F" w:sz="2"/>
          <w:right w:val="single" w:color="B7791F" w:sz="2"/>
          <w:insideH w:val="none"/>
          <w:insideV w:val="none"/>
        </w:tblBorders>
      </w:tblPr>
      <w:tblGrid>
        <w:gridCol w:w="9360"/>
      </w:tblGrid>
      <w:tr>
        <w:tc>
          <w:tcPr>
            <w:tcW w:type="dxa" w:w="9360"/>
            <w:shd w:fill="F4F8F8" w:val="clear"/>
            <w:tcMar>
              <w:top w:type="dxa" w:w="100"/>
              <w:left w:type="dxa" w:w="160"/>
              <w:bottom w:type="dxa" w:w="100"/>
              <w:right w:type="dxa" w:w="160"/>
            </w:tcMar>
          </w:tcPr>
          <w:p>
            <w:pPr>
              <w:spacing w:after="60"/>
            </w:pPr>
            <w:r>
              <w:rPr>
                <w:rFonts w:ascii="Calibri" w:cs="Calibri" w:eastAsia="Calibri" w:hAnsi="Calibri"/>
                <w:b/>
                <w:bCs/>
                <w:color w:val="B7791F"/>
                <w:sz w:val="21"/>
                <w:szCs w:val="21"/>
              </w:rPr>
              <w:t xml:space="preserve">Ejemplo canónico de la puerta del dato</w:t>
            </w:r>
          </w:p>
          <w:p>
            <w:pPr>
              <w:spacing w:after="40"/>
            </w:pPr>
            <w:r>
              <w:rPr>
                <w:rFonts w:ascii="Calibri" w:cs="Calibri" w:eastAsia="Calibri" w:hAnsi="Calibri"/>
                <w:color w:val="2D3748"/>
                <w:sz w:val="20"/>
                <w:szCs w:val="20"/>
              </w:rPr>
              <w:t xml:space="preserve">Omnicanalidad (retail vs. online)  ◐  Madura al acumular.</w:t>
            </w:r>
          </w:p>
          <w:p>
            <w:pPr>
              <w:spacing w:after="40"/>
            </w:pPr>
            <w:r>
              <w:rPr>
                <w:rFonts w:ascii="Calibri" w:cs="Calibri" w:eastAsia="Calibri" w:hAnsi="Calibri"/>
                <w:color w:val="2D3748"/>
                <w:sz w:val="20"/>
                <w:szCs w:val="20"/>
              </w:rPr>
              <w:t xml:space="preserve">¿Por qué? El dato de origen (sourceType) ya existe; el histórico aún es corto. La capacidad está; el histórico madurará. Por eso la tarjeta se diseña hoy y se enciende en cuanto haya profundidad.</w:t>
            </w:r>
          </w:p>
        </w:tc>
      </w:tr>
    </w:tbl>
    <w:p>
      <w:pPr>
        <w:pStyle w:val="Heading2"/>
        <w:spacing w:after="100" w:before="240"/>
      </w:pPr>
      <w:r>
        <w:rPr>
          <w:rFonts w:ascii="Calibri" w:cs="Calibri" w:eastAsia="Calibri" w:hAnsi="Calibri"/>
          <w:b/>
          <w:bCs/>
          <w:color w:val="2C7A7B"/>
          <w:sz w:val="26"/>
          <w:szCs w:val="26"/>
        </w:rPr>
        <w:t xml:space="preserve">3.7 · Prioridad de acciones</w:t>
      </w:r>
    </w:p>
    <w:p>
      <w:pPr>
        <w:spacing w:after="120" w:line="276"/>
        <w:jc w:val="left"/>
      </w:pPr>
      <w:r>
        <w:rPr>
          <w:rFonts w:ascii="Calibri" w:cs="Calibri" w:eastAsia="Calibri" w:hAnsi="Calibri"/>
          <w:color w:val="222831"/>
          <w:sz w:val="21"/>
          <w:szCs w:val="21"/>
        </w:rPr>
        <w:t xml:space="preserve">Cuando varias tarjetas sugieren acción a la vez, el sistema las ordena por una puntuación simple y transparente:</w:t>
      </w:r>
    </w:p>
    <w:p>
      <w:pPr>
        <w:pStyle w:val="ListParagraph"/>
        <w:numPr>
          <w:ilvl w:val="0"/>
          <w:numId w:val="3"/>
        </w:numPr>
        <w:spacing w:after="60" w:line="268"/>
      </w:pPr>
      <w:r>
        <w:rPr>
          <w:rFonts w:ascii="Calibri" w:cs="Calibri" w:eastAsia="Calibri" w:hAnsi="Calibri"/>
          <w:b/>
          <w:bCs/>
          <w:i w:val="false"/>
          <w:iCs w:val="false"/>
          <w:color w:val="222831"/>
          <w:sz w:val="21"/>
          <w:szCs w:val="21"/>
        </w:rPr>
        <w:t xml:space="preserve">Impacto</w:t>
      </w:r>
      <w:r>
        <w:rPr>
          <w:rFonts w:ascii="Calibri" w:cs="Calibri" w:eastAsia="Calibri" w:hAnsi="Calibri"/>
          <w:b w:val="false"/>
          <w:bCs w:val="false"/>
          <w:i w:val="false"/>
          <w:iCs w:val="false"/>
          <w:color w:val="222831"/>
          <w:sz w:val="21"/>
          <w:szCs w:val="21"/>
        </w:rPr>
        <w:t xml:space="preserve"> — magnitud económica o de riesgo en juego.</w:t>
      </w:r>
    </w:p>
    <w:p>
      <w:pPr>
        <w:pStyle w:val="ListParagraph"/>
        <w:numPr>
          <w:ilvl w:val="0"/>
          <w:numId w:val="3"/>
        </w:numPr>
        <w:spacing w:after="60" w:line="268"/>
      </w:pPr>
      <w:r>
        <w:rPr>
          <w:rFonts w:ascii="Calibri" w:cs="Calibri" w:eastAsia="Calibri" w:hAnsi="Calibri"/>
          <w:b/>
          <w:bCs/>
          <w:i w:val="false"/>
          <w:iCs w:val="false"/>
          <w:color w:val="222831"/>
          <w:sz w:val="21"/>
          <w:szCs w:val="21"/>
        </w:rPr>
        <w:t xml:space="preserve">Urgencia</w:t>
      </w:r>
      <w:r>
        <w:rPr>
          <w:rFonts w:ascii="Calibri" w:cs="Calibri" w:eastAsia="Calibri" w:hAnsi="Calibri"/>
          <w:b w:val="false"/>
          <w:bCs w:val="false"/>
          <w:i w:val="false"/>
          <w:iCs w:val="false"/>
          <w:color w:val="222831"/>
          <w:sz w:val="21"/>
          <w:szCs w:val="21"/>
        </w:rPr>
        <w:t xml:space="preserve"> — cuán rápido se degrada si no actúas (derivable de umbrales y tendencia).</w:t>
      </w:r>
    </w:p>
    <w:p>
      <w:pPr>
        <w:pStyle w:val="ListParagraph"/>
        <w:numPr>
          <w:ilvl w:val="0"/>
          <w:numId w:val="3"/>
        </w:numPr>
        <w:spacing w:after="60" w:line="268"/>
      </w:pPr>
      <w:r>
        <w:rPr>
          <w:rFonts w:ascii="Calibri" w:cs="Calibri" w:eastAsia="Calibri" w:hAnsi="Calibri"/>
          <w:b/>
          <w:bCs/>
          <w:i w:val="false"/>
          <w:iCs w:val="false"/>
          <w:color w:val="222831"/>
          <w:sz w:val="21"/>
          <w:szCs w:val="21"/>
        </w:rPr>
        <w:t xml:space="preserve">Reversibilidad</w:t>
      </w:r>
      <w:r>
        <w:rPr>
          <w:rFonts w:ascii="Calibri" w:cs="Calibri" w:eastAsia="Calibri" w:hAnsi="Calibri"/>
          <w:b w:val="false"/>
          <w:bCs w:val="false"/>
          <w:i w:val="false"/>
          <w:iCs w:val="false"/>
          <w:color w:val="222831"/>
          <w:sz w:val="21"/>
          <w:szCs w:val="21"/>
        </w:rPr>
        <w:t xml:space="preserve"> — si la acción es fácil de deshacer, se ejecuta; si es irreversible y de alto impacto, se investiga antes.</w:t>
      </w:r>
    </w:p>
    <w:p>
      <w:pPr>
        <w:pStyle w:val="Heading1"/>
        <w:spacing w:after="140" w:before="320"/>
      </w:pPr>
      <w:r>
        <w:rPr>
          <w:rFonts w:ascii="Calibri" w:cs="Calibri" w:eastAsia="Calibri" w:hAnsi="Calibri"/>
          <w:b/>
          <w:bCs/>
          <w:color w:val="1F2A44"/>
          <w:sz w:val="30"/>
          <w:szCs w:val="30"/>
        </w:rPr>
        <w:t xml:space="preserve">4 · Actor y modos de uso</w:t>
      </w:r>
    </w:p>
    <w:p>
      <w:pPr>
        <w:spacing w:after="120" w:line="276"/>
        <w:jc w:val="left"/>
      </w:pPr>
      <w:r>
        <w:rPr>
          <w:rFonts w:ascii="Calibri" w:cs="Calibri" w:eastAsia="Calibri" w:hAnsi="Calibri"/>
          <w:color w:val="222831"/>
          <w:sz w:val="21"/>
          <w:szCs w:val="21"/>
        </w:rPr>
        <w:t xml:space="preserve">El sistema sirve a un único decisor —tú, co-founder— que ejerce simultáneamente de dirección, marketing y CRM. Por eso no hay segmentación por perfiles ni permisos: hay modos de uso que corresponden a los cuatro sombreros descritos en §3.3. Cada modo es una entrada distinta al mismo cuerpo de evidencia, calibrada para una cadencia y un horizonte de decisión.</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1900"/>
        <w:gridCol w:w="2400"/>
        <w:gridCol w:w="5060"/>
      </w:tblGrid>
      <w:tr>
        <w:trPr>
          <w:tblHeader/>
        </w:trPr>
        <w:tc>
          <w:tcPr>
            <w:tcW w:type="dxa" w:w="19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Modo (sombrero)</w:t>
            </w:r>
          </w:p>
        </w:tc>
        <w:tc>
          <w:tcPr>
            <w:tcW w:type="dxa" w:w="24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Cuándo lo usas</w:t>
            </w:r>
          </w:p>
        </w:tc>
        <w:tc>
          <w:tcPr>
            <w:tcW w:type="dxa" w:w="50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Qué buscas resolver</w:t>
            </w:r>
          </w:p>
        </w:tc>
      </w:tr>
      <w:tr>
        <w:tc>
          <w:tcPr>
            <w:tcW w:type="dxa" w:w="1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Pulso</w:t>
            </w:r>
          </w:p>
        </w:tc>
        <w:tc>
          <w:tcPr>
            <w:tcW w:type="dxa" w:w="2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Cada mañana, 2 minutos</w:t>
            </w:r>
          </w:p>
        </w:tc>
        <w:tc>
          <w:tcPr>
            <w:tcW w:type="dxa" w:w="50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Detectar roturas antes de que escalen.</w:t>
            </w:r>
          </w:p>
        </w:tc>
      </w:tr>
      <w:tr>
        <w:tc>
          <w:tcPr>
            <w:tcW w:type="dxa" w:w="1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Operador</w:t>
            </w:r>
          </w:p>
        </w:tc>
        <w:tc>
          <w:tcPr>
            <w:tcW w:type="dxa" w:w="2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Una vez por semana</w:t>
            </w:r>
          </w:p>
        </w:tc>
        <w:tc>
          <w:tcPr>
            <w:tcW w:type="dxa" w:w="50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Decidir qué campañas y workflows detener, escalar o investigar.</w:t>
            </w:r>
          </w:p>
        </w:tc>
      </w:tr>
      <w:tr>
        <w:tc>
          <w:tcPr>
            <w:tcW w:type="dxa" w:w="19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Estratega</w:t>
            </w:r>
          </w:p>
        </w:tc>
        <w:tc>
          <w:tcPr>
            <w:tcW w:type="dxa" w:w="24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Al cierre de cada mes</w:t>
            </w:r>
          </w:p>
        </w:tc>
        <w:tc>
          <w:tcPr>
            <w:tcW w:type="dxa" w:w="50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Reasignar esfuerzo entre canales, vigilar retención y base.</w:t>
            </w:r>
          </w:p>
        </w:tc>
      </w:tr>
      <w:tr>
        <w:tc>
          <w:tcPr>
            <w:tcW w:type="dxa" w:w="19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Dirección</w:t>
            </w:r>
          </w:p>
        </w:tc>
        <w:tc>
          <w:tcPr>
            <w:tcW w:type="dxa" w:w="24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Cada trimestre</w:t>
            </w:r>
          </w:p>
        </w:tc>
        <w:tc>
          <w:tcPr>
            <w:tcW w:type="dxa" w:w="50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Evaluar objetivos, marca propia, riesgo estructural e inversión.</w:t>
            </w:r>
          </w:p>
        </w:tc>
      </w:tr>
    </w:tbl>
    <w:p>
      <w:pPr>
        <w:pStyle w:val="Heading1"/>
        <w:spacing w:after="140" w:before="320"/>
      </w:pPr>
      <w:r>
        <w:rPr>
          <w:rFonts w:ascii="Calibri" w:cs="Calibri" w:eastAsia="Calibri" w:hAnsi="Calibri"/>
          <w:b/>
          <w:bCs/>
          <w:color w:val="1F2A44"/>
          <w:sz w:val="30"/>
          <w:szCs w:val="30"/>
        </w:rPr>
        <w:t xml:space="preserve">5 · Ecosistema de datos</w:t>
      </w:r>
    </w:p>
    <w:p>
      <w:pPr>
        <w:spacing w:after="120" w:line="276"/>
        <w:jc w:val="left"/>
      </w:pPr>
      <w:r>
        <w:rPr>
          <w:rFonts w:ascii="Calibri" w:cs="Calibri" w:eastAsia="Calibri" w:hAnsi="Calibri"/>
          <w:color w:val="222831"/>
          <w:sz w:val="21"/>
          <w:szCs w:val="21"/>
        </w:rPr>
        <w:t xml:space="preserve">El sistema no se limita a los 19 exports de Connectif Data Explorer. Asume el ecosistema completo, incluyendo fuentes con poco histórico que madurarán. La tabla declara la profundidad real observada y el estado de la puerta del dato para cada familia.</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2500"/>
        <w:gridCol w:w="3200"/>
        <w:gridCol w:w="2360"/>
        <w:gridCol w:w="1300"/>
      </w:tblGrid>
      <w:tr>
        <w:trPr>
          <w:tblHeader/>
        </w:trPr>
        <w:tc>
          <w:tcPr>
            <w:tcW w:type="dxa" w:w="25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Familia de datos</w:t>
            </w:r>
          </w:p>
        </w:tc>
        <w:tc>
          <w:tcPr>
            <w:tcW w:type="dxa" w:w="32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Contenido / grano</w:t>
            </w:r>
          </w:p>
        </w:tc>
        <w:tc>
          <w:tcPr>
            <w:tcW w:type="dxa" w:w="23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Profundidad actual</w:t>
            </w:r>
          </w:p>
        </w:tc>
        <w:tc>
          <w:tcPr>
            <w:tcW w:type="dxa" w:w="13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Puerta</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Connectif — ventas (D17)</w:t>
            </w:r>
          </w:p>
        </w:tc>
        <w:tc>
          <w:tcPr>
            <w:tcW w:type="dxa" w:w="3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Revenue diario + atribución E/P/W/SMS</w:t>
            </w:r>
          </w:p>
        </w:tc>
        <w:tc>
          <w:tcPr>
            <w:tcW w:type="dxa" w:w="2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≈730 días (2 años)</w:t>
            </w:r>
          </w:p>
        </w:tc>
        <w:tc>
          <w:tcPr>
            <w:tcW w:type="dxa" w:w="1300"/>
            <w:shd w:fill="FFFFFF"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Connectif — email (D04·D08·D13)</w:t>
            </w:r>
          </w:p>
        </w:tc>
        <w:tc>
          <w:tcPr>
            <w:tcW w:type="dxa" w:w="32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Campaña/día/mes: envíos, aperturas, clics, revenue</w:t>
            </w:r>
          </w:p>
        </w:tc>
        <w:tc>
          <w:tcPr>
            <w:tcW w:type="dxa" w:w="2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25 meses · 147k filas diarias</w:t>
            </w:r>
          </w:p>
        </w:tc>
        <w:tc>
          <w:tcPr>
            <w:tcW w:type="dxa" w:w="1300"/>
            <w:shd w:fill="F7F9FB"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Connectif — push (D12·D15·D16·D18)</w:t>
            </w:r>
          </w:p>
        </w:tc>
        <w:tc>
          <w:tcPr>
            <w:tcW w:type="dxa" w:w="3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Workflow/día/mes: envíos, engagement, revenue</w:t>
            </w:r>
          </w:p>
        </w:tc>
        <w:tc>
          <w:tcPr>
            <w:tcW w:type="dxa" w:w="2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25 meses</w:t>
            </w:r>
          </w:p>
        </w:tc>
        <w:tc>
          <w:tcPr>
            <w:tcW w:type="dxa" w:w="1300"/>
            <w:shd w:fill="FFFFFF"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Connectif — carrito (D05·D06)</w:t>
            </w:r>
          </w:p>
        </w:tc>
        <w:tc>
          <w:tcPr>
            <w:tcW w:type="dxa" w:w="32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Plantilla y workflow de recuperación (incl. A/B)</w:t>
            </w:r>
          </w:p>
        </w:tc>
        <w:tc>
          <w:tcPr>
            <w:tcW w:type="dxa" w:w="2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25 meses</w:t>
            </w:r>
          </w:p>
        </w:tc>
        <w:tc>
          <w:tcPr>
            <w:tcW w:type="dxa" w:w="1300"/>
            <w:shd w:fill="F7F9FB"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Connectif — clientes (D14)</w:t>
            </w:r>
          </w:p>
        </w:tc>
        <w:tc>
          <w:tcPr>
            <w:tcW w:type="dxa" w:w="3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Primerizos vs. recurrentes (conteo mensual)</w:t>
            </w:r>
          </w:p>
        </w:tc>
        <w:tc>
          <w:tcPr>
            <w:tcW w:type="dxa" w:w="2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25 meses</w:t>
            </w:r>
          </w:p>
        </w:tc>
        <w:tc>
          <w:tcPr>
            <w:tcW w:type="dxa" w:w="1300"/>
            <w:shd w:fill="FFFFFF"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Connectif — base (D10·D11)</w:t>
            </w:r>
          </w:p>
        </w:tc>
        <w:tc>
          <w:tcPr>
            <w:tcW w:type="dxa" w:w="32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Suscriptores email y push, altas/bajas</w:t>
            </w:r>
          </w:p>
        </w:tc>
        <w:tc>
          <w:tcPr>
            <w:tcW w:type="dxa" w:w="2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25 meses</w:t>
            </w:r>
          </w:p>
        </w:tc>
        <w:tc>
          <w:tcPr>
            <w:tcW w:type="dxa" w:w="1300"/>
            <w:shd w:fill="F7F9FB"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Connectif — web content (D07)</w:t>
            </w:r>
          </w:p>
        </w:tc>
        <w:tc>
          <w:tcPr>
            <w:tcW w:type="dxa" w:w="3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Contenido web diario: opens, clics, compradores</w:t>
            </w:r>
          </w:p>
        </w:tc>
        <w:tc>
          <w:tcPr>
            <w:tcW w:type="dxa" w:w="2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25 meses · 20,9k filas</w:t>
            </w:r>
          </w:p>
        </w:tc>
        <w:tc>
          <w:tcPr>
            <w:tcW w:type="dxa" w:w="1300"/>
            <w:shd w:fill="FFFFFF" w:val="clear"/>
            <w:tcMar>
              <w:top w:type="dxa" w:w="50"/>
              <w:left w:type="dxa" w:w="90"/>
              <w:bottom w:type="dxa" w:w="50"/>
              <w:right w:type="dxa" w:w="90"/>
            </w:tcMar>
          </w:tcPr>
          <w:p>
            <w:r>
              <w:rPr>
                <w:rFonts w:ascii="Calibri" w:cs="Calibri" w:eastAsia="Calibri" w:hAnsi="Calibri"/>
                <w:b/>
                <w:bCs/>
                <w:color w:val="2F855A"/>
                <w:sz w:val="17"/>
                <w:szCs w:val="17"/>
              </w:rPr>
              <w:t xml:space="preserve">●  Responde hoy</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Connectif — sticky (D03)</w:t>
            </w:r>
          </w:p>
        </w:tc>
        <w:tc>
          <w:tcPr>
            <w:tcW w:type="dxa" w:w="32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Rendimiento por widget</w:t>
            </w:r>
          </w:p>
        </w:tc>
        <w:tc>
          <w:tcPr>
            <w:tcW w:type="dxa" w:w="2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Snapshot sin fecha (12 filas)</w:t>
            </w:r>
          </w:p>
        </w:tc>
        <w:tc>
          <w:tcPr>
            <w:tcW w:type="dxa" w:w="1300"/>
            <w:shd w:fill="F7F9FB"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Connectif — envíos día (D09)</w:t>
            </w:r>
          </w:p>
        </w:tc>
        <w:tc>
          <w:tcPr>
            <w:tcW w:type="dxa" w:w="3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Agregado por día de la semana</w:t>
            </w:r>
          </w:p>
        </w:tc>
        <w:tc>
          <w:tcPr>
            <w:tcW w:type="dxa" w:w="2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Snapshot sin fecha (7 filas)</w:t>
            </w:r>
          </w:p>
        </w:tc>
        <w:tc>
          <w:tcPr>
            <w:tcW w:type="dxa" w:w="1300"/>
            <w:shd w:fill="FFFFFF"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Connectif — segmentos (D01)</w:t>
            </w:r>
          </w:p>
        </w:tc>
        <w:tc>
          <w:tcPr>
            <w:tcW w:type="dxa" w:w="32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Contactos por segmento</w:t>
            </w:r>
          </w:p>
        </w:tc>
        <w:tc>
          <w:tcPr>
            <w:tcW w:type="dxa" w:w="2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Snapshot 1 corte (492 seg.)</w:t>
            </w:r>
          </w:p>
        </w:tc>
        <w:tc>
          <w:tcPr>
            <w:tcW w:type="dxa" w:w="1300"/>
            <w:shd w:fill="F7F9FB"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Connectif — marca propia (D19)</w:t>
            </w:r>
          </w:p>
        </w:tc>
        <w:tc>
          <w:tcPr>
            <w:tcW w:type="dxa" w:w="3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Compradores y revenue de marca BVS</w:t>
            </w:r>
          </w:p>
        </w:tc>
        <w:tc>
          <w:tcPr>
            <w:tcW w:type="dxa" w:w="2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11 meses · 1 marca</w:t>
            </w:r>
          </w:p>
        </w:tc>
        <w:tc>
          <w:tcPr>
            <w:tcW w:type="dxa" w:w="1300"/>
            <w:shd w:fill="FFFFFF"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Connectif — nutracéuticos (D02)</w:t>
            </w:r>
          </w:p>
        </w:tc>
        <w:tc>
          <w:tcPr>
            <w:tcW w:type="dxa" w:w="32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Compras de la categoría, atribución</w:t>
            </w:r>
          </w:p>
        </w:tc>
        <w:tc>
          <w:tcPr>
            <w:tcW w:type="dxa" w:w="2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25 meses · 1 categoría</w:t>
            </w:r>
          </w:p>
        </w:tc>
        <w:tc>
          <w:tcPr>
            <w:tcW w:type="dxa" w:w="1300"/>
            <w:shd w:fill="F7F9FB"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GA4</w:t>
            </w:r>
          </w:p>
        </w:tc>
        <w:tc>
          <w:tcPr>
            <w:tcW w:type="dxa" w:w="3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Tráfico web, fuentes, conversión on-site</w:t>
            </w:r>
          </w:p>
        </w:tc>
        <w:tc>
          <w:tcPr>
            <w:tcW w:type="dxa" w:w="2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Corto (nuevo)</w:t>
            </w:r>
          </w:p>
        </w:tc>
        <w:tc>
          <w:tcPr>
            <w:tcW w:type="dxa" w:w="1300"/>
            <w:shd w:fill="FFFFFF"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Metricool</w:t>
            </w:r>
          </w:p>
        </w:tc>
        <w:tc>
          <w:tcPr>
            <w:tcW w:type="dxa" w:w="32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Redes sociales: alcance, engagement, seguidores</w:t>
            </w:r>
          </w:p>
        </w:tc>
        <w:tc>
          <w:tcPr>
            <w:tcW w:type="dxa" w:w="2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Corto (nuevo)</w:t>
            </w:r>
          </w:p>
        </w:tc>
        <w:tc>
          <w:tcPr>
            <w:tcW w:type="dxa" w:w="1300"/>
            <w:shd w:fill="F7F9FB"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Retail / Online / Omnicanal</w:t>
            </w:r>
          </w:p>
        </w:tc>
        <w:tc>
          <w:tcPr>
            <w:tcW w:type="dxa" w:w="3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sourceType: reparto de venta por canal físico/digital</w:t>
            </w:r>
          </w:p>
        </w:tc>
        <w:tc>
          <w:tcPr>
            <w:tcW w:type="dxa" w:w="2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Corto (nuevo)</w:t>
            </w:r>
          </w:p>
        </w:tc>
        <w:tc>
          <w:tcPr>
            <w:tcW w:type="dxa" w:w="1300"/>
            <w:shd w:fill="FFFFFF" w:val="clear"/>
            <w:tcMar>
              <w:top w:type="dxa" w:w="50"/>
              <w:left w:type="dxa" w:w="90"/>
              <w:bottom w:type="dxa" w:w="50"/>
              <w:right w:type="dxa" w:w="90"/>
            </w:tcMar>
          </w:tcPr>
          <w:p>
            <w:r>
              <w:rPr>
                <w:rFonts w:ascii="Calibri" w:cs="Calibri" w:eastAsia="Calibri" w:hAnsi="Calibri"/>
                <w:b/>
                <w:bCs/>
                <w:color w:val="B7791F"/>
                <w:sz w:val="17"/>
                <w:szCs w:val="17"/>
              </w:rPr>
              <w:t xml:space="preserve">◐  Madura al acumular</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Nivel cliente individual</w:t>
            </w:r>
          </w:p>
        </w:tc>
        <w:tc>
          <w:tcPr>
            <w:tcW w:type="dxa" w:w="32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Contact ID, historial por persona</w:t>
            </w:r>
          </w:p>
        </w:tc>
        <w:tc>
          <w:tcPr>
            <w:tcW w:type="dxa" w:w="2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No disponible</w:t>
            </w:r>
          </w:p>
        </w:tc>
        <w:tc>
          <w:tcPr>
            <w:tcW w:type="dxa" w:w="1300"/>
            <w:shd w:fill="F7F9FB" w:val="clear"/>
            <w:tcMar>
              <w:top w:type="dxa" w:w="50"/>
              <w:left w:type="dxa" w:w="90"/>
              <w:bottom w:type="dxa" w:w="50"/>
              <w:right w:type="dxa" w:w="90"/>
            </w:tcMar>
          </w:tcPr>
          <w:p>
            <w:r>
              <w:rPr>
                <w:rFonts w:ascii="Calibri" w:cs="Calibri" w:eastAsia="Calibri" w:hAnsi="Calibri"/>
                <w:b/>
                <w:bCs/>
                <w:color w:val="C53030"/>
                <w:sz w:val="17"/>
                <w:szCs w:val="17"/>
              </w:rPr>
              <w:t xml:space="preserve">○  Falta dato</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Producto (categorías / SKU)</w:t>
            </w:r>
          </w:p>
        </w:tc>
        <w:tc>
          <w:tcPr>
            <w:tcW w:type="dxa" w:w="32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Revenue por categoría más allá de nutracéuticos</w:t>
            </w:r>
          </w:p>
        </w:tc>
        <w:tc>
          <w:tcPr>
            <w:tcW w:type="dxa" w:w="2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No disponible</w:t>
            </w:r>
          </w:p>
        </w:tc>
        <w:tc>
          <w:tcPr>
            <w:tcW w:type="dxa" w:w="1300"/>
            <w:shd w:fill="FFFFFF" w:val="clear"/>
            <w:tcMar>
              <w:top w:type="dxa" w:w="50"/>
              <w:left w:type="dxa" w:w="90"/>
              <w:bottom w:type="dxa" w:w="50"/>
              <w:right w:type="dxa" w:w="90"/>
            </w:tcMar>
          </w:tcPr>
          <w:p>
            <w:r>
              <w:rPr>
                <w:rFonts w:ascii="Calibri" w:cs="Calibri" w:eastAsia="Calibri" w:hAnsi="Calibri"/>
                <w:b/>
                <w:bCs/>
                <w:color w:val="C53030"/>
                <w:sz w:val="17"/>
                <w:szCs w:val="17"/>
              </w:rPr>
              <w:t xml:space="preserve">○  Falta dato</w:t>
            </w:r>
          </w:p>
        </w:tc>
      </w:tr>
    </w:tbl>
    <w:p>
      <w:pPr>
        <w:spacing w:after="80"/>
      </w:pPr>
    </w:p>
    <w:tbl>
      <w:tblPr>
        <w:tblW w:type="pct" w:w="100%"/>
        <w:tblBorders>
          <w:top w:val="single" w:color="C53030" w:sz="2"/>
          <w:left w:val="single" w:color="C53030" w:sz="18"/>
          <w:bottom w:val="single" w:color="C53030" w:sz="2"/>
          <w:right w:val="single" w:color="C53030" w:sz="2"/>
          <w:insideH w:val="none"/>
          <w:insideV w:val="none"/>
        </w:tblBorders>
      </w:tblPr>
      <w:tblGrid>
        <w:gridCol w:w="9360"/>
      </w:tblGrid>
      <w:tr>
        <w:tc>
          <w:tcPr>
            <w:tcW w:type="dxa" w:w="9360"/>
            <w:shd w:fill="F4F8F8" w:val="clear"/>
            <w:tcMar>
              <w:top w:type="dxa" w:w="100"/>
              <w:left w:type="dxa" w:w="160"/>
              <w:bottom w:type="dxa" w:w="100"/>
              <w:right w:type="dxa" w:w="160"/>
            </w:tcMar>
          </w:tcPr>
          <w:p>
            <w:pPr>
              <w:spacing w:after="60"/>
            </w:pPr>
            <w:r>
              <w:rPr>
                <w:rFonts w:ascii="Calibri" w:cs="Calibri" w:eastAsia="Calibri" w:hAnsi="Calibri"/>
                <w:b/>
                <w:bCs/>
                <w:color w:val="C53030"/>
                <w:sz w:val="21"/>
                <w:szCs w:val="21"/>
              </w:rPr>
              <w:t xml:space="preserve">Tres límites estructurales a asumir</w:t>
            </w:r>
          </w:p>
          <w:p>
            <w:pPr>
              <w:spacing w:after="40"/>
            </w:pPr>
            <w:r>
              <w:rPr>
                <w:rFonts w:ascii="Calibri" w:cs="Calibri" w:eastAsia="Calibri" w:hAnsi="Calibri"/>
                <w:color w:val="2D3748"/>
                <w:sz w:val="20"/>
                <w:szCs w:val="20"/>
              </w:rPr>
              <w:t xml:space="preserve">1. Nada a nivel cliente individual: sin Contact ID no hay RFM calculable, cohortes reales, CLV ni customer intelligence individual. Sí es posible el nivel agregado (evolución de buckets RFM que Connectif ya calcula, mix nuevos/recurrentes, % omnicanal).</w:t>
            </w:r>
          </w:p>
          <w:p>
            <w:pPr>
              <w:spacing w:after="40"/>
            </w:pPr>
            <w:r>
              <w:rPr>
                <w:rFonts w:ascii="Calibri" w:cs="Calibri" w:eastAsia="Calibri" w:hAnsi="Calibri"/>
                <w:color w:val="2D3748"/>
                <w:sz w:val="20"/>
                <w:szCs w:val="20"/>
              </w:rPr>
              <w:t xml:space="preserve">2. Producto casi vacío como eje: solo nutracéuticos tiene ventas propias y solo una marca propia; no hay ranking de categorías.</w:t>
            </w:r>
          </w:p>
          <w:p>
            <w:pPr>
              <w:spacing w:after="40"/>
            </w:pPr>
            <w:r>
              <w:rPr>
                <w:rFonts w:ascii="Calibri" w:cs="Calibri" w:eastAsia="Calibri" w:hAnsi="Calibri"/>
                <w:color w:val="2D3748"/>
                <w:sz w:val="20"/>
                <w:szCs w:val="20"/>
              </w:rPr>
              <w:t xml:space="preserve">3. La serie temporal de los snapshots (segmentos, sticky, envíos-día) solo existe si cada importación se sella con su fecha de carga. Es un prerrequisito de datos, no una función del dashboard.</w:t>
            </w:r>
          </w:p>
        </w:tc>
      </w:tr>
    </w:tbl>
    <w:p>
      <w:pPr>
        <w:pStyle w:val="Heading1"/>
        <w:spacing w:after="140" w:before="320"/>
      </w:pPr>
      <w:r>
        <w:rPr>
          <w:rFonts w:ascii="Calibri" w:cs="Calibri" w:eastAsia="Calibri" w:hAnsi="Calibri"/>
          <w:b/>
          <w:bCs/>
          <w:color w:val="1F2A44"/>
          <w:sz w:val="30"/>
          <w:szCs w:val="30"/>
        </w:rPr>
        <w:t xml:space="preserve">6 · Registro de Decisiones</w:t>
      </w:r>
    </w:p>
    <w:p>
      <w:pPr>
        <w:spacing w:after="160" w:line="288"/>
      </w:pPr>
      <w:r>
        <w:rPr>
          <w:rFonts w:ascii="Calibri" w:cs="Calibri" w:eastAsia="Calibri" w:hAnsi="Calibri"/>
          <w:i/>
          <w:iCs/>
          <w:color w:val="425466"/>
          <w:sz w:val="22"/>
          <w:szCs w:val="22"/>
        </w:rPr>
        <w:t xml:space="preserve">El corazón de la arquitectura. Cada fila es una pregunta admitida (cumple la regla: termina en acción), con el KPI que la responde, el dataset que la alimenta, la visualización mínima, las acciones posibles y el estado de la puerta del dato. Organizado por modo de decisión.</w:t>
      </w:r>
    </w:p>
    <w:p>
      <w:pPr>
        <w:spacing w:after="120" w:line="276"/>
        <w:jc w:val="left"/>
      </w:pPr>
      <w:r>
        <w:rPr>
          <w:rFonts w:ascii="Calibri" w:cs="Calibri" w:eastAsia="Calibri" w:hAnsi="Calibri"/>
          <w:b/>
          <w:bCs/>
          <w:i w:val="false"/>
          <w:iCs w:val="false"/>
          <w:color w:val="222831"/>
          <w:sz w:val="21"/>
          <w:szCs w:val="21"/>
        </w:rPr>
        <w:t xml:space="preserve">Nota de lectura: </w:t>
      </w:r>
      <w:r>
        <w:rPr>
          <w:rFonts w:ascii="Calibri" w:cs="Calibri" w:eastAsia="Calibri" w:hAnsi="Calibri"/>
          <w:b w:val="false"/>
          <w:bCs w:val="false"/>
          <w:i w:val="false"/>
          <w:iCs w:val="false"/>
          <w:color w:val="222831"/>
          <w:sz w:val="21"/>
          <w:szCs w:val="21"/>
        </w:rPr>
        <w:t xml:space="preserve">las filas ●  (verde) forman el sistema mínimo viable de la Fase 1. Las filas ◐  (ámbar) se diseñan ahora y se encienden conforme el dato madura. No hay filas ○  (rojo) en el registro: las preguntas no respondibles se han excluido deliberadamente y se documentan en §5.</w:t>
      </w:r>
    </w:p>
    <w:p>
      <w:pPr>
        <w:pStyle w:val="Heading2"/>
        <w:spacing w:after="100" w:before="240"/>
      </w:pPr>
      <w:r>
        <w:rPr>
          <w:rFonts w:ascii="Calibri" w:cs="Calibri" w:eastAsia="Calibri" w:hAnsi="Calibri"/>
          <w:b/>
          <w:bCs/>
          <w:color w:val="2C7A7B"/>
          <w:sz w:val="26"/>
          <w:szCs w:val="26"/>
        </w:rPr>
        <w:t xml:space="preserve">6.1 · Modo Pulso — diario</w:t>
      </w:r>
    </w:p>
    <w:p>
      <w:pPr>
        <w:spacing w:after="120" w:line="276"/>
        <w:jc w:val="left"/>
      </w:pPr>
      <w:r>
        <w:rPr>
          <w:rFonts w:ascii="Calibri" w:cs="Calibri" w:eastAsia="Calibri" w:hAnsi="Calibri"/>
          <w:color w:val="222831"/>
          <w:sz w:val="21"/>
          <w:szCs w:val="21"/>
        </w:rPr>
        <w:t xml:space="preserve">Dominante: ¿algo se rompió? Objetivo: detectar anomalías antes de que escalen. Verbo casi único: Investigar.</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2500"/>
        <w:gridCol w:w="1450"/>
        <w:gridCol w:w="1450"/>
        <w:gridCol w:w="1500"/>
        <w:gridCol w:w="1360"/>
        <w:gridCol w:w="1100"/>
      </w:tblGrid>
      <w:tr>
        <w:trPr>
          <w:tblHeader/>
        </w:trPr>
        <w:tc>
          <w:tcPr>
            <w:tcW w:type="dxa" w:w="25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Pregunta estratégica</w:t>
            </w:r>
          </w:p>
        </w:tc>
        <w:tc>
          <w:tcPr>
            <w:tcW w:type="dxa" w:w="145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KPI</w:t>
            </w:r>
          </w:p>
        </w:tc>
        <w:tc>
          <w:tcPr>
            <w:tcW w:type="dxa" w:w="145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Dataset(s)</w:t>
            </w:r>
          </w:p>
        </w:tc>
        <w:tc>
          <w:tcPr>
            <w:tcW w:type="dxa" w:w="15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Visualización</w:t>
            </w:r>
          </w:p>
        </w:tc>
        <w:tc>
          <w:tcPr>
            <w:tcW w:type="dxa" w:w="13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Acciones posibles</w:t>
            </w:r>
          </w:p>
        </w:tc>
        <w:tc>
          <w:tcPr>
            <w:tcW w:type="dxa" w:w="11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Dato</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¿El revenue de ayer está dentro del rango normal?</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Revenue diario vs. banda esperada (media móvil ±σ)</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Ventas Diarias (D17)</w:t>
            </w:r>
          </w:p>
        </w:tc>
        <w:tc>
          <w:tcPr>
            <w:tcW w:type="dxa" w:w="1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Línea diaria + banda + marcador de anomalía</w:t>
            </w:r>
          </w:p>
        </w:tc>
        <w:tc>
          <w:tcPr>
            <w:tcW w:type="dxa" w:w="1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w:t>
            </w:r>
          </w:p>
        </w:tc>
        <w:tc>
          <w:tcPr>
            <w:tcW w:type="dxa" w:w="1100"/>
            <w:shd w:fill="FFFFFF"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¿Cayó la entregabilidad o la apertura de email?</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Open rate diario agregado vs. baseline</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Email Diario (D08)</w:t>
            </w:r>
          </w:p>
        </w:tc>
        <w:tc>
          <w:tcPr>
            <w:tcW w:type="dxa" w:w="1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Línea diaria con umbral</w:t>
            </w:r>
          </w:p>
        </w:tc>
        <w:tc>
          <w:tcPr>
            <w:tcW w:type="dxa" w:w="1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w:t>
            </w:r>
          </w:p>
        </w:tc>
        <w:tc>
          <w:tcPr>
            <w:tcW w:type="dxa" w:w="1100"/>
            <w:shd w:fill="F7F9FB"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¿Algún canal atribuido se desplomó de un día a otro?</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Δ diario de compras por canal</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Ventas Diarias (D17)</w:t>
            </w:r>
          </w:p>
        </w:tc>
        <w:tc>
          <w:tcPr>
            <w:tcW w:type="dxa" w:w="1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Barras Δ por canal</w:t>
            </w:r>
          </w:p>
        </w:tc>
        <w:tc>
          <w:tcPr>
            <w:tcW w:type="dxa" w:w="1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 · Escalar</w:t>
            </w:r>
          </w:p>
        </w:tc>
        <w:tc>
          <w:tcPr>
            <w:tcW w:type="dxa" w:w="1100"/>
            <w:shd w:fill="FFFFFF"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¿Un workflow crítico dejó de enviar o convertir?</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Envíos y aperturas diarias por workflow</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Push Diario (D15) · Email Diario (D08)</w:t>
            </w:r>
          </w:p>
        </w:tc>
        <w:tc>
          <w:tcPr>
            <w:tcW w:type="dxa" w:w="1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Sparklines por workflow con alerta</w:t>
            </w:r>
          </w:p>
        </w:tc>
        <w:tc>
          <w:tcPr>
            <w:tcW w:type="dxa" w:w="1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w:t>
            </w:r>
          </w:p>
        </w:tc>
        <w:tc>
          <w:tcPr>
            <w:tcW w:type="dxa" w:w="1100"/>
            <w:shd w:fill="F7F9FB" w:val="clear"/>
            <w:tcMar>
              <w:top w:type="dxa" w:w="50"/>
              <w:left w:type="dxa" w:w="90"/>
              <w:bottom w:type="dxa" w:w="50"/>
              <w:right w:type="dxa" w:w="90"/>
            </w:tcMar>
          </w:tcPr>
          <w:p>
            <w:pPr>
              <w:spacing w:after="20"/>
            </w:pPr>
            <w:r>
              <w:rPr>
                <w:rFonts w:ascii="Calibri" w:cs="Calibri" w:eastAsia="Calibri" w:hAnsi="Calibri"/>
                <w:b/>
                <w:bCs/>
                <w:color w:val="B7791F"/>
                <w:sz w:val="17"/>
                <w:szCs w:val="17"/>
              </w:rPr>
              <w:t xml:space="preserve">◐  Madura al acumular</w:t>
            </w:r>
          </w:p>
        </w:tc>
      </w:tr>
    </w:tbl>
    <w:p>
      <w:pPr>
        <w:spacing w:after="80"/>
      </w:pPr>
    </w:p>
    <w:p>
      <w:pPr>
        <w:pStyle w:val="Heading2"/>
        <w:spacing w:after="100" w:before="240"/>
      </w:pPr>
      <w:r>
        <w:rPr>
          <w:rFonts w:ascii="Calibri" w:cs="Calibri" w:eastAsia="Calibri" w:hAnsi="Calibri"/>
          <w:b/>
          <w:bCs/>
          <w:color w:val="2C7A7B"/>
          <w:sz w:val="26"/>
          <w:szCs w:val="26"/>
        </w:rPr>
        <w:t xml:space="preserve">6.2 · Modo Operador — semanal</w:t>
      </w:r>
    </w:p>
    <w:p>
      <w:pPr>
        <w:spacing w:after="120" w:line="276"/>
        <w:jc w:val="left"/>
      </w:pPr>
      <w:r>
        <w:rPr>
          <w:rFonts w:ascii="Calibri" w:cs="Calibri" w:eastAsia="Calibri" w:hAnsi="Calibri"/>
          <w:color w:val="222831"/>
          <w:sz w:val="21"/>
          <w:szCs w:val="21"/>
        </w:rPr>
        <w:t xml:space="preserve">Dominante: ¿qué detengo, escalo o investigo? Es el modo de mayor densidad de decisiones tácticas de marketing y automatización.</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2500"/>
        <w:gridCol w:w="1450"/>
        <w:gridCol w:w="1450"/>
        <w:gridCol w:w="1500"/>
        <w:gridCol w:w="1360"/>
        <w:gridCol w:w="1100"/>
      </w:tblGrid>
      <w:tr>
        <w:trPr>
          <w:tblHeader/>
        </w:trPr>
        <w:tc>
          <w:tcPr>
            <w:tcW w:type="dxa" w:w="25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Pregunta estratégica</w:t>
            </w:r>
          </w:p>
        </w:tc>
        <w:tc>
          <w:tcPr>
            <w:tcW w:type="dxa" w:w="145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KPI</w:t>
            </w:r>
          </w:p>
        </w:tc>
        <w:tc>
          <w:tcPr>
            <w:tcW w:type="dxa" w:w="145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Dataset(s)</w:t>
            </w:r>
          </w:p>
        </w:tc>
        <w:tc>
          <w:tcPr>
            <w:tcW w:type="dxa" w:w="15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Visualización</w:t>
            </w:r>
          </w:p>
        </w:tc>
        <w:tc>
          <w:tcPr>
            <w:tcW w:type="dxa" w:w="13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Acciones posibles</w:t>
            </w:r>
          </w:p>
        </w:tc>
        <w:tc>
          <w:tcPr>
            <w:tcW w:type="dxa" w:w="11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Dato</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campañas de email escalo y cuáles retiro?</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RPE (revenue/envío) y revenue absoluto</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Métricas Looker (D13) · Audit (D04)</w:t>
            </w:r>
          </w:p>
        </w:tc>
        <w:tc>
          <w:tcPr>
            <w:tcW w:type="dxa" w:w="1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Scatter RPE vs. volumen + tabla Top/Bottom</w:t>
            </w:r>
          </w:p>
        </w:tc>
        <w:tc>
          <w:tcPr>
            <w:tcW w:type="dxa" w:w="1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Detener · Mantener</w:t>
            </w:r>
          </w:p>
        </w:tc>
        <w:tc>
          <w:tcPr>
            <w:tcW w:type="dxa" w:w="1100"/>
            <w:shd w:fill="FFFFFF"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campañas push rinden y cuáles no?</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Revenue, open y CTR por campaña</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Métricas PUSH DS (D12)</w:t>
            </w:r>
          </w:p>
        </w:tc>
        <w:tc>
          <w:tcPr>
            <w:tcW w:type="dxa" w:w="1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Scatter alcance vs. conversión + ranking</w:t>
            </w:r>
          </w:p>
        </w:tc>
        <w:tc>
          <w:tcPr>
            <w:tcW w:type="dxa" w:w="1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Detener</w:t>
            </w:r>
          </w:p>
        </w:tc>
        <w:tc>
          <w:tcPr>
            <w:tcW w:type="dxa" w:w="1100"/>
            <w:shd w:fill="F7F9FB"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contenido web o sticky escalo o detengo?</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Compradores y conv. rate por pieza</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Contenido Web Diario (D07) · Sticky (D03)</w:t>
            </w:r>
          </w:p>
        </w:tc>
        <w:tc>
          <w:tcPr>
            <w:tcW w:type="dxa" w:w="1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Ranking + calendar heatmap</w:t>
            </w:r>
          </w:p>
        </w:tc>
        <w:tc>
          <w:tcPr>
            <w:tcW w:type="dxa" w:w="1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Detener</w:t>
            </w:r>
          </w:p>
        </w:tc>
        <w:tc>
          <w:tcPr>
            <w:tcW w:type="dxa" w:w="1100"/>
            <w:shd w:fill="FFFFFF" w:val="clear"/>
            <w:tcMar>
              <w:top w:type="dxa" w:w="50"/>
              <w:left w:type="dxa" w:w="90"/>
              <w:bottom w:type="dxa" w:w="50"/>
              <w:right w:type="dxa" w:w="90"/>
            </w:tcMar>
          </w:tcPr>
          <w:p>
            <w:pPr>
              <w:spacing w:after="20"/>
            </w:pPr>
            <w:r>
              <w:rPr>
                <w:rFonts w:ascii="Calibri" w:cs="Calibri" w:eastAsia="Calibri" w:hAnsi="Calibri"/>
                <w:b/>
                <w:bCs/>
                <w:color w:val="B7791F"/>
                <w:sz w:val="17"/>
                <w:szCs w:val="17"/>
              </w:rPr>
              <w:t xml:space="preserve">◐  Madura al acumular</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workflow de carrito gana (incl. A/B) y cuál consolido?</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Revenue recuperado y conversión por workflow</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Carritos abandonados (D06) · Carrito (D05)</w:t>
            </w:r>
          </w:p>
        </w:tc>
        <w:tc>
          <w:tcPr>
            <w:tcW w:type="dxa" w:w="1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Funnel de secuencia + barras A/B</w:t>
            </w:r>
          </w:p>
        </w:tc>
        <w:tc>
          <w:tcPr>
            <w:tcW w:type="dxa" w:w="1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Detener · Mantener</w:t>
            </w:r>
          </w:p>
        </w:tc>
        <w:tc>
          <w:tcPr>
            <w:tcW w:type="dxa" w:w="1100"/>
            <w:shd w:fill="F7F9FB"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campañas generan fatiga de lista?</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Tasa de baja por envío</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Audit (D04) · Métricas Looker (D13)</w:t>
            </w:r>
          </w:p>
        </w:tc>
        <w:tc>
          <w:tcPr>
            <w:tcW w:type="dxa" w:w="1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Scatter volumen vs. tasa de baja</w:t>
            </w:r>
          </w:p>
        </w:tc>
        <w:tc>
          <w:tcPr>
            <w:tcW w:type="dxa" w:w="1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Detener · Investigar</w:t>
            </w:r>
          </w:p>
        </w:tc>
        <w:tc>
          <w:tcPr>
            <w:tcW w:type="dxa" w:w="1100"/>
            <w:shd w:fill="FFFFFF"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¿Cuál es el mejor día para enviar?</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Revenue por 1.000 envíos y día de semana</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Envíos por Día (D09)</w:t>
            </w:r>
          </w:p>
        </w:tc>
        <w:tc>
          <w:tcPr>
            <w:tcW w:type="dxa" w:w="1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Barras por día de la semana</w:t>
            </w:r>
          </w:p>
        </w:tc>
        <w:tc>
          <w:tcPr>
            <w:tcW w:type="dxa" w:w="1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Mantener · Crear</w:t>
            </w:r>
          </w:p>
        </w:tc>
        <w:tc>
          <w:tcPr>
            <w:tcW w:type="dxa" w:w="1100"/>
            <w:shd w:fill="F7F9FB" w:val="clear"/>
            <w:tcMar>
              <w:top w:type="dxa" w:w="50"/>
              <w:left w:type="dxa" w:w="90"/>
              <w:bottom w:type="dxa" w:w="50"/>
              <w:right w:type="dxa" w:w="90"/>
            </w:tcMar>
          </w:tcPr>
          <w:p>
            <w:pPr>
              <w:spacing w:after="20"/>
            </w:pPr>
            <w:r>
              <w:rPr>
                <w:rFonts w:ascii="Calibri" w:cs="Calibri" w:eastAsia="Calibri" w:hAnsi="Calibri"/>
                <w:b/>
                <w:bCs/>
                <w:color w:val="B7791F"/>
                <w:sz w:val="17"/>
                <w:szCs w:val="17"/>
              </w:rPr>
              <w:t xml:space="preserve">◐  Madura al acumular</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workflows de reactivación/reabastecimiento rinden?</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Revenue y conversión por workflow (filtro por nombre)</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Audit (D04) · Push DS (D12)</w:t>
            </w:r>
          </w:p>
        </w:tc>
        <w:tc>
          <w:tcPr>
            <w:tcW w:type="dxa" w:w="1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Ranking filtrado + tendencia</w:t>
            </w:r>
          </w:p>
        </w:tc>
        <w:tc>
          <w:tcPr>
            <w:tcW w:type="dxa" w:w="1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Mantener · Detener</w:t>
            </w:r>
          </w:p>
        </w:tc>
        <w:tc>
          <w:tcPr>
            <w:tcW w:type="dxa" w:w="1100"/>
            <w:shd w:fill="FFFFFF"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bl>
    <w:p>
      <w:pPr>
        <w:spacing w:after="80"/>
      </w:pPr>
    </w:p>
    <w:p>
      <w:pPr>
        <w:pStyle w:val="Heading2"/>
        <w:spacing w:after="100" w:before="240"/>
      </w:pPr>
      <w:r>
        <w:rPr>
          <w:rFonts w:ascii="Calibri" w:cs="Calibri" w:eastAsia="Calibri" w:hAnsi="Calibri"/>
          <w:b/>
          <w:bCs/>
          <w:color w:val="2C7A7B"/>
          <w:sz w:val="26"/>
          <w:szCs w:val="26"/>
        </w:rPr>
        <w:t xml:space="preserve">6.3 · Modo Estratega — mensual</w:t>
      </w:r>
    </w:p>
    <w:p>
      <w:pPr>
        <w:spacing w:after="120" w:line="276"/>
        <w:jc w:val="left"/>
      </w:pPr>
      <w:r>
        <w:rPr>
          <w:rFonts w:ascii="Calibri" w:cs="Calibri" w:eastAsia="Calibri" w:hAnsi="Calibri"/>
          <w:color w:val="222831"/>
          <w:sz w:val="21"/>
          <w:szCs w:val="21"/>
        </w:rPr>
        <w:t xml:space="preserve">Dominante: ¿reasigno esfuerzo? ¿el mix y la retención son sanos? Decisiones de asignación y salud del negocio.</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2500"/>
        <w:gridCol w:w="1450"/>
        <w:gridCol w:w="1450"/>
        <w:gridCol w:w="1500"/>
        <w:gridCol w:w="1360"/>
        <w:gridCol w:w="1100"/>
      </w:tblGrid>
      <w:tr>
        <w:trPr>
          <w:tblHeader/>
        </w:trPr>
        <w:tc>
          <w:tcPr>
            <w:tcW w:type="dxa" w:w="25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Pregunta estratégica</w:t>
            </w:r>
          </w:p>
        </w:tc>
        <w:tc>
          <w:tcPr>
            <w:tcW w:type="dxa" w:w="145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KPI</w:t>
            </w:r>
          </w:p>
        </w:tc>
        <w:tc>
          <w:tcPr>
            <w:tcW w:type="dxa" w:w="145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Dataset(s)</w:t>
            </w:r>
          </w:p>
        </w:tc>
        <w:tc>
          <w:tcPr>
            <w:tcW w:type="dxa" w:w="15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Visualización</w:t>
            </w:r>
          </w:p>
        </w:tc>
        <w:tc>
          <w:tcPr>
            <w:tcW w:type="dxa" w:w="13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Acciones posibles</w:t>
            </w:r>
          </w:p>
        </w:tc>
        <w:tc>
          <w:tcPr>
            <w:tcW w:type="dxa" w:w="11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Dato</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¿Cómo evoluciona el revenue y qué lo impulsa?</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Revenue MoM/YoY, nº pedidos, ticket medio</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Ventas Diarias (D17)</w:t>
            </w:r>
          </w:p>
        </w:tc>
        <w:tc>
          <w:tcPr>
            <w:tcW w:type="dxa" w:w="1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Línea con selector + doble eje pedidos/ticket</w:t>
            </w:r>
          </w:p>
        </w:tc>
        <w:tc>
          <w:tcPr>
            <w:tcW w:type="dxa" w:w="1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Reasignar · Mantener</w:t>
            </w:r>
          </w:p>
        </w:tc>
        <w:tc>
          <w:tcPr>
            <w:tcW w:type="dxa" w:w="1100"/>
            <w:shd w:fill="FFFFFF"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¿Cómo cambia el mix de atribución por canal?</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 de compras por canal en el tiempo</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Ventas Diarias (D17)</w:t>
            </w:r>
          </w:p>
        </w:tc>
        <w:tc>
          <w:tcPr>
            <w:tcW w:type="dxa" w:w="1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Área apilada 100%</w:t>
            </w:r>
          </w:p>
        </w:tc>
        <w:tc>
          <w:tcPr>
            <w:tcW w:type="dxa" w:w="1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Reasignar</w:t>
            </w:r>
          </w:p>
        </w:tc>
        <w:tc>
          <w:tcPr>
            <w:tcW w:type="dxa" w:w="1100"/>
            <w:shd w:fill="F7F9FB"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¿Cuánto revenue es no atribuido (orgánico/directo)?</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Total − Σ atribuido</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Ventas Diarias (D17)</w:t>
            </w:r>
          </w:p>
        </w:tc>
        <w:tc>
          <w:tcPr>
            <w:tcW w:type="dxa" w:w="1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Waterfall + KPI de tendencia</w:t>
            </w:r>
          </w:p>
        </w:tc>
        <w:tc>
          <w:tcPr>
            <w:tcW w:type="dxa" w:w="1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 · Crear</w:t>
            </w:r>
          </w:p>
        </w:tc>
        <w:tc>
          <w:tcPr>
            <w:tcW w:type="dxa" w:w="1100"/>
            <w:shd w:fill="FFFFFF"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¿Dependemos de adquisición o retenemos?</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Mix primerizos vs. recurrentes</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Primerizos vs. Recurrentes (D14)</w:t>
            </w:r>
          </w:p>
        </w:tc>
        <w:tc>
          <w:tcPr>
            <w:tcW w:type="dxa" w:w="1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Área apilada 100%</w:t>
            </w:r>
          </w:p>
        </w:tc>
        <w:tc>
          <w:tcPr>
            <w:tcW w:type="dxa" w:w="1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Crear · Reasignar</w:t>
            </w:r>
          </w:p>
        </w:tc>
        <w:tc>
          <w:tcPr>
            <w:tcW w:type="dxa" w:w="1100"/>
            <w:shd w:fill="F7F9FB" w:val="clear"/>
            <w:tcMar>
              <w:top w:type="dxa" w:w="50"/>
              <w:left w:type="dxa" w:w="90"/>
              <w:bottom w:type="dxa" w:w="50"/>
              <w:right w:type="dxa" w:w="90"/>
            </w:tcMar>
          </w:tcPr>
          <w:p>
            <w:pPr>
              <w:spacing w:after="20"/>
            </w:pPr>
            <w:r>
              <w:rPr>
                <w:rFonts w:ascii="Calibri" w:cs="Calibri" w:eastAsia="Calibri" w:hAnsi="Calibri"/>
                <w:b/>
                <w:bCs/>
                <w:color w:val="B7791F"/>
                <w:sz w:val="17"/>
                <w:szCs w:val="17"/>
              </w:rPr>
              <w:t xml:space="preserve">◐  Madura al acumular</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¿Cómo está la salud de la base (churn neto)?</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Altas, bajas y neto mensual (email + push)</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Evolutivo suscritos (D11) · Evolución push (D10)</w:t>
            </w:r>
          </w:p>
        </w:tc>
        <w:tc>
          <w:tcPr>
            <w:tcW w:type="dxa" w:w="1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Waterfall de churn + línea de base</w:t>
            </w:r>
          </w:p>
        </w:tc>
        <w:tc>
          <w:tcPr>
            <w:tcW w:type="dxa" w:w="1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 · Mantener</w:t>
            </w:r>
          </w:p>
        </w:tc>
        <w:tc>
          <w:tcPr>
            <w:tcW w:type="dxa" w:w="1100"/>
            <w:shd w:fill="FFFFFF"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¿Qué segmentos crecen o decaen?</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Δ% de tamaño por segmento entre cortes</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Segmentos (D01)</w:t>
            </w:r>
          </w:p>
        </w:tc>
        <w:tc>
          <w:tcPr>
            <w:tcW w:type="dxa" w:w="1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Barras divergentes / heatmap segmento×mes</w:t>
            </w:r>
          </w:p>
        </w:tc>
        <w:tc>
          <w:tcPr>
            <w:tcW w:type="dxa" w:w="1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Crear · Reasignar</w:t>
            </w:r>
          </w:p>
        </w:tc>
        <w:tc>
          <w:tcPr>
            <w:tcW w:type="dxa" w:w="1100"/>
            <w:shd w:fill="F7F9FB" w:val="clear"/>
            <w:tcMar>
              <w:top w:type="dxa" w:w="50"/>
              <w:left w:type="dxa" w:w="90"/>
              <w:bottom w:type="dxa" w:w="50"/>
              <w:right w:type="dxa" w:w="90"/>
            </w:tcMar>
          </w:tcPr>
          <w:p>
            <w:pPr>
              <w:spacing w:after="20"/>
            </w:pPr>
            <w:r>
              <w:rPr>
                <w:rFonts w:ascii="Calibri" w:cs="Calibri" w:eastAsia="Calibri" w:hAnsi="Calibri"/>
                <w:b/>
                <w:bCs/>
                <w:color w:val="B7791F"/>
                <w:sz w:val="17"/>
                <w:szCs w:val="17"/>
              </w:rPr>
              <w:t xml:space="preserve">◐  Madura al acumular</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¿Cómo va la marca propia y su peso sobre el total?</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Revenue de marca y % sobre total</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Marca BVS (D19) · Ventas Diarias (D17)</w:t>
            </w:r>
          </w:p>
        </w:tc>
        <w:tc>
          <w:tcPr>
            <w:tcW w:type="dxa" w:w="1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Línea índice + área 100%</w:t>
            </w:r>
          </w:p>
        </w:tc>
        <w:tc>
          <w:tcPr>
            <w:tcW w:type="dxa" w:w="1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Mantener</w:t>
            </w:r>
          </w:p>
        </w:tc>
        <w:tc>
          <w:tcPr>
            <w:tcW w:type="dxa" w:w="1100"/>
            <w:shd w:fill="FFFFFF" w:val="clear"/>
            <w:tcMar>
              <w:top w:type="dxa" w:w="50"/>
              <w:left w:type="dxa" w:w="90"/>
              <w:bottom w:type="dxa" w:w="50"/>
              <w:right w:type="dxa" w:w="90"/>
            </w:tcMar>
          </w:tcPr>
          <w:p>
            <w:pPr>
              <w:spacing w:after="20"/>
            </w:pPr>
            <w:r>
              <w:rPr>
                <w:rFonts w:ascii="Calibri" w:cs="Calibri" w:eastAsia="Calibri" w:hAnsi="Calibri"/>
                <w:b/>
                <w:bCs/>
                <w:color w:val="B7791F"/>
                <w:sz w:val="17"/>
                <w:szCs w:val="17"/>
              </w:rPr>
              <w:t xml:space="preserve">◐  Madura al acumular</w:t>
            </w:r>
          </w:p>
        </w:tc>
      </w:tr>
    </w:tbl>
    <w:p>
      <w:pPr>
        <w:spacing w:after="80"/>
      </w:pPr>
    </w:p>
    <w:p>
      <w:pPr>
        <w:pStyle w:val="Heading2"/>
        <w:spacing w:after="100" w:before="240"/>
      </w:pPr>
      <w:r>
        <w:rPr>
          <w:rFonts w:ascii="Calibri" w:cs="Calibri" w:eastAsia="Calibri" w:hAnsi="Calibri"/>
          <w:b/>
          <w:bCs/>
          <w:color w:val="2C7A7B"/>
          <w:sz w:val="26"/>
          <w:szCs w:val="26"/>
        </w:rPr>
        <w:t xml:space="preserve">6.4 · Modo Dirección — trimestral</w:t>
      </w:r>
    </w:p>
    <w:p>
      <w:pPr>
        <w:spacing w:after="120" w:line="276"/>
        <w:jc w:val="left"/>
      </w:pPr>
      <w:r>
        <w:rPr>
          <w:rFonts w:ascii="Calibri" w:cs="Calibri" w:eastAsia="Calibri" w:hAnsi="Calibri"/>
          <w:color w:val="222831"/>
          <w:sz w:val="21"/>
          <w:szCs w:val="21"/>
        </w:rPr>
        <w:t xml:space="preserve">Dominante: ¿cumplo objetivo? ¿la marca funciona? ¿dónde invierto? Decisiones de alto nivel y riesgo estructural.</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2500"/>
        <w:gridCol w:w="1450"/>
        <w:gridCol w:w="1450"/>
        <w:gridCol w:w="1500"/>
        <w:gridCol w:w="1360"/>
        <w:gridCol w:w="1100"/>
      </w:tblGrid>
      <w:tr>
        <w:trPr>
          <w:tblHeader/>
        </w:trPr>
        <w:tc>
          <w:tcPr>
            <w:tcW w:type="dxa" w:w="25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Pregunta estratégica</w:t>
            </w:r>
          </w:p>
        </w:tc>
        <w:tc>
          <w:tcPr>
            <w:tcW w:type="dxa" w:w="145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KPI</w:t>
            </w:r>
          </w:p>
        </w:tc>
        <w:tc>
          <w:tcPr>
            <w:tcW w:type="dxa" w:w="145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Dataset(s)</w:t>
            </w:r>
          </w:p>
        </w:tc>
        <w:tc>
          <w:tcPr>
            <w:tcW w:type="dxa" w:w="15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Visualización</w:t>
            </w:r>
          </w:p>
        </w:tc>
        <w:tc>
          <w:tcPr>
            <w:tcW w:type="dxa" w:w="13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Acciones posibles</w:t>
            </w:r>
          </w:p>
        </w:tc>
        <w:tc>
          <w:tcPr>
            <w:tcW w:type="dxa" w:w="11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Dato</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¿Cumplimos el objetivo de revenue del trimestre?</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Revenue acumulado vs. objetivo</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Ventas Diarias (D17)</w:t>
            </w:r>
          </w:p>
        </w:tc>
        <w:tc>
          <w:tcPr>
            <w:tcW w:type="dxa" w:w="1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Bullet chart + waterfall por mes</w:t>
            </w:r>
          </w:p>
        </w:tc>
        <w:tc>
          <w:tcPr>
            <w:tcW w:type="dxa" w:w="1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Reasignar</w:t>
            </w:r>
          </w:p>
        </w:tc>
        <w:tc>
          <w:tcPr>
            <w:tcW w:type="dxa" w:w="1100"/>
            <w:shd w:fill="FFFFFF"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¿Cuál es el revenue proyectado y su rango de confianza?</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Forecast con banda P10/P50/P90</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Ventas Diarias (D17)</w:t>
            </w:r>
          </w:p>
        </w:tc>
        <w:tc>
          <w:tcPr>
            <w:tcW w:type="dxa" w:w="1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Línea + banda de confianza</w:t>
            </w:r>
          </w:p>
        </w:tc>
        <w:tc>
          <w:tcPr>
            <w:tcW w:type="dxa" w:w="1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Crear · Reasignar</w:t>
            </w:r>
          </w:p>
        </w:tc>
        <w:tc>
          <w:tcPr>
            <w:tcW w:type="dxa" w:w="1100"/>
            <w:shd w:fill="F7F9FB" w:val="clear"/>
            <w:tcMar>
              <w:top w:type="dxa" w:w="50"/>
              <w:left w:type="dxa" w:w="90"/>
              <w:bottom w:type="dxa" w:w="50"/>
              <w:right w:type="dxa" w:w="90"/>
            </w:tcMar>
          </w:tcPr>
          <w:p>
            <w:pPr>
              <w:spacing w:after="20"/>
            </w:pPr>
            <w:r>
              <w:rPr>
                <w:rFonts w:ascii="Calibri" w:cs="Calibri" w:eastAsia="Calibri" w:hAnsi="Calibri"/>
                <w:b/>
                <w:bCs/>
                <w:color w:val="2F855A"/>
                <w:sz w:val="17"/>
                <w:szCs w:val="17"/>
              </w:rPr>
              <w:t xml:space="preserve">●  Responde hoy</w:t>
            </w:r>
          </w:p>
        </w:tc>
      </w:tr>
      <w:tr>
        <w:tc>
          <w:tcPr>
            <w:tcW w:type="dxa" w:w="2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¿La marca propia progresa hacia su objetivo de peso?</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 marca propia proyectado vs. meta</w:t>
            </w:r>
          </w:p>
        </w:tc>
        <w:tc>
          <w:tcPr>
            <w:tcW w:type="dxa" w:w="145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Marca BVS (D19) · Ventas Diarias (D17)</w:t>
            </w:r>
          </w:p>
        </w:tc>
        <w:tc>
          <w:tcPr>
            <w:tcW w:type="dxa" w:w="15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Línea de proyección con umbral</w:t>
            </w:r>
          </w:p>
        </w:tc>
        <w:tc>
          <w:tcPr>
            <w:tcW w:type="dxa" w:w="13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Escalar · Mantener</w:t>
            </w:r>
          </w:p>
        </w:tc>
        <w:tc>
          <w:tcPr>
            <w:tcW w:type="dxa" w:w="1100"/>
            <w:shd w:fill="FFFFFF" w:val="clear"/>
            <w:tcMar>
              <w:top w:type="dxa" w:w="50"/>
              <w:left w:type="dxa" w:w="90"/>
              <w:bottom w:type="dxa" w:w="50"/>
              <w:right w:type="dxa" w:w="90"/>
            </w:tcMar>
          </w:tcPr>
          <w:p>
            <w:pPr>
              <w:spacing w:after="20"/>
            </w:pPr>
            <w:r>
              <w:rPr>
                <w:rFonts w:ascii="Calibri" w:cs="Calibri" w:eastAsia="Calibri" w:hAnsi="Calibri"/>
                <w:b/>
                <w:bCs/>
                <w:color w:val="B7791F"/>
                <w:sz w:val="17"/>
                <w:szCs w:val="17"/>
              </w:rPr>
              <w:t xml:space="preserve">◐  Madura al acumular</w:t>
            </w:r>
          </w:p>
        </w:tc>
      </w:tr>
      <w:tr>
        <w:tc>
          <w:tcPr>
            <w:tcW w:type="dxa" w:w="2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¿Dónde está el mayor riesgo estructural?</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Fuga de lista, dependencia de canal/segmento</w:t>
            </w:r>
          </w:p>
        </w:tc>
        <w:tc>
          <w:tcPr>
            <w:tcW w:type="dxa" w:w="145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D11 · D17 · Segmentos (D01)</w:t>
            </w:r>
          </w:p>
        </w:tc>
        <w:tc>
          <w:tcPr>
            <w:tcW w:type="dxa" w:w="15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Panel de riesgos tipo semáforo</w:t>
            </w:r>
          </w:p>
        </w:tc>
        <w:tc>
          <w:tcPr>
            <w:tcW w:type="dxa" w:w="13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Investigar · Reasignar</w:t>
            </w:r>
          </w:p>
        </w:tc>
        <w:tc>
          <w:tcPr>
            <w:tcW w:type="dxa" w:w="1100"/>
            <w:shd w:fill="F7F9FB" w:val="clear"/>
            <w:tcMar>
              <w:top w:type="dxa" w:w="50"/>
              <w:left w:type="dxa" w:w="90"/>
              <w:bottom w:type="dxa" w:w="50"/>
              <w:right w:type="dxa" w:w="90"/>
            </w:tcMar>
          </w:tcPr>
          <w:p>
            <w:pPr>
              <w:spacing w:after="20"/>
            </w:pPr>
            <w:r>
              <w:rPr>
                <w:rFonts w:ascii="Calibri" w:cs="Calibri" w:eastAsia="Calibri" w:hAnsi="Calibri"/>
                <w:b/>
                <w:bCs/>
                <w:color w:val="B7791F"/>
                <w:sz w:val="17"/>
                <w:szCs w:val="17"/>
              </w:rPr>
              <w:t xml:space="preserve">◐  Madura al acumular</w:t>
            </w:r>
          </w:p>
        </w:tc>
      </w:tr>
    </w:tbl>
    <w:p>
      <w:pPr>
        <w:spacing w:after="80"/>
      </w:pPr>
    </w:p>
    <w:p>
      <w:pPr>
        <w:pStyle w:val="Heading2"/>
        <w:spacing w:after="100" w:before="240"/>
      </w:pPr>
      <w:r>
        <w:rPr>
          <w:rFonts w:ascii="Calibri" w:cs="Calibri" w:eastAsia="Calibri" w:hAnsi="Calibri"/>
          <w:b/>
          <w:bCs/>
          <w:color w:val="2C7A7B"/>
          <w:sz w:val="26"/>
          <w:szCs w:val="26"/>
        </w:rPr>
        <w:t xml:space="preserve">6.5 · Preguntas conscientemente excluidas</w:t>
      </w:r>
    </w:p>
    <w:p>
      <w:pPr>
        <w:spacing w:after="120" w:line="276"/>
        <w:jc w:val="left"/>
      </w:pPr>
      <w:r>
        <w:rPr>
          <w:rFonts w:ascii="Calibri" w:cs="Calibri" w:eastAsia="Calibri" w:hAnsi="Calibri"/>
          <w:color w:val="222831"/>
          <w:sz w:val="21"/>
          <w:szCs w:val="21"/>
        </w:rPr>
        <w:t xml:space="preserve">Para mantener la integridad del sistema, estas preguntas —presentes en diseños anteriores— quedan fuera hasta que exista el dato que las sostiene. Documentarlas evita reintroducir humo.</w:t>
      </w:r>
    </w:p>
    <w:tbl>
      <w:tblPr>
        <w:tblW w:type="dxa" w:w="9360"/>
        <w:tblBorders>
          <w:top w:val="single" w:color="C9D2DC" w:sz="4"/>
          <w:left w:val="single" w:color="C9D2DC" w:sz="4"/>
          <w:bottom w:val="single" w:color="C9D2DC" w:sz="4"/>
          <w:right w:val="single" w:color="C9D2DC" w:sz="4"/>
          <w:insideH w:val="single" w:color="C9D2DC" w:sz="2"/>
          <w:insideV w:val="single" w:color="C9D2DC" w:sz="2"/>
        </w:tblBorders>
      </w:tblPr>
      <w:tblGrid>
        <w:gridCol w:w="3000"/>
        <w:gridCol w:w="3600"/>
        <w:gridCol w:w="2760"/>
      </w:tblGrid>
      <w:tr>
        <w:trPr>
          <w:tblHeader/>
        </w:trPr>
        <w:tc>
          <w:tcPr>
            <w:tcW w:type="dxa" w:w="30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Pregunta excluida</w:t>
            </w:r>
          </w:p>
        </w:tc>
        <w:tc>
          <w:tcPr>
            <w:tcW w:type="dxa" w:w="360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Motivo</w:t>
            </w:r>
          </w:p>
        </w:tc>
        <w:tc>
          <w:tcPr>
            <w:tcW w:type="dxa" w:w="2760"/>
            <w:shd w:fill="1F2A44"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Qué la desbloquearía</w:t>
            </w:r>
          </w:p>
        </w:tc>
      </w:tr>
      <w:tr>
        <w:tc>
          <w:tcPr>
            <w:tcW w:type="dxa" w:w="30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RFM calculado / scoring propio</w:t>
            </w:r>
          </w:p>
        </w:tc>
        <w:tc>
          <w:tcPr>
            <w:tcW w:type="dxa" w:w="36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Requiere fila por cliente (Contact ID)</w:t>
            </w:r>
          </w:p>
        </w:tc>
        <w:tc>
          <w:tcPr>
            <w:tcW w:type="dxa" w:w="2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Export a nivel contacto desde Connectif</w:t>
            </w:r>
          </w:p>
        </w:tc>
      </w:tr>
      <w:tr>
        <w:tc>
          <w:tcPr>
            <w:tcW w:type="dxa" w:w="30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CLV y cohortes de retención reales</w:t>
            </w:r>
          </w:p>
        </w:tc>
        <w:tc>
          <w:tcPr>
            <w:tcW w:type="dxa" w:w="36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Sin identidad de cliente no hay seguimiento</w:t>
            </w:r>
          </w:p>
        </w:tc>
        <w:tc>
          <w:tcPr>
            <w:tcW w:type="dxa" w:w="2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Modelo de datos a nivel individuo</w:t>
            </w:r>
          </w:p>
        </w:tc>
      </w:tr>
      <w:tr>
        <w:tc>
          <w:tcPr>
            <w:tcW w:type="dxa" w:w="30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Customer intelligence individual</w:t>
            </w:r>
          </w:p>
        </w:tc>
        <w:tc>
          <w:tcPr>
            <w:tcW w:type="dxa" w:w="360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“¿Quién es mi mejor cliente?”</w:t>
            </w:r>
          </w:p>
        </w:tc>
        <w:tc>
          <w:tcPr>
            <w:tcW w:type="dxa" w:w="2760"/>
            <w:shd w:fill="FFFFFF"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CDP o export de contactos</w:t>
            </w:r>
          </w:p>
        </w:tc>
      </w:tr>
      <w:tr>
        <w:tc>
          <w:tcPr>
            <w:tcW w:type="dxa" w:w="30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Ranking de categorías de producto</w:t>
            </w:r>
          </w:p>
        </w:tc>
        <w:tc>
          <w:tcPr>
            <w:tcW w:type="dxa" w:w="360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Solo existe una categoría con ventas propias</w:t>
            </w:r>
          </w:p>
        </w:tc>
        <w:tc>
          <w:tcPr>
            <w:tcW w:type="dxa" w:w="2760"/>
            <w:shd w:fill="F7F9FB" w:val="clear"/>
            <w:tcMar>
              <w:top w:type="dxa" w:w="50"/>
              <w:left w:type="dxa" w:w="90"/>
              <w:bottom w:type="dxa" w:w="50"/>
              <w:right w:type="dxa" w:w="90"/>
            </w:tcMar>
          </w:tcPr>
          <w:p>
            <w:pPr>
              <w:spacing w:after="20" w:line="240"/>
              <w:jc w:val="left"/>
            </w:pPr>
            <w:r>
              <w:rPr>
                <w:rFonts w:ascii="Calibri" w:cs="Calibri" w:eastAsia="Calibri" w:hAnsi="Calibri"/>
                <w:b w:val="false"/>
                <w:bCs w:val="false"/>
                <w:color w:val="222831"/>
                <w:sz w:val="18"/>
                <w:szCs w:val="18"/>
              </w:rPr>
              <w:t xml:space="preserve">Exportar más categorías / SKU</w:t>
            </w:r>
          </w:p>
        </w:tc>
      </w:tr>
    </w:tbl>
    <w:p>
      <w:pPr>
        <w:spacing w:after="80"/>
      </w:pPr>
    </w:p>
    <w:p>
      <w:pPr>
        <w:spacing w:after="120" w:line="276"/>
        <w:jc w:val="left"/>
      </w:pPr>
      <w:r>
        <w:rPr>
          <w:rFonts w:ascii="Calibri" w:cs="Calibri" w:eastAsia="Calibri" w:hAnsi="Calibri"/>
          <w:b/>
          <w:bCs/>
          <w:i w:val="false"/>
          <w:iCs w:val="false"/>
          <w:color w:val="222831"/>
          <w:sz w:val="21"/>
          <w:szCs w:val="21"/>
        </w:rPr>
        <w:t xml:space="preserve">Nota importante: </w:t>
      </w:r>
      <w:r>
        <w:rPr>
          <w:rFonts w:ascii="Calibri" w:cs="Calibri" w:eastAsia="Calibri" w:hAnsi="Calibri"/>
          <w:b w:val="false"/>
          <w:bCs w:val="false"/>
          <w:i w:val="false"/>
          <w:iCs w:val="false"/>
          <w:color w:val="222831"/>
          <w:sz w:val="21"/>
          <w:szCs w:val="21"/>
        </w:rPr>
        <w:t xml:space="preserve">la exclusión no es permanente. Es la aplicación de la puerta del dato. En cuanto una de estas fuentes exista, la pregunta correspondiente entra en el registro con su tarjeta ya diseñada.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BVS · Decision Support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C7A7B"/>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rPr>
        <w:b/>
        <w:bCs/>
        <w:color w:val="1F2A4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Decision Architecture</dc:title>
  <dc:creator>BVS Analytics</dc:creator>
  <cp:lastModifiedBy>Un-named</cp:lastModifiedBy>
  <cp:revision>1</cp:revision>
  <dcterms:created xsi:type="dcterms:W3CDTF">2026-07-09T10:40:18.690Z</dcterms:created>
  <dcterms:modified xsi:type="dcterms:W3CDTF">2026-07-09T10:40:18.690Z</dcterms:modified>
</cp:coreProperties>
</file>

<file path=docProps/custom.xml><?xml version="1.0" encoding="utf-8"?>
<Properties xmlns="http://schemas.openxmlformats.org/officeDocument/2006/custom-properties" xmlns:vt="http://schemas.openxmlformats.org/officeDocument/2006/docPropsVTypes"/>
</file>