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pPr>
      <w:r>
        <w:rPr>
          <w:rFonts w:ascii="Calibri" w:cs="Calibri" w:eastAsia="Calibri" w:hAnsi="Calibri"/>
          <w:b/>
          <w:bCs/>
          <w:caps/>
          <w:color w:val="2C7A7B"/>
          <w:sz w:val="22"/>
          <w:szCs w:val="22"/>
        </w:rPr>
        <w:t xml:space="preserve">Documento 2 de 3 · Rediseño del producto</w:t>
      </w:r>
    </w:p>
    <w:p>
      <w:pPr>
        <w:pBdr>
          <w:bottom w:val="single" w:color="2C7A7B" w:sz="12" w:space="4"/>
        </w:pBdr>
        <w:spacing w:after="60"/>
      </w:pPr>
    </w:p>
    <w:p>
      <w:pPr>
        <w:spacing w:after="80" w:before="120"/>
      </w:pPr>
      <w:r>
        <w:rPr>
          <w:rFonts w:ascii="Calibri" w:cs="Calibri" w:eastAsia="Calibri" w:hAnsi="Calibri"/>
          <w:b/>
          <w:bCs/>
          <w:color w:val="1F2A44"/>
          <w:sz w:val="52"/>
          <w:szCs w:val="52"/>
        </w:rPr>
        <w:t xml:space="preserve">Manual de Implementación</w:t>
      </w:r>
    </w:p>
    <w:p>
      <w:pPr>
        <w:spacing w:after="400"/>
      </w:pPr>
      <w:r>
        <w:rPr>
          <w:rFonts w:ascii="Calibri" w:cs="Calibri" w:eastAsia="Calibri" w:hAnsi="Calibri"/>
          <w:color w:val="425466"/>
          <w:sz w:val="26"/>
          <w:szCs w:val="26"/>
        </w:rPr>
        <w:t xml:space="preserve">El plano maestro del BVS Decision Support System</w:t>
      </w:r>
    </w:p>
    <w:p>
      <w:pPr>
        <w:spacing w:after="40"/>
      </w:pPr>
      <w:r>
        <w:rPr>
          <w:rFonts w:ascii="Calibri" w:cs="Calibri" w:eastAsia="Calibri" w:hAnsi="Calibri"/>
          <w:b/>
          <w:bCs/>
          <w:color w:val="1F2A44"/>
          <w:sz w:val="20"/>
          <w:szCs w:val="20"/>
        </w:rPr>
        <w:t xml:space="preserve">Relación   </w:t>
      </w:r>
      <w:r>
        <w:rPr>
          <w:rFonts w:ascii="Calibri" w:cs="Calibri" w:eastAsia="Calibri" w:hAnsi="Calibri"/>
          <w:color w:val="425466"/>
          <w:sz w:val="20"/>
          <w:szCs w:val="20"/>
        </w:rPr>
        <w:t xml:space="preserve">Materialización visual de la Business Decision Architecture (Doc. 1)</w:t>
      </w:r>
    </w:p>
    <w:p>
      <w:pPr>
        <w:spacing w:after="40"/>
      </w:pPr>
      <w:r>
        <w:rPr>
          <w:rFonts w:ascii="Calibri" w:cs="Calibri" w:eastAsia="Calibri" w:hAnsi="Calibri"/>
          <w:b/>
          <w:bCs/>
          <w:color w:val="1F2A44"/>
          <w:sz w:val="20"/>
          <w:szCs w:val="20"/>
        </w:rPr>
        <w:t xml:space="preserve">Alcance   </w:t>
      </w:r>
      <w:r>
        <w:rPr>
          <w:rFonts w:ascii="Calibri" w:cs="Calibri" w:eastAsia="Calibri" w:hAnsi="Calibri"/>
          <w:color w:val="425466"/>
          <w:sz w:val="20"/>
          <w:szCs w:val="20"/>
        </w:rPr>
        <w:t xml:space="preserve">Navegación, módulos, orden de lectura, storytelling y componentes</w:t>
      </w:r>
    </w:p>
    <w:p>
      <w:pPr>
        <w:spacing w:after="40"/>
      </w:pPr>
      <w:r>
        <w:rPr>
          <w:rFonts w:ascii="Calibri" w:cs="Calibri" w:eastAsia="Calibri" w:hAnsi="Calibri"/>
          <w:b/>
          <w:bCs/>
          <w:color w:val="1F2A44"/>
          <w:sz w:val="20"/>
          <w:szCs w:val="20"/>
        </w:rPr>
        <w:t xml:space="preserve">Restricción   </w:t>
      </w:r>
      <w:r>
        <w:rPr>
          <w:rFonts w:ascii="Calibri" w:cs="Calibri" w:eastAsia="Calibri" w:hAnsi="Calibri"/>
          <w:color w:val="425466"/>
          <w:sz w:val="20"/>
          <w:szCs w:val="20"/>
        </w:rPr>
        <w:t xml:space="preserve">Dashboard read-only · React + Supabase · sin escritura desde el frontend</w:t>
      </w:r>
    </w:p>
    <w:p>
      <w:pPr>
        <w:spacing w:after="40"/>
      </w:pPr>
      <w:r>
        <w:rPr>
          <w:rFonts w:ascii="Calibri" w:cs="Calibri" w:eastAsia="Calibri" w:hAnsi="Calibri"/>
          <w:b/>
          <w:bCs/>
          <w:color w:val="1F2A44"/>
          <w:sz w:val="20"/>
          <w:szCs w:val="20"/>
        </w:rPr>
        <w:t xml:space="preserve">Fecha   </w:t>
      </w:r>
      <w:r>
        <w:rPr>
          <w:rFonts w:ascii="Calibri" w:cs="Calibri" w:eastAsia="Calibri" w:hAnsi="Calibri"/>
          <w:color w:val="425466"/>
          <w:sz w:val="20"/>
          <w:szCs w:val="20"/>
        </w:rPr>
        <w:t xml:space="preserve">Julio 2026</w:t>
      </w:r>
    </w:p>
    <w:p>
      <w:r>
        <w:br w:type="page"/>
      </w:r>
    </w:p>
    <w:p>
      <w:pPr>
        <w:pStyle w:val="Heading1"/>
        <w:spacing w:after="120"/>
      </w:pPr>
      <w:r>
        <w:rPr>
          <w:rFonts w:ascii="Calibri" w:cs="Calibri" w:eastAsia="Calibri" w:hAnsi="Calibri"/>
          <w:b/>
          <w:bCs/>
          <w:color w:val="1F2A44"/>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2A44"/>
          <w:sz w:val="30"/>
          <w:szCs w:val="30"/>
        </w:rPr>
        <w:t xml:space="preserve">1 · De la arquitectura de decisión a la interfaz</w:t>
      </w:r>
    </w:p>
    <w:p>
      <w:pPr>
        <w:spacing w:after="160" w:line="288"/>
      </w:pPr>
      <w:r>
        <w:rPr>
          <w:rFonts w:ascii="Calibri" w:cs="Calibri" w:eastAsia="Calibri" w:hAnsi="Calibri"/>
          <w:i/>
          <w:iCs/>
          <w:color w:val="425466"/>
          <w:sz w:val="22"/>
          <w:szCs w:val="22"/>
        </w:rPr>
        <w:t xml:space="preserve">Este documento no es una lista de gráficos. Es el plano de cómo la Business Decision Architecture se convierte en pantallas que un decisor recorre en el orden en que realmente decide.</w:t>
      </w:r>
    </w:p>
    <w:p>
      <w:pPr>
        <w:spacing w:after="120" w:line="276"/>
        <w:jc w:val="left"/>
      </w:pPr>
      <w:r>
        <w:rPr>
          <w:rFonts w:ascii="Calibri" w:cs="Calibri" w:eastAsia="Calibri" w:hAnsi="Calibri"/>
          <w:color w:val="222831"/>
          <w:sz w:val="21"/>
          <w:szCs w:val="21"/>
        </w:rPr>
        <w:t xml:space="preserve">El principio de traducción es directo: cada modo de decisión (Pulso, Operador, Estratega, Dirección) es una pantalla; cada pregunta admitida del Registro de Decisiones es una Tarjeta de Evidencia dentro de esa pantalla; y el orden vertical de las tarjetas es un flujo narrativo que va de “¿qué pasa?” a “¿qué hago?”.</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2800"/>
        <w:gridCol w:w="3200"/>
        <w:gridCol w:w="3360"/>
      </w:tblGrid>
      <w:tr>
        <w:trPr>
          <w:tblHeader/>
        </w:trPr>
        <w:tc>
          <w:tcPr>
            <w:tcW w:type="dxa" w:w="28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Concepto del Doc. 1</w:t>
            </w:r>
          </w:p>
        </w:tc>
        <w:tc>
          <w:tcPr>
            <w:tcW w:type="dxa" w:w="32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Se materializa como</w:t>
            </w:r>
          </w:p>
        </w:tc>
        <w:tc>
          <w:tcPr>
            <w:tcW w:type="dxa" w:w="33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En la interfaz</w:t>
            </w:r>
          </w:p>
        </w:tc>
      </w:tr>
      <w:tr>
        <w:tc>
          <w:tcPr>
            <w:tcW w:type="dxa" w:w="28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Modo de decisión</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Pantalla / sección de nivel superior</w:t>
            </w:r>
          </w:p>
        </w:tc>
        <w:tc>
          <w:tcPr>
            <w:tcW w:type="dxa" w:w="3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Entrada del menú principal</w:t>
            </w:r>
          </w:p>
        </w:tc>
      </w:tr>
      <w:tr>
        <w:tc>
          <w:tcPr>
            <w:tcW w:type="dxa" w:w="28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Pregunta de negocio</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Tarjeta de Evidencia</w:t>
            </w:r>
          </w:p>
        </w:tc>
        <w:tc>
          <w:tcPr>
            <w:tcW w:type="dxa" w:w="3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Bloque con anatomía fija</w:t>
            </w:r>
          </w:p>
        </w:tc>
      </w:tr>
      <w:tr>
        <w:tc>
          <w:tcPr>
            <w:tcW w:type="dxa" w:w="28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Capas cognitivas</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Orden interno de la tarjeta</w:t>
            </w:r>
          </w:p>
        </w:tc>
        <w:tc>
          <w:tcPr>
            <w:tcW w:type="dxa" w:w="3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Respuesta → contexto → evidencia → acciones</w:t>
            </w:r>
          </w:p>
        </w:tc>
      </w:tr>
      <w:tr>
        <w:tc>
          <w:tcPr>
            <w:tcW w:type="dxa" w:w="28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Puerta del dato</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Badge de madurez</w:t>
            </w:r>
          </w:p>
        </w:tc>
        <w:tc>
          <w:tcPr>
            <w:tcW w:type="dxa" w:w="3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Chip ● / ◐ / ○ en la esquina de la tarjeta</w:t>
            </w:r>
          </w:p>
        </w:tc>
      </w:tr>
      <w:tr>
        <w:tc>
          <w:tcPr>
            <w:tcW w:type="dxa" w:w="28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Motor de señales</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Cinta de alertas priorizadas</w:t>
            </w:r>
          </w:p>
        </w:tc>
        <w:tc>
          <w:tcPr>
            <w:tcW w:type="dxa" w:w="3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Franja superior del modo Pulso y Operador</w:t>
            </w:r>
          </w:p>
        </w:tc>
      </w:tr>
      <w:tr>
        <w:tc>
          <w:tcPr>
            <w:tcW w:type="dxa" w:w="28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Prioridad</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Orden de aparición y color del borde</w:t>
            </w:r>
          </w:p>
        </w:tc>
        <w:tc>
          <w:tcPr>
            <w:tcW w:type="dxa" w:w="3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Las tarjetas con acción urgente suben</w:t>
            </w:r>
          </w:p>
        </w:tc>
      </w:tr>
    </w:tbl>
    <w:p>
      <w:pPr>
        <w:pStyle w:val="Heading1"/>
        <w:spacing w:after="140" w:before="320"/>
      </w:pPr>
      <w:r>
        <w:rPr>
          <w:rFonts w:ascii="Calibri" w:cs="Calibri" w:eastAsia="Calibri" w:hAnsi="Calibri"/>
          <w:b/>
          <w:bCs/>
          <w:color w:val="1F2A44"/>
          <w:sz w:val="30"/>
          <w:szCs w:val="30"/>
        </w:rPr>
        <w:t xml:space="preserve">2 · Principios de interfaz</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Una pantalla = un modo = una cadencia. </w:t>
      </w:r>
      <w:r>
        <w:rPr>
          <w:rFonts w:ascii="Calibri" w:cs="Calibri" w:eastAsia="Calibri" w:hAnsi="Calibri"/>
          <w:b w:val="false"/>
          <w:bCs w:val="false"/>
          <w:i w:val="false"/>
          <w:iCs w:val="false"/>
          <w:color w:val="222831"/>
          <w:sz w:val="21"/>
          <w:szCs w:val="21"/>
        </w:rPr>
        <w:t xml:space="preserve">El usuario elige el sombrero, no el dataset. Nunca hay un menú “Email / Push / Segmentos”.</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La tarjeta es el átomo visual. </w:t>
      </w:r>
      <w:r>
        <w:rPr>
          <w:rFonts w:ascii="Calibri" w:cs="Calibri" w:eastAsia="Calibri" w:hAnsi="Calibri"/>
          <w:b w:val="false"/>
          <w:bCs w:val="false"/>
          <w:i w:val="false"/>
          <w:iCs w:val="false"/>
          <w:color w:val="222831"/>
          <w:sz w:val="21"/>
          <w:szCs w:val="21"/>
        </w:rPr>
        <w:t xml:space="preserve">Todo lo que se muestra vive dentro de una Tarjeta de Evidencia con su fila de acciones obligatoria.</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Respuesta antes que gráfico. </w:t>
      </w:r>
      <w:r>
        <w:rPr>
          <w:rFonts w:ascii="Calibri" w:cs="Calibri" w:eastAsia="Calibri" w:hAnsi="Calibri"/>
          <w:b w:val="false"/>
          <w:bCs w:val="false"/>
          <w:i w:val="false"/>
          <w:iCs w:val="false"/>
          <w:color w:val="222831"/>
          <w:sz w:val="21"/>
          <w:szCs w:val="21"/>
        </w:rPr>
        <w:t xml:space="preserve">Cada tarjeta abre con la respuesta en texto/número; el gráfico es la justificación, no el protagonista.</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Honestidad visible. </w:t>
      </w:r>
      <w:r>
        <w:rPr>
          <w:rFonts w:ascii="Calibri" w:cs="Calibri" w:eastAsia="Calibri" w:hAnsi="Calibri"/>
          <w:b w:val="false"/>
          <w:bCs w:val="false"/>
          <w:i w:val="false"/>
          <w:iCs w:val="false"/>
          <w:color w:val="222831"/>
          <w:sz w:val="21"/>
          <w:szCs w:val="21"/>
        </w:rPr>
        <w:t xml:space="preserve">El badge de madurez es siempre visible; una tarjeta ◐ muestra su gráfico atenuado y una nota de “madura en …”.</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Menos es más. </w:t>
      </w:r>
      <w:r>
        <w:rPr>
          <w:rFonts w:ascii="Calibri" w:cs="Calibri" w:eastAsia="Calibri" w:hAnsi="Calibri"/>
          <w:b w:val="false"/>
          <w:bCs w:val="false"/>
          <w:i w:val="false"/>
          <w:iCs w:val="false"/>
          <w:color w:val="222831"/>
          <w:sz w:val="21"/>
          <w:szCs w:val="21"/>
        </w:rPr>
        <w:t xml:space="preserve">Si una tarjeta no cambia una decisión, se elimina. La densidad se gana con jerarquía, no con más gráficos.</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Lectura descendente. </w:t>
      </w:r>
      <w:r>
        <w:rPr>
          <w:rFonts w:ascii="Calibri" w:cs="Calibri" w:eastAsia="Calibri" w:hAnsi="Calibri"/>
          <w:b w:val="false"/>
          <w:bCs w:val="false"/>
          <w:i w:val="false"/>
          <w:iCs w:val="false"/>
          <w:color w:val="222831"/>
          <w:sz w:val="21"/>
          <w:szCs w:val="21"/>
        </w:rPr>
        <w:t xml:space="preserve">El orden vertical cuenta una historia: estado → causa → anticipación → acción.</w:t>
      </w:r>
    </w:p>
    <w:p>
      <w:pPr>
        <w:pStyle w:val="Heading1"/>
        <w:spacing w:after="140" w:before="320"/>
      </w:pPr>
      <w:r>
        <w:rPr>
          <w:rFonts w:ascii="Calibri" w:cs="Calibri" w:eastAsia="Calibri" w:hAnsi="Calibri"/>
          <w:b/>
          <w:bCs/>
          <w:color w:val="1F2A44"/>
          <w:sz w:val="30"/>
          <w:szCs w:val="30"/>
        </w:rPr>
        <w:t xml:space="preserve">3 · Navegación global</w:t>
      </w:r>
    </w:p>
    <w:p>
      <w:pPr>
        <w:spacing w:after="120" w:line="276"/>
        <w:jc w:val="left"/>
      </w:pPr>
      <w:r>
        <w:rPr>
          <w:rFonts w:ascii="Calibri" w:cs="Calibri" w:eastAsia="Calibri" w:hAnsi="Calibri"/>
          <w:color w:val="222831"/>
          <w:sz w:val="21"/>
          <w:szCs w:val="21"/>
        </w:rPr>
        <w:t xml:space="preserve">La navegación principal tiene cuatro entradas —los cuatro modos— más una quinta de exploración. No hay entradas por origen de dato. El orden del menú va de la cadencia más alta (diaria) a la más baja (trimestral), que es también el orden natural de uso.</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900"/>
        <w:gridCol w:w="2600"/>
        <w:gridCol w:w="2200"/>
        <w:gridCol w:w="3660"/>
      </w:tblGrid>
      <w:tr>
        <w:trPr>
          <w:tblHeader/>
        </w:trPr>
        <w:tc>
          <w:tcPr>
            <w:tcW w:type="dxa" w:w="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Orden</w:t>
            </w:r>
          </w:p>
        </w:tc>
        <w:tc>
          <w:tcPr>
            <w:tcW w:type="dxa" w:w="26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Entrada</w:t>
            </w:r>
          </w:p>
        </w:tc>
        <w:tc>
          <w:tcPr>
            <w:tcW w:type="dxa" w:w="22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Cadencia</w:t>
            </w:r>
          </w:p>
        </w:tc>
        <w:tc>
          <w:tcPr>
            <w:tcW w:type="dxa" w:w="36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Rol en el producto</w:t>
            </w:r>
          </w:p>
        </w:tc>
      </w:tr>
      <w:tr>
        <w:tc>
          <w:tcPr>
            <w:tcW w:type="dxa" w:w="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1</w:t>
            </w:r>
          </w:p>
        </w:tc>
        <w:tc>
          <w:tcPr>
            <w:tcW w:type="dxa" w:w="26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Pulso</w:t>
            </w:r>
          </w:p>
        </w:tc>
        <w:tc>
          <w:tcPr>
            <w:tcW w:type="dxa" w:w="2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Diaria · 2 min</w:t>
            </w:r>
          </w:p>
        </w:tc>
        <w:tc>
          <w:tcPr>
            <w:tcW w:type="dxa" w:w="36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Home por defecto. Detección de roturas.</w:t>
            </w:r>
          </w:p>
        </w:tc>
      </w:tr>
      <w:tr>
        <w:tc>
          <w:tcPr>
            <w:tcW w:type="dxa" w:w="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2</w:t>
            </w:r>
          </w:p>
        </w:tc>
        <w:tc>
          <w:tcPr>
            <w:tcW w:type="dxa" w:w="26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Operador</w:t>
            </w:r>
          </w:p>
        </w:tc>
        <w:tc>
          <w:tcPr>
            <w:tcW w:type="dxa" w:w="2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Semanal · 20 min</w:t>
            </w:r>
          </w:p>
        </w:tc>
        <w:tc>
          <w:tcPr>
            <w:tcW w:type="dxa" w:w="36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Decisiones tácticas de marketing y automatización.</w:t>
            </w:r>
          </w:p>
        </w:tc>
      </w:tr>
      <w:tr>
        <w:tc>
          <w:tcPr>
            <w:tcW w:type="dxa" w:w="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3</w:t>
            </w:r>
          </w:p>
        </w:tc>
        <w:tc>
          <w:tcPr>
            <w:tcW w:type="dxa" w:w="26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Estratega</w:t>
            </w:r>
          </w:p>
        </w:tc>
        <w:tc>
          <w:tcPr>
            <w:tcW w:type="dxa" w:w="2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Mensual · 1 h</w:t>
            </w:r>
          </w:p>
        </w:tc>
        <w:tc>
          <w:tcPr>
            <w:tcW w:type="dxa" w:w="36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Asignación de esfuerzo y salud del negocio.</w:t>
            </w:r>
          </w:p>
        </w:tc>
      </w:tr>
      <w:tr>
        <w:tc>
          <w:tcPr>
            <w:tcW w:type="dxa" w:w="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4</w:t>
            </w:r>
          </w:p>
        </w:tc>
        <w:tc>
          <w:tcPr>
            <w:tcW w:type="dxa" w:w="26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Dirección</w:t>
            </w:r>
          </w:p>
        </w:tc>
        <w:tc>
          <w:tcPr>
            <w:tcW w:type="dxa" w:w="2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Trimestral</w:t>
            </w:r>
          </w:p>
        </w:tc>
        <w:tc>
          <w:tcPr>
            <w:tcW w:type="dxa" w:w="36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Objetivos, marca, riesgo, inversión.</w:t>
            </w:r>
          </w:p>
        </w:tc>
      </w:tr>
      <w:tr>
        <w:tc>
          <w:tcPr>
            <w:tcW w:type="dxa" w:w="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5</w:t>
            </w:r>
          </w:p>
        </w:tc>
        <w:tc>
          <w:tcPr>
            <w:tcW w:type="dxa" w:w="26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Biblioteca de evidencia</w:t>
            </w:r>
          </w:p>
        </w:tc>
        <w:tc>
          <w:tcPr>
            <w:tcW w:type="dxa" w:w="2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Bajo demanda</w:t>
            </w:r>
          </w:p>
        </w:tc>
        <w:tc>
          <w:tcPr>
            <w:tcW w:type="dxa" w:w="36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Exploración libre de datasets crudos (secundario).</w:t>
            </w:r>
          </w:p>
        </w:tc>
      </w:tr>
    </w:tbl>
    <w:p>
      <w:pPr>
        <w:spacing w:after="80"/>
      </w:pPr>
    </w:p>
    <w:tbl>
      <w:tblPr>
        <w:tblW w:type="pct" w:w="100%"/>
        <w:tblBorders>
          <w:top w:val="single" w:color="2C7A7B" w:sz="2"/>
          <w:left w:val="single" w:color="2C7A7B" w:sz="18"/>
          <w:bottom w:val="single" w:color="2C7A7B" w:sz="2"/>
          <w:right w:val="single" w:color="2C7A7B" w:sz="2"/>
          <w:insideH w:val="none"/>
          <w:insideV w:val="none"/>
        </w:tblBorders>
      </w:tblPr>
      <w:tblGrid>
        <w:gridCol w:w="9360"/>
      </w:tblGrid>
      <w:tr>
        <w:tc>
          <w:tcPr>
            <w:tcW w:type="dxa" w:w="9360"/>
            <w:shd w:fill="F4F8F8" w:val="clear"/>
            <w:tcMar>
              <w:top w:type="dxa" w:w="100"/>
              <w:left w:type="dxa" w:w="160"/>
              <w:bottom w:type="dxa" w:w="100"/>
              <w:right w:type="dxa" w:w="160"/>
            </w:tcMar>
          </w:tcPr>
          <w:p>
            <w:pPr>
              <w:spacing w:after="60"/>
            </w:pPr>
            <w:r>
              <w:rPr>
                <w:rFonts w:ascii="Calibri" w:cs="Calibri" w:eastAsia="Calibri" w:hAnsi="Calibri"/>
                <w:b/>
                <w:bCs/>
                <w:color w:val="2C7A7B"/>
                <w:sz w:val="21"/>
                <w:szCs w:val="21"/>
              </w:rPr>
              <w:t xml:space="preserve">Por qué el Pulso es el home</w:t>
            </w:r>
          </w:p>
          <w:p>
            <w:pPr>
              <w:spacing w:after="40"/>
            </w:pPr>
            <w:r>
              <w:rPr>
                <w:rFonts w:ascii="Calibri" w:cs="Calibri" w:eastAsia="Calibri" w:hAnsi="Calibri"/>
                <w:color w:val="2D3748"/>
                <w:sz w:val="20"/>
                <w:szCs w:val="20"/>
              </w:rPr>
              <w:t xml:space="preserve">El primer contacto diario debe responder “¿está todo bien?” en segundos. Si no hay alertas, el usuario cierra tranquilo. Si las hay, ya está en el punto de entrada correcto.</w:t>
            </w:r>
          </w:p>
          <w:p>
            <w:pPr>
              <w:spacing w:after="40"/>
            </w:pPr>
            <w:r>
              <w:rPr>
                <w:rFonts w:ascii="Calibri" w:cs="Calibri" w:eastAsia="Calibri" w:hAnsi="Calibri"/>
                <w:color w:val="2D3748"/>
                <w:sz w:val="20"/>
                <w:szCs w:val="20"/>
              </w:rPr>
              <w:t xml:space="preserve">Esto invierte el patrón clásico (abrir en un revenue chart mensual) por uno orientado a la acción diaria.</w:t>
            </w:r>
          </w:p>
        </w:tc>
      </w:tr>
    </w:tbl>
    <w:p>
      <w:pPr>
        <w:pStyle w:val="Heading1"/>
        <w:spacing w:after="140" w:before="320"/>
      </w:pPr>
      <w:r>
        <w:rPr>
          <w:rFonts w:ascii="Calibri" w:cs="Calibri" w:eastAsia="Calibri" w:hAnsi="Calibri"/>
          <w:b/>
          <w:bCs/>
          <w:color w:val="1F2A44"/>
          <w:sz w:val="30"/>
          <w:szCs w:val="30"/>
        </w:rPr>
        <w:t xml:space="preserve">4 · La Tarjeta de Evidencia como componente</w:t>
      </w:r>
    </w:p>
    <w:p>
      <w:pPr>
        <w:spacing w:after="120" w:line="276"/>
        <w:jc w:val="left"/>
      </w:pPr>
      <w:r>
        <w:rPr>
          <w:rFonts w:ascii="Calibri" w:cs="Calibri" w:eastAsia="Calibri" w:hAnsi="Calibri"/>
          <w:color w:val="222831"/>
          <w:sz w:val="21"/>
          <w:szCs w:val="21"/>
        </w:rPr>
        <w:t xml:space="preserve">Es el componente reutilizable central de todo el producto. Su anatomía es fija; lo único que cambia entre tarjetas es la fila “Evidencia” (el tipo de gráfico) y el contenido.</w:t>
      </w:r>
    </w:p>
    <w:p>
      <w:pPr>
        <w:pStyle w:val="Heading2"/>
        <w:spacing w:after="100" w:before="240"/>
      </w:pPr>
      <w:r>
        <w:rPr>
          <w:rFonts w:ascii="Calibri" w:cs="Calibri" w:eastAsia="Calibri" w:hAnsi="Calibri"/>
          <w:b/>
          <w:bCs/>
          <w:color w:val="2C7A7B"/>
          <w:sz w:val="26"/>
          <w:szCs w:val="26"/>
        </w:rPr>
        <w:t xml:space="preserve">4.1 · Anatomía</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1700"/>
        <w:gridCol w:w="4000"/>
        <w:gridCol w:w="3660"/>
      </w:tblGrid>
      <w:tr>
        <w:trPr>
          <w:tblHeader/>
        </w:trPr>
        <w:tc>
          <w:tcPr>
            <w:tcW w:type="dxa" w:w="17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Zona</w:t>
            </w:r>
          </w:p>
        </w:tc>
        <w:tc>
          <w:tcPr>
            <w:tcW w:type="dxa" w:w="40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Contenido</w:t>
            </w:r>
          </w:p>
        </w:tc>
        <w:tc>
          <w:tcPr>
            <w:tcW w:type="dxa" w:w="36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Nota de diseño</w:t>
            </w:r>
          </w:p>
        </w:tc>
      </w:tr>
      <w:tr>
        <w:tc>
          <w:tcPr>
            <w:tcW w:type="dxa" w:w="17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Cabecera</w:t>
            </w:r>
          </w:p>
        </w:tc>
        <w:tc>
          <w:tcPr>
            <w:tcW w:type="dxa" w:w="40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Pregunta + badge de madurez + badge de prioridad</w:t>
            </w:r>
          </w:p>
        </w:tc>
        <w:tc>
          <w:tcPr>
            <w:tcW w:type="dxa" w:w="36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La pregunta se lee como frase, no como título de métrica.</w:t>
            </w:r>
          </w:p>
        </w:tc>
      </w:tr>
      <w:tr>
        <w:tc>
          <w:tcPr>
            <w:tcW w:type="dxa" w:w="17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Respuesta</w:t>
            </w:r>
          </w:p>
        </w:tc>
        <w:tc>
          <w:tcPr>
            <w:tcW w:type="dxa" w:w="40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Frase o número que responde directamente</w:t>
            </w:r>
          </w:p>
        </w:tc>
        <w:tc>
          <w:tcPr>
            <w:tcW w:type="dxa" w:w="36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Tipografía grande; es lo primero que se lee.</w:t>
            </w:r>
          </w:p>
        </w:tc>
      </w:tr>
      <w:tr>
        <w:tc>
          <w:tcPr>
            <w:tcW w:type="dxa" w:w="17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Contexto</w:t>
            </w:r>
          </w:p>
        </w:tc>
        <w:tc>
          <w:tcPr>
            <w:tcW w:type="dxa" w:w="40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Δ vs. periodo anterior / objetivo / baseline</w:t>
            </w:r>
          </w:p>
        </w:tc>
        <w:tc>
          <w:tcPr>
            <w:tcW w:type="dxa" w:w="36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Color semántico (verde/rojo) según dirección deseada.</w:t>
            </w:r>
          </w:p>
        </w:tc>
      </w:tr>
      <w:tr>
        <w:tc>
          <w:tcPr>
            <w:tcW w:type="dxa" w:w="17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Evidencia</w:t>
            </w:r>
          </w:p>
        </w:tc>
        <w:tc>
          <w:tcPr>
            <w:tcW w:type="dxa" w:w="40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La visualización mínima suficiente</w:t>
            </w:r>
          </w:p>
        </w:tc>
        <w:tc>
          <w:tcPr>
            <w:tcW w:type="dxa" w:w="36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Un solo gráfico por tarjeta salvo comparación pareada.</w:t>
            </w:r>
          </w:p>
        </w:tc>
      </w:tr>
      <w:tr>
        <w:tc>
          <w:tcPr>
            <w:tcW w:type="dxa" w:w="17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Posibles acciones</w:t>
            </w:r>
          </w:p>
        </w:tc>
        <w:tc>
          <w:tcPr>
            <w:tcW w:type="dxa" w:w="40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Verbo(s) + racional heurístico</w:t>
            </w:r>
          </w:p>
        </w:tc>
        <w:tc>
          <w:tcPr>
            <w:tcW w:type="dxa" w:w="36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Obligatoria. Botón/etiqueta por verbo (Detener, Escalar…).</w:t>
            </w:r>
          </w:p>
        </w:tc>
      </w:tr>
    </w:tbl>
    <w:p>
      <w:pPr>
        <w:spacing w:after="80"/>
      </w:pPr>
    </w:p>
    <w:p>
      <w:pPr>
        <w:pStyle w:val="Heading2"/>
        <w:spacing w:after="100" w:before="240"/>
      </w:pPr>
      <w:r>
        <w:rPr>
          <w:rFonts w:ascii="Calibri" w:cs="Calibri" w:eastAsia="Calibri" w:hAnsi="Calibri"/>
          <w:b/>
          <w:bCs/>
          <w:color w:val="2C7A7B"/>
          <w:sz w:val="26"/>
          <w:szCs w:val="26"/>
        </w:rPr>
        <w:t xml:space="preserve">4.2 · Estados de la tarjeta</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 Activa (verde): </w:t>
      </w:r>
      <w:r>
        <w:rPr>
          <w:rFonts w:ascii="Calibri" w:cs="Calibri" w:eastAsia="Calibri" w:hAnsi="Calibri"/>
          <w:b w:val="false"/>
          <w:bCs w:val="false"/>
          <w:i w:val="false"/>
          <w:iCs w:val="false"/>
          <w:color w:val="222831"/>
          <w:sz w:val="21"/>
          <w:szCs w:val="21"/>
        </w:rPr>
        <w:t xml:space="preserve">dato maduro; tarjeta plenamente funcional.</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 Madurando (ámbar): </w:t>
      </w:r>
      <w:r>
        <w:rPr>
          <w:rFonts w:ascii="Calibri" w:cs="Calibri" w:eastAsia="Calibri" w:hAnsi="Calibri"/>
          <w:b w:val="false"/>
          <w:bCs w:val="false"/>
          <w:i w:val="false"/>
          <w:iCs w:val="false"/>
          <w:color w:val="222831"/>
          <w:sz w:val="21"/>
          <w:szCs w:val="21"/>
        </w:rPr>
        <w:t xml:space="preserve">se muestra con gráfico atenuado + nota “profundidad actual: N cortes; madura en ~M meses”. Sigue siendo visible para no perder la costumbre de mirarla.</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 Bloqueada (rojo): </w:t>
      </w:r>
      <w:r>
        <w:rPr>
          <w:rFonts w:ascii="Calibri" w:cs="Calibri" w:eastAsia="Calibri" w:hAnsi="Calibri"/>
          <w:b w:val="false"/>
          <w:bCs w:val="false"/>
          <w:i w:val="false"/>
          <w:iCs w:val="false"/>
          <w:color w:val="222831"/>
          <w:sz w:val="21"/>
          <w:szCs w:val="21"/>
        </w:rPr>
        <w:t xml:space="preserve">no se renderiza en producción; vive solo en este plano como placeholder documentado.</w:t>
      </w:r>
    </w:p>
    <w:p>
      <w:pPr>
        <w:pStyle w:val="Heading2"/>
        <w:spacing w:after="100" w:before="240"/>
      </w:pPr>
      <w:r>
        <w:rPr>
          <w:rFonts w:ascii="Calibri" w:cs="Calibri" w:eastAsia="Calibri" w:hAnsi="Calibri"/>
          <w:b/>
          <w:bCs/>
          <w:color w:val="2C7A7B"/>
          <w:sz w:val="26"/>
          <w:szCs w:val="26"/>
        </w:rPr>
        <w:t xml:space="preserve">4.3 · Señales y recomendaciones en la tarjeta</w:t>
      </w:r>
    </w:p>
    <w:p>
      <w:pPr>
        <w:spacing w:after="120" w:line="276"/>
        <w:jc w:val="left"/>
      </w:pPr>
      <w:r>
        <w:rPr>
          <w:rFonts w:ascii="Calibri" w:cs="Calibri" w:eastAsia="Calibri" w:hAnsi="Calibri"/>
          <w:color w:val="222831"/>
          <w:sz w:val="21"/>
          <w:szCs w:val="21"/>
        </w:rPr>
        <w:t xml:space="preserve">Cuando el motor de reglas detecta que una tarjeta cruzó un umbral, la tarjeta sube en el orden, su borde se colorea según severidad y la fila de acciones muestra la recomendación heurística (“considera Investigar entregabilidad”). El texto siempre es sugerente, nunca imperativo.</w:t>
      </w:r>
    </w:p>
    <w:p>
      <w:pPr>
        <w:pStyle w:val="Heading1"/>
        <w:spacing w:after="140" w:before="320"/>
      </w:pPr>
      <w:r>
        <w:rPr>
          <w:rFonts w:ascii="Calibri" w:cs="Calibri" w:eastAsia="Calibri" w:hAnsi="Calibri"/>
          <w:b/>
          <w:bCs/>
          <w:color w:val="1F2A44"/>
          <w:sz w:val="30"/>
          <w:szCs w:val="30"/>
        </w:rPr>
        <w:t xml:space="preserve">5 · Módulos, tarjetas y orden de lectura</w:t>
      </w:r>
    </w:p>
    <w:p>
      <w:pPr>
        <w:spacing w:after="160" w:line="288"/>
      </w:pPr>
      <w:r>
        <w:rPr>
          <w:rFonts w:ascii="Calibri" w:cs="Calibri" w:eastAsia="Calibri" w:hAnsi="Calibri"/>
          <w:i/>
          <w:iCs/>
          <w:color w:val="425466"/>
          <w:sz w:val="22"/>
          <w:szCs w:val="22"/>
        </w:rPr>
        <w:t xml:space="preserve">Cada modo es una pantalla que cuenta una historia de arriba abajo. A continuación, para cada uno: objetivo, orden narrativo, tarjetas (con su evidencia y madurez) y el “y ahora qué”.</w:t>
      </w:r>
    </w:p>
    <w:p>
      <w:pPr>
        <w:pStyle w:val="Heading2"/>
        <w:spacing w:after="100" w:before="240"/>
      </w:pPr>
      <w:r>
        <w:rPr>
          <w:rFonts w:ascii="Calibri" w:cs="Calibri" w:eastAsia="Calibri" w:hAnsi="Calibri"/>
          <w:b/>
          <w:bCs/>
          <w:color w:val="2C7A7B"/>
          <w:sz w:val="26"/>
          <w:szCs w:val="26"/>
        </w:rPr>
        <w:t xml:space="preserve">5.1 · Módulo Pulso (home)</w:t>
      </w:r>
    </w:p>
    <w:p>
      <w:pPr>
        <w:spacing w:after="120" w:line="276"/>
        <w:jc w:val="left"/>
      </w:pPr>
      <w:r>
        <w:rPr>
          <w:rFonts w:ascii="Calibri" w:cs="Calibri" w:eastAsia="Calibri" w:hAnsi="Calibri"/>
          <w:b/>
          <w:bCs/>
          <w:i w:val="false"/>
          <w:iCs w:val="false"/>
          <w:color w:val="222831"/>
          <w:sz w:val="21"/>
          <w:szCs w:val="21"/>
        </w:rPr>
        <w:t xml:space="preserve">Objetivo: </w:t>
      </w:r>
      <w:r>
        <w:rPr>
          <w:rFonts w:ascii="Calibri" w:cs="Calibri" w:eastAsia="Calibri" w:hAnsi="Calibri"/>
          <w:b w:val="false"/>
          <w:bCs w:val="false"/>
          <w:i w:val="false"/>
          <w:iCs w:val="false"/>
          <w:color w:val="222831"/>
          <w:sz w:val="21"/>
          <w:szCs w:val="21"/>
        </w:rPr>
        <w:t xml:space="preserve">responder “¿algo se rompió hoy?” en 2 minutos. Si no hay señales rojas, el usuario se va tranquilo.</w:t>
      </w:r>
    </w:p>
    <w:p>
      <w:pPr>
        <w:spacing w:after="120" w:line="276"/>
        <w:jc w:val="left"/>
      </w:pPr>
      <w:r>
        <w:rPr>
          <w:rFonts w:ascii="Calibri" w:cs="Calibri" w:eastAsia="Calibri" w:hAnsi="Calibri"/>
          <w:b/>
          <w:bCs/>
          <w:i w:val="false"/>
          <w:iCs w:val="false"/>
          <w:color w:val="222831"/>
          <w:sz w:val="21"/>
          <w:szCs w:val="21"/>
        </w:rPr>
        <w:t xml:space="preserve">Orden de lectura: </w:t>
      </w:r>
      <w:r>
        <w:rPr>
          <w:rFonts w:ascii="Calibri" w:cs="Calibri" w:eastAsia="Calibri" w:hAnsi="Calibri"/>
          <w:b w:val="false"/>
          <w:bCs w:val="false"/>
          <w:i w:val="false"/>
          <w:iCs w:val="false"/>
          <w:color w:val="222831"/>
          <w:sz w:val="21"/>
          <w:szCs w:val="21"/>
        </w:rPr>
        <w:t xml:space="preserve">(1) cinta de alertas priorizadas arriba del todo; (2) pulso de revenue del día; (3) señales de canal y entregabilidad; (4) workflows críticos.</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3400"/>
        <w:gridCol w:w="2900"/>
        <w:gridCol w:w="1760"/>
        <w:gridCol w:w="1300"/>
      </w:tblGrid>
      <w:tr>
        <w:trPr>
          <w:tblHeader/>
        </w:trPr>
        <w:tc>
          <w:tcPr>
            <w:tcW w:type="dxa" w:w="34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Tarjeta (pregunta)</w:t>
            </w:r>
          </w:p>
        </w:tc>
        <w:tc>
          <w:tcPr>
            <w:tcW w:type="dxa" w:w="2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Evidencia (visualización)</w:t>
            </w:r>
          </w:p>
        </w:tc>
        <w:tc>
          <w:tcPr>
            <w:tcW w:type="dxa" w:w="17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Verbo(s)</w:t>
            </w:r>
          </w:p>
        </w:tc>
        <w:tc>
          <w:tcPr>
            <w:tcW w:type="dxa" w:w="13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Dato</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Cinta de alertas: ¿qué requiere mi atención hoy?</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Lista priorizada (impacto×urgencia×reversibilidad)</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¿El revenue de ayer está en rango normal?</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diaria + banda ±σ + marcador</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¿Cayó la entregabilidad/apertura de email?</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diaria de open rate con umbral</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¿Algún canal atribuido se desplomó?</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Barras Δ diario por canal</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 · Escalar</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¿Un workflow crítico dejó de convertir?</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Sparklines por workflow con alerta</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bl>
    <w:p>
      <w:pPr>
        <w:spacing w:after="80"/>
      </w:pPr>
    </w:p>
    <w:p>
      <w:pPr>
        <w:spacing w:after="120" w:line="276"/>
        <w:jc w:val="left"/>
      </w:pPr>
      <w:r>
        <w:rPr>
          <w:rFonts w:ascii="Calibri" w:cs="Calibri" w:eastAsia="Calibri" w:hAnsi="Calibri"/>
          <w:b w:val="false"/>
          <w:bCs w:val="false"/>
          <w:i/>
          <w:iCs/>
          <w:color w:val="222831"/>
          <w:sz w:val="21"/>
          <w:szCs w:val="21"/>
        </w:rPr>
        <w:t xml:space="preserve">Y ahora qué: </w:t>
      </w:r>
      <w:r>
        <w:rPr>
          <w:rFonts w:ascii="Calibri" w:cs="Calibri" w:eastAsia="Calibri" w:hAnsi="Calibri"/>
          <w:b w:val="false"/>
          <w:bCs w:val="false"/>
          <w:i/>
          <w:iCs/>
          <w:color w:val="222831"/>
          <w:sz w:val="21"/>
          <w:szCs w:val="21"/>
        </w:rPr>
        <w:t xml:space="preserve">desde una alerta, un clic lleva a la tarjeta del modo Operador que permite decidir. El Pulso detecta; el Operador resuelve.</w:t>
      </w:r>
    </w:p>
    <w:p>
      <w:pPr>
        <w:pStyle w:val="Heading2"/>
        <w:spacing w:after="100" w:before="240"/>
      </w:pPr>
      <w:r>
        <w:rPr>
          <w:rFonts w:ascii="Calibri" w:cs="Calibri" w:eastAsia="Calibri" w:hAnsi="Calibri"/>
          <w:b/>
          <w:bCs/>
          <w:color w:val="2C7A7B"/>
          <w:sz w:val="26"/>
          <w:szCs w:val="26"/>
        </w:rPr>
        <w:t xml:space="preserve">5.2 · Módulo Operador (semanal)</w:t>
      </w:r>
    </w:p>
    <w:p>
      <w:pPr>
        <w:spacing w:after="120" w:line="276"/>
        <w:jc w:val="left"/>
      </w:pPr>
      <w:r>
        <w:rPr>
          <w:rFonts w:ascii="Calibri" w:cs="Calibri" w:eastAsia="Calibri" w:hAnsi="Calibri"/>
          <w:b/>
          <w:bCs/>
          <w:i w:val="false"/>
          <w:iCs w:val="false"/>
          <w:color w:val="222831"/>
          <w:sz w:val="21"/>
          <w:szCs w:val="21"/>
        </w:rPr>
        <w:t xml:space="preserve">Objetivo: </w:t>
      </w:r>
      <w:r>
        <w:rPr>
          <w:rFonts w:ascii="Calibri" w:cs="Calibri" w:eastAsia="Calibri" w:hAnsi="Calibri"/>
          <w:b w:val="false"/>
          <w:bCs w:val="false"/>
          <w:i w:val="false"/>
          <w:iCs w:val="false"/>
          <w:color w:val="222831"/>
          <w:sz w:val="21"/>
          <w:szCs w:val="21"/>
        </w:rPr>
        <w:t xml:space="preserve">decidir qué detener, escalar o investigar en campañas y automatizaciones. Es el modo de mayor densidad de decisiones.</w:t>
      </w:r>
    </w:p>
    <w:p>
      <w:pPr>
        <w:spacing w:after="120" w:line="276"/>
        <w:jc w:val="left"/>
      </w:pPr>
      <w:r>
        <w:rPr>
          <w:rFonts w:ascii="Calibri" w:cs="Calibri" w:eastAsia="Calibri" w:hAnsi="Calibri"/>
          <w:b/>
          <w:bCs/>
          <w:i w:val="false"/>
          <w:iCs w:val="false"/>
          <w:color w:val="222831"/>
          <w:sz w:val="21"/>
          <w:szCs w:val="21"/>
        </w:rPr>
        <w:t xml:space="preserve">Orden de lectura: </w:t>
      </w:r>
      <w:r>
        <w:rPr>
          <w:rFonts w:ascii="Calibri" w:cs="Calibri" w:eastAsia="Calibri" w:hAnsi="Calibri"/>
          <w:b w:val="false"/>
          <w:bCs w:val="false"/>
          <w:i w:val="false"/>
          <w:iCs w:val="false"/>
          <w:color w:val="222831"/>
          <w:sz w:val="21"/>
          <w:szCs w:val="21"/>
        </w:rPr>
        <w:t xml:space="preserve">(1) email; (2) push; (3) web/sticky; (4) automatización de carrito y reactivación; (5) higiene de lista y timing.</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3400"/>
        <w:gridCol w:w="2900"/>
        <w:gridCol w:w="1760"/>
        <w:gridCol w:w="1300"/>
      </w:tblGrid>
      <w:tr>
        <w:trPr>
          <w:tblHeader/>
        </w:trPr>
        <w:tc>
          <w:tcPr>
            <w:tcW w:type="dxa" w:w="34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Tarjeta (pregunta)</w:t>
            </w:r>
          </w:p>
        </w:tc>
        <w:tc>
          <w:tcPr>
            <w:tcW w:type="dxa" w:w="2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Evidencia (visualización)</w:t>
            </w:r>
          </w:p>
        </w:tc>
        <w:tc>
          <w:tcPr>
            <w:tcW w:type="dxa" w:w="17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Verbo(s)</w:t>
            </w:r>
          </w:p>
        </w:tc>
        <w:tc>
          <w:tcPr>
            <w:tcW w:type="dxa" w:w="13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Dato</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campañas de email escalo y cuáles retiro?</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Scatter RPE vs. volumen + tabla Top/Bottom</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Detener · Mantener</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campañas push rinden?</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Scatter alcance vs. conversión + ranking</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Detener</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contenido web / sticky escalo o detengo?</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Ranking + calendar heatmap</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Detener</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workflow de carrito gana (A/B) y consolido?</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Funnel de secuencia + barras A/B</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Detener · Mantener</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campañas generan fatiga de lista?</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Scatter volumen vs. tasa de baja</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Detener · Investigar</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reactivación/reabastecimiento rinde?</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Ranking filtrado por nombre + tendencia</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Mantener · Detener</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¿Cuál es el mejor día para enviar?</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Barras por día de la semana (rev/1.000 envíos)</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Mantener · Crear</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bl>
    <w:p>
      <w:pPr>
        <w:spacing w:after="80"/>
      </w:pPr>
    </w:p>
    <w:p>
      <w:pPr>
        <w:spacing w:after="120" w:line="276"/>
        <w:jc w:val="left"/>
      </w:pPr>
      <w:r>
        <w:rPr>
          <w:rFonts w:ascii="Calibri" w:cs="Calibri" w:eastAsia="Calibri" w:hAnsi="Calibri"/>
          <w:b w:val="false"/>
          <w:bCs w:val="false"/>
          <w:i/>
          <w:iCs/>
          <w:color w:val="222831"/>
          <w:sz w:val="21"/>
          <w:szCs w:val="21"/>
        </w:rPr>
        <w:t xml:space="preserve">Y ahora qué: </w:t>
      </w:r>
      <w:r>
        <w:rPr>
          <w:rFonts w:ascii="Calibri" w:cs="Calibri" w:eastAsia="Calibri" w:hAnsi="Calibri"/>
          <w:b w:val="false"/>
          <w:bCs w:val="false"/>
          <w:i/>
          <w:iCs/>
          <w:color w:val="222831"/>
          <w:sz w:val="21"/>
          <w:szCs w:val="21"/>
        </w:rPr>
        <w:t xml:space="preserve">cada tarjeta produce una lista corta de acciones concretas (“retirar campaña X”, “escalar workflow Y”). El usuario ejecuta fuera del sistema; la semana siguiente la misma tarjeta muestra el efecto.</w:t>
      </w:r>
    </w:p>
    <w:p>
      <w:pPr>
        <w:pStyle w:val="Heading2"/>
        <w:spacing w:after="100" w:before="240"/>
      </w:pPr>
      <w:r>
        <w:rPr>
          <w:rFonts w:ascii="Calibri" w:cs="Calibri" w:eastAsia="Calibri" w:hAnsi="Calibri"/>
          <w:b/>
          <w:bCs/>
          <w:color w:val="2C7A7B"/>
          <w:sz w:val="26"/>
          <w:szCs w:val="26"/>
        </w:rPr>
        <w:t xml:space="preserve">5.3 · Módulo Estratega (mensual)</w:t>
      </w:r>
    </w:p>
    <w:p>
      <w:pPr>
        <w:spacing w:after="120" w:line="276"/>
        <w:jc w:val="left"/>
      </w:pPr>
      <w:r>
        <w:rPr>
          <w:rFonts w:ascii="Calibri" w:cs="Calibri" w:eastAsia="Calibri" w:hAnsi="Calibri"/>
          <w:b/>
          <w:bCs/>
          <w:i w:val="false"/>
          <w:iCs w:val="false"/>
          <w:color w:val="222831"/>
          <w:sz w:val="21"/>
          <w:szCs w:val="21"/>
        </w:rPr>
        <w:t xml:space="preserve">Objetivo: </w:t>
      </w:r>
      <w:r>
        <w:rPr>
          <w:rFonts w:ascii="Calibri" w:cs="Calibri" w:eastAsia="Calibri" w:hAnsi="Calibri"/>
          <w:b w:val="false"/>
          <w:bCs w:val="false"/>
          <w:i w:val="false"/>
          <w:iCs w:val="false"/>
          <w:color w:val="222831"/>
          <w:sz w:val="21"/>
          <w:szCs w:val="21"/>
        </w:rPr>
        <w:t xml:space="preserve">reasignar esfuerzo entre canales y vigilar la salud estructural: retención, base y marca.</w:t>
      </w:r>
    </w:p>
    <w:p>
      <w:pPr>
        <w:spacing w:after="120" w:line="276"/>
        <w:jc w:val="left"/>
      </w:pPr>
      <w:r>
        <w:rPr>
          <w:rFonts w:ascii="Calibri" w:cs="Calibri" w:eastAsia="Calibri" w:hAnsi="Calibri"/>
          <w:b/>
          <w:bCs/>
          <w:i w:val="false"/>
          <w:iCs w:val="false"/>
          <w:color w:val="222831"/>
          <w:sz w:val="21"/>
          <w:szCs w:val="21"/>
        </w:rPr>
        <w:t xml:space="preserve">Orden de lectura: </w:t>
      </w:r>
      <w:r>
        <w:rPr>
          <w:rFonts w:ascii="Calibri" w:cs="Calibri" w:eastAsia="Calibri" w:hAnsi="Calibri"/>
          <w:b w:val="false"/>
          <w:bCs w:val="false"/>
          <w:i w:val="false"/>
          <w:iCs w:val="false"/>
          <w:color w:val="222831"/>
          <w:sz w:val="21"/>
          <w:szCs w:val="21"/>
        </w:rPr>
        <w:t xml:space="preserve">(1) evolución y motor del revenue; (2) mix de atribución; (3) adquisición vs. retención; (4) salud de la base; (5) segmentos; (6) marca propia.</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3400"/>
        <w:gridCol w:w="2900"/>
        <w:gridCol w:w="1760"/>
        <w:gridCol w:w="1300"/>
      </w:tblGrid>
      <w:tr>
        <w:trPr>
          <w:tblHeader/>
        </w:trPr>
        <w:tc>
          <w:tcPr>
            <w:tcW w:type="dxa" w:w="34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Tarjeta (pregunta)</w:t>
            </w:r>
          </w:p>
        </w:tc>
        <w:tc>
          <w:tcPr>
            <w:tcW w:type="dxa" w:w="2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Evidencia (visualización)</w:t>
            </w:r>
          </w:p>
        </w:tc>
        <w:tc>
          <w:tcPr>
            <w:tcW w:type="dxa" w:w="17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Verbo(s)</w:t>
            </w:r>
          </w:p>
        </w:tc>
        <w:tc>
          <w:tcPr>
            <w:tcW w:type="dxa" w:w="13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Dato</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¿Cómo evoluciona el revenue y qué lo impulsa?</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con selector + doble eje pedidos/ticket</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Reasignar · Mantener</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¿Cómo cambia el mix de atribución por canal?</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Área apilada 100%</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Reasignar</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¿Cuánto revenue es no atribuido?</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Waterfall + KPI de tendencia</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 · Crear</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¿Dependemos de adquisición o retenemos?</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Área apilada 100% primerizos/recurrentes</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Crear · Reasignar</w:t>
            </w:r>
          </w:p>
        </w:tc>
        <w:tc>
          <w:tcPr>
            <w:tcW w:type="dxa" w:w="1300"/>
            <w:shd w:fill="F7F9FB"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¿Cómo está la salud de la base (churn neto)?</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Waterfall de churn + línea de base</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 · Mantener</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segmentos crecen o decaen?</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Barras divergentes / heatmap segmento×mes</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Crear · Reasignar</w:t>
            </w:r>
          </w:p>
        </w:tc>
        <w:tc>
          <w:tcPr>
            <w:tcW w:type="dxa" w:w="1300"/>
            <w:shd w:fill="F7F9FB"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¿Cómo va la marca propia y su peso?</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índice + área 100%</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Mantener</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bl>
    <w:p>
      <w:pPr>
        <w:spacing w:after="80"/>
      </w:pPr>
    </w:p>
    <w:p>
      <w:pPr>
        <w:pStyle w:val="Heading2"/>
        <w:spacing w:after="100" w:before="240"/>
      </w:pPr>
      <w:r>
        <w:rPr>
          <w:rFonts w:ascii="Calibri" w:cs="Calibri" w:eastAsia="Calibri" w:hAnsi="Calibri"/>
          <w:b/>
          <w:bCs/>
          <w:color w:val="2C7A7B"/>
          <w:sz w:val="26"/>
          <w:szCs w:val="26"/>
        </w:rPr>
        <w:t xml:space="preserve">5.4 · Módulo Dirección (trimestral)</w:t>
      </w:r>
    </w:p>
    <w:p>
      <w:pPr>
        <w:spacing w:after="120" w:line="276"/>
        <w:jc w:val="left"/>
      </w:pPr>
      <w:r>
        <w:rPr>
          <w:rFonts w:ascii="Calibri" w:cs="Calibri" w:eastAsia="Calibri" w:hAnsi="Calibri"/>
          <w:b/>
          <w:bCs/>
          <w:i w:val="false"/>
          <w:iCs w:val="false"/>
          <w:color w:val="222831"/>
          <w:sz w:val="21"/>
          <w:szCs w:val="21"/>
        </w:rPr>
        <w:t xml:space="preserve">Objetivo: </w:t>
      </w:r>
      <w:r>
        <w:rPr>
          <w:rFonts w:ascii="Calibri" w:cs="Calibri" w:eastAsia="Calibri" w:hAnsi="Calibri"/>
          <w:b w:val="false"/>
          <w:bCs w:val="false"/>
          <w:i w:val="false"/>
          <w:iCs w:val="false"/>
          <w:color w:val="222831"/>
          <w:sz w:val="21"/>
          <w:szCs w:val="21"/>
        </w:rPr>
        <w:t xml:space="preserve">evaluar cumplimiento de objetivos, la apuesta de marca propia, el riesgo estructural y dónde invertir.</w:t>
      </w:r>
    </w:p>
    <w:p>
      <w:pPr>
        <w:spacing w:after="120" w:line="276"/>
        <w:jc w:val="left"/>
      </w:pPr>
      <w:r>
        <w:rPr>
          <w:rFonts w:ascii="Calibri" w:cs="Calibri" w:eastAsia="Calibri" w:hAnsi="Calibri"/>
          <w:b/>
          <w:bCs/>
          <w:i w:val="false"/>
          <w:iCs w:val="false"/>
          <w:color w:val="222831"/>
          <w:sz w:val="21"/>
          <w:szCs w:val="21"/>
        </w:rPr>
        <w:t xml:space="preserve">Orden de lectura: </w:t>
      </w:r>
      <w:r>
        <w:rPr>
          <w:rFonts w:ascii="Calibri" w:cs="Calibri" w:eastAsia="Calibri" w:hAnsi="Calibri"/>
          <w:b w:val="false"/>
          <w:bCs w:val="false"/>
          <w:i w:val="false"/>
          <w:iCs w:val="false"/>
          <w:color w:val="222831"/>
          <w:sz w:val="21"/>
          <w:szCs w:val="21"/>
        </w:rPr>
        <w:t xml:space="preserve">(1) objetivo del trimestre; (2) proyección; (3) marca propia hacia su meta; (4) mapa de riesgos.</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3400"/>
        <w:gridCol w:w="2900"/>
        <w:gridCol w:w="1760"/>
        <w:gridCol w:w="1300"/>
      </w:tblGrid>
      <w:tr>
        <w:trPr>
          <w:tblHeader/>
        </w:trPr>
        <w:tc>
          <w:tcPr>
            <w:tcW w:type="dxa" w:w="34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Tarjeta (pregunta)</w:t>
            </w:r>
          </w:p>
        </w:tc>
        <w:tc>
          <w:tcPr>
            <w:tcW w:type="dxa" w:w="2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Evidencia (visualización)</w:t>
            </w:r>
          </w:p>
        </w:tc>
        <w:tc>
          <w:tcPr>
            <w:tcW w:type="dxa" w:w="17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Verbo(s)</w:t>
            </w:r>
          </w:p>
        </w:tc>
        <w:tc>
          <w:tcPr>
            <w:tcW w:type="dxa" w:w="13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Dato</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¿Cumplimos el objetivo de revenue del trimestre?</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Bullet chart + waterfall por mes</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Reasignar</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¿Cuál es el revenue proyectado y su confianza?</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 banda P10/P50/P90</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Crear · Reasignar</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¿La marca propia progresa hacia su objetivo?</w:t>
            </w:r>
          </w:p>
        </w:tc>
        <w:tc>
          <w:tcPr>
            <w:tcW w:type="dxa" w:w="2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de proyección con umbral</w:t>
            </w:r>
          </w:p>
        </w:tc>
        <w:tc>
          <w:tcPr>
            <w:tcW w:type="dxa" w:w="1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Mantener</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¿Dónde está el mayor riesgo estructural?</w:t>
            </w:r>
          </w:p>
        </w:tc>
        <w:tc>
          <w:tcPr>
            <w:tcW w:type="dxa" w:w="2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Panel de riesgos tipo semáforo</w:t>
            </w:r>
          </w:p>
        </w:tc>
        <w:tc>
          <w:tcPr>
            <w:tcW w:type="dxa" w:w="1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 · Reasignar</w:t>
            </w:r>
          </w:p>
        </w:tc>
        <w:tc>
          <w:tcPr>
            <w:tcW w:type="dxa" w:w="1300"/>
            <w:shd w:fill="F7F9FB"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bl>
    <w:p>
      <w:pPr>
        <w:spacing w:after="80"/>
      </w:pPr>
    </w:p>
    <w:tbl>
      <w:tblPr>
        <w:tblW w:type="pct" w:w="100%"/>
        <w:tblBorders>
          <w:top w:val="single" w:color="B7791F" w:sz="2"/>
          <w:left w:val="single" w:color="B7791F" w:sz="18"/>
          <w:bottom w:val="single" w:color="B7791F" w:sz="2"/>
          <w:right w:val="single" w:color="B7791F" w:sz="2"/>
          <w:insideH w:val="none"/>
          <w:insideV w:val="none"/>
        </w:tblBorders>
      </w:tblPr>
      <w:tblGrid>
        <w:gridCol w:w="9360"/>
      </w:tblGrid>
      <w:tr>
        <w:tc>
          <w:tcPr>
            <w:tcW w:type="dxa" w:w="9360"/>
            <w:shd w:fill="F4F8F8" w:val="clear"/>
            <w:tcMar>
              <w:top w:type="dxa" w:w="100"/>
              <w:left w:type="dxa" w:w="160"/>
              <w:bottom w:type="dxa" w:w="100"/>
              <w:right w:type="dxa" w:w="160"/>
            </w:tcMar>
          </w:tcPr>
          <w:p>
            <w:pPr>
              <w:spacing w:after="60"/>
            </w:pPr>
            <w:r>
              <w:rPr>
                <w:rFonts w:ascii="Calibri" w:cs="Calibri" w:eastAsia="Calibri" w:hAnsi="Calibri"/>
                <w:b/>
                <w:bCs/>
                <w:color w:val="B7791F"/>
                <w:sz w:val="21"/>
                <w:szCs w:val="21"/>
              </w:rPr>
              <w:t xml:space="preserve">Nota sobre el forecast</w:t>
            </w:r>
          </w:p>
          <w:p>
            <w:pPr>
              <w:spacing w:after="40"/>
            </w:pPr>
            <w:r>
              <w:rPr>
                <w:rFonts w:ascii="Calibri" w:cs="Calibri" w:eastAsia="Calibri" w:hAnsi="Calibri"/>
                <w:color w:val="2D3748"/>
                <w:sz w:val="20"/>
                <w:szCs w:val="20"/>
              </w:rPr>
              <w:t xml:space="preserve">Con ~25 meses de histórico mensual (2 ciclos estacionales), la proyección es orientativa: útil para planificar, no para comprometer cifras. La banda de confianza debe mostrarse siempre y ensancharse con el horizonte.</w:t>
            </w:r>
          </w:p>
        </w:tc>
      </w:tr>
    </w:tbl>
    <w:p>
      <w:pPr>
        <w:pStyle w:val="Heading2"/>
        <w:spacing w:after="100" w:before="240"/>
      </w:pPr>
      <w:r>
        <w:rPr>
          <w:rFonts w:ascii="Calibri" w:cs="Calibri" w:eastAsia="Calibri" w:hAnsi="Calibri"/>
          <w:b/>
          <w:bCs/>
          <w:color w:val="2C7A7B"/>
          <w:sz w:val="26"/>
          <w:szCs w:val="26"/>
        </w:rPr>
        <w:t xml:space="preserve">5.5 · Biblioteca de evidencia (exploración)</w:t>
      </w:r>
    </w:p>
    <w:p>
      <w:pPr>
        <w:spacing w:after="120" w:line="276"/>
        <w:jc w:val="left"/>
      </w:pPr>
      <w:r>
        <w:rPr>
          <w:rFonts w:ascii="Calibri" w:cs="Calibri" w:eastAsia="Calibri" w:hAnsi="Calibri"/>
          <w:color w:val="222831"/>
          <w:sz w:val="21"/>
          <w:szCs w:val="21"/>
        </w:rPr>
        <w:t xml:space="preserve">Entrada secundaria, para cuando surge una pregunta ad-hoc no cubierta por los cuatro modos. Da acceso a los datasets crudos con filtros. No sustituye a los modos; es la válvula de escape del analista. Deliberadamente austera para no competir con la lógica de decisión.</w:t>
      </w:r>
    </w:p>
    <w:p>
      <w:pPr>
        <w:pStyle w:val="Heading1"/>
        <w:spacing w:after="140" w:before="320"/>
      </w:pPr>
      <w:r>
        <w:rPr>
          <w:rFonts w:ascii="Calibri" w:cs="Calibri" w:eastAsia="Calibri" w:hAnsi="Calibri"/>
          <w:b/>
          <w:bCs/>
          <w:color w:val="1F2A44"/>
          <w:sz w:val="30"/>
          <w:szCs w:val="30"/>
        </w:rPr>
        <w:t xml:space="preserve">6 · Flujo narrativo global y dependencias</w:t>
      </w:r>
    </w:p>
    <w:p>
      <w:pPr>
        <w:spacing w:after="120" w:line="276"/>
        <w:jc w:val="left"/>
      </w:pPr>
      <w:r>
        <w:rPr>
          <w:rFonts w:ascii="Calibri" w:cs="Calibri" w:eastAsia="Calibri" w:hAnsi="Calibri"/>
          <w:color w:val="222831"/>
          <w:sz w:val="21"/>
          <w:szCs w:val="21"/>
        </w:rPr>
        <w:t xml:space="preserve">Los cuatro modos forman un embudo temporal: lo diario alimenta lo semanal, que alimenta lo mensual, que alimenta lo trimestral. Una anomalía detectada en Pulso puede convertirse en una decisión táctica en Operador, en un patrón en Estratega y en un ajuste de objetivo en Dirección.</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1700"/>
        <w:gridCol w:w="1900"/>
        <w:gridCol w:w="5760"/>
      </w:tblGrid>
      <w:tr>
        <w:trPr>
          <w:tblHeader/>
        </w:trPr>
        <w:tc>
          <w:tcPr>
            <w:tcW w:type="dxa" w:w="17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Desde</w:t>
            </w:r>
          </w:p>
        </w:tc>
        <w:tc>
          <w:tcPr>
            <w:tcW w:type="dxa" w:w="1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Hacia</w:t>
            </w:r>
          </w:p>
        </w:tc>
        <w:tc>
          <w:tcPr>
            <w:tcW w:type="dxa" w:w="57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Qué fluye</w:t>
            </w:r>
          </w:p>
        </w:tc>
      </w:tr>
      <w:tr>
        <w:tc>
          <w:tcPr>
            <w:tcW w:type="dxa" w:w="17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Pulso</w:t>
            </w:r>
          </w:p>
        </w:tc>
        <w:tc>
          <w:tcPr>
            <w:tcW w:type="dxa" w:w="1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Operador</w:t>
            </w:r>
          </w:p>
        </w:tc>
        <w:tc>
          <w:tcPr>
            <w:tcW w:type="dxa" w:w="5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Una alerta abre la tarjeta táctica que la resuelve.</w:t>
            </w:r>
          </w:p>
        </w:tc>
      </w:tr>
      <w:tr>
        <w:tc>
          <w:tcPr>
            <w:tcW w:type="dxa" w:w="17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Operador</w:t>
            </w:r>
          </w:p>
        </w:tc>
        <w:tc>
          <w:tcPr>
            <w:tcW w:type="dxa" w:w="1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Estratega</w:t>
            </w:r>
          </w:p>
        </w:tc>
        <w:tc>
          <w:tcPr>
            <w:tcW w:type="dxa" w:w="5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Patrones repetidos de campañas informan la asignación de canal.</w:t>
            </w:r>
          </w:p>
        </w:tc>
      </w:tr>
      <w:tr>
        <w:tc>
          <w:tcPr>
            <w:tcW w:type="dxa" w:w="17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Estratega</w:t>
            </w:r>
          </w:p>
        </w:tc>
        <w:tc>
          <w:tcPr>
            <w:tcW w:type="dxa" w:w="1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Dirección</w:t>
            </w:r>
          </w:p>
        </w:tc>
        <w:tc>
          <w:tcPr>
            <w:tcW w:type="dxa" w:w="5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Tendencias de mix y retención informan objetivos e inversión.</w:t>
            </w:r>
          </w:p>
        </w:tc>
      </w:tr>
      <w:tr>
        <w:tc>
          <w:tcPr>
            <w:tcW w:type="dxa" w:w="17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Dirección</w:t>
            </w:r>
          </w:p>
        </w:tc>
        <w:tc>
          <w:tcPr>
            <w:tcW w:type="dxa" w:w="1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Operador/Estratega</w:t>
            </w:r>
          </w:p>
        </w:tc>
        <w:tc>
          <w:tcPr>
            <w:tcW w:type="dxa" w:w="5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Un objetivo nuevo recalibra los umbrales de acción.</w:t>
            </w:r>
          </w:p>
        </w:tc>
      </w:tr>
    </w:tbl>
    <w:p>
      <w:pPr>
        <w:spacing w:after="80"/>
      </w:pPr>
    </w:p>
    <w:p>
      <w:pPr>
        <w:pStyle w:val="Heading3"/>
        <w:spacing w:after="80" w:before="180"/>
      </w:pPr>
      <w:r>
        <w:rPr>
          <w:rFonts w:ascii="Calibri" w:cs="Calibri" w:eastAsia="Calibri" w:hAnsi="Calibri"/>
          <w:b/>
          <w:bCs/>
          <w:color w:val="425466"/>
          <w:sz w:val="23"/>
          <w:szCs w:val="23"/>
        </w:rPr>
        <w:t xml:space="preserve">Dependencias de datos entre módulos</w:t>
      </w:r>
    </w:p>
    <w:p>
      <w:pPr>
        <w:pStyle w:val="ListParagraph"/>
        <w:numPr>
          <w:ilvl w:val="0"/>
          <w:numId w:val="3"/>
        </w:numPr>
        <w:spacing w:after="60" w:line="268"/>
      </w:pPr>
      <w:r>
        <w:rPr>
          <w:rFonts w:ascii="Calibri" w:cs="Calibri" w:eastAsia="Calibri" w:hAnsi="Calibri"/>
          <w:color w:val="222831"/>
          <w:sz w:val="21"/>
          <w:szCs w:val="21"/>
        </w:rPr>
        <w:t xml:space="preserve">Ventas Diarias (D17) alimenta tarjetas en los cuatro modos: es la columna vertebral. Su disponibilidad es prerrequisito de todo.</w:t>
      </w:r>
    </w:p>
    <w:p>
      <w:pPr>
        <w:pStyle w:val="ListParagraph"/>
        <w:numPr>
          <w:ilvl w:val="0"/>
          <w:numId w:val="3"/>
        </w:numPr>
        <w:spacing w:after="60" w:line="268"/>
      </w:pPr>
      <w:r>
        <w:rPr>
          <w:rFonts w:ascii="Calibri" w:cs="Calibri" w:eastAsia="Calibri" w:hAnsi="Calibri"/>
          <w:color w:val="222831"/>
          <w:sz w:val="21"/>
          <w:szCs w:val="21"/>
        </w:rPr>
        <w:t xml:space="preserve">Los snapshots (segmentos, sticky, envíos-día) alimentan tarjetas ◐ en Operador y Estratega; su valor crece con cada corte acumulado.</w:t>
      </w:r>
    </w:p>
    <w:p>
      <w:pPr>
        <w:pStyle w:val="ListParagraph"/>
        <w:numPr>
          <w:ilvl w:val="0"/>
          <w:numId w:val="3"/>
        </w:numPr>
        <w:spacing w:after="60" w:line="268"/>
      </w:pPr>
      <w:r>
        <w:rPr>
          <w:rFonts w:ascii="Calibri" w:cs="Calibri" w:eastAsia="Calibri" w:hAnsi="Calibri"/>
          <w:color w:val="222831"/>
          <w:sz w:val="21"/>
          <w:szCs w:val="21"/>
        </w:rPr>
        <w:t xml:space="preserve">GA4, Metricool y retail/online alimentan tarjetas futuras de omnicanalidad en Estratega; hoy ◐, se encienden al madurar.</w:t>
      </w:r>
    </w:p>
    <w:p>
      <w:pPr>
        <w:pStyle w:val="Heading1"/>
        <w:spacing w:after="140" w:before="320"/>
      </w:pPr>
      <w:r>
        <w:rPr>
          <w:rFonts w:ascii="Calibri" w:cs="Calibri" w:eastAsia="Calibri" w:hAnsi="Calibri"/>
          <w:b/>
          <w:bCs/>
          <w:color w:val="1F2A44"/>
          <w:sz w:val="30"/>
          <w:szCs w:val="30"/>
        </w:rPr>
        <w:t xml:space="preserve">7 · Lenguaje visual y storytelling</w:t>
      </w:r>
    </w:p>
    <w:p>
      <w:pPr>
        <w:pStyle w:val="Heading2"/>
        <w:spacing w:after="100" w:before="240"/>
      </w:pPr>
      <w:r>
        <w:rPr>
          <w:rFonts w:ascii="Calibri" w:cs="Calibri" w:eastAsia="Calibri" w:hAnsi="Calibri"/>
          <w:b/>
          <w:bCs/>
          <w:color w:val="2C7A7B"/>
          <w:sz w:val="26"/>
          <w:szCs w:val="26"/>
        </w:rPr>
        <w:t xml:space="preserve">7.1 · Jerarquía de lectura</w:t>
      </w:r>
    </w:p>
    <w:p>
      <w:pPr>
        <w:pStyle w:val="ListParagraph"/>
        <w:numPr>
          <w:ilvl w:val="0"/>
          <w:numId w:val="3"/>
        </w:numPr>
        <w:spacing w:after="60" w:line="268"/>
      </w:pPr>
      <w:r>
        <w:rPr>
          <w:rFonts w:ascii="Calibri" w:cs="Calibri" w:eastAsia="Calibri" w:hAnsi="Calibri"/>
          <w:color w:val="222831"/>
          <w:sz w:val="21"/>
          <w:szCs w:val="21"/>
        </w:rPr>
        <w:t xml:space="preserve">Nivel 1 — la respuesta (texto/número grande). Se lee en 1 segundo.</w:t>
      </w:r>
    </w:p>
    <w:p>
      <w:pPr>
        <w:pStyle w:val="ListParagraph"/>
        <w:numPr>
          <w:ilvl w:val="0"/>
          <w:numId w:val="3"/>
        </w:numPr>
        <w:spacing w:after="60" w:line="268"/>
      </w:pPr>
      <w:r>
        <w:rPr>
          <w:rFonts w:ascii="Calibri" w:cs="Calibri" w:eastAsia="Calibri" w:hAnsi="Calibri"/>
          <w:color w:val="222831"/>
          <w:sz w:val="21"/>
          <w:szCs w:val="21"/>
        </w:rPr>
        <w:t xml:space="preserve">Nivel 2 — el contexto (Δ, color semántico). Se lee en 3 segundos.</w:t>
      </w:r>
    </w:p>
    <w:p>
      <w:pPr>
        <w:pStyle w:val="ListParagraph"/>
        <w:numPr>
          <w:ilvl w:val="0"/>
          <w:numId w:val="3"/>
        </w:numPr>
        <w:spacing w:after="60" w:line="268"/>
      </w:pPr>
      <w:r>
        <w:rPr>
          <w:rFonts w:ascii="Calibri" w:cs="Calibri" w:eastAsia="Calibri" w:hAnsi="Calibri"/>
          <w:color w:val="222831"/>
          <w:sz w:val="21"/>
          <w:szCs w:val="21"/>
        </w:rPr>
        <w:t xml:space="preserve">Nivel 3 — la evidencia (gráfico). Se lee en 10 segundos si hace falta.</w:t>
      </w:r>
    </w:p>
    <w:p>
      <w:pPr>
        <w:pStyle w:val="ListParagraph"/>
        <w:numPr>
          <w:ilvl w:val="0"/>
          <w:numId w:val="3"/>
        </w:numPr>
        <w:spacing w:after="60" w:line="268"/>
      </w:pPr>
      <w:r>
        <w:rPr>
          <w:rFonts w:ascii="Calibri" w:cs="Calibri" w:eastAsia="Calibri" w:hAnsi="Calibri"/>
          <w:color w:val="222831"/>
          <w:sz w:val="21"/>
          <w:szCs w:val="21"/>
        </w:rPr>
        <w:t xml:space="preserve">Nivel 4 — las acciones. Siempre presentes, nunca imperativas.</w:t>
      </w:r>
    </w:p>
    <w:p>
      <w:pPr>
        <w:pStyle w:val="Heading2"/>
        <w:spacing w:after="100" w:before="240"/>
      </w:pPr>
      <w:r>
        <w:rPr>
          <w:rFonts w:ascii="Calibri" w:cs="Calibri" w:eastAsia="Calibri" w:hAnsi="Calibri"/>
          <w:b/>
          <w:bCs/>
          <w:color w:val="2C7A7B"/>
          <w:sz w:val="26"/>
          <w:szCs w:val="26"/>
        </w:rPr>
        <w:t xml:space="preserve">7.2 · Sistema de color</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Semántico: </w:t>
      </w:r>
      <w:r>
        <w:rPr>
          <w:rFonts w:ascii="Calibri" w:cs="Calibri" w:eastAsia="Calibri" w:hAnsi="Calibri"/>
          <w:b w:val="false"/>
          <w:bCs w:val="false"/>
          <w:i w:val="false"/>
          <w:iCs w:val="false"/>
          <w:color w:val="222831"/>
          <w:sz w:val="21"/>
          <w:szCs w:val="21"/>
        </w:rPr>
        <w:t xml:space="preserve">verde = dirección deseada; rojo = atención; ámbar = madurando. Nunca usar color solo decorativo.</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Madurez: </w:t>
      </w:r>
      <w:r>
        <w:rPr>
          <w:rFonts w:ascii="Calibri" w:cs="Calibri" w:eastAsia="Calibri" w:hAnsi="Calibri"/>
          <w:b w:val="false"/>
          <w:bCs w:val="false"/>
          <w:i w:val="false"/>
          <w:iCs w:val="false"/>
          <w:color w:val="222831"/>
          <w:sz w:val="21"/>
          <w:szCs w:val="21"/>
        </w:rPr>
        <w:t xml:space="preserve">el badge ● / ◐ / ○ usa la misma paleta que el semáforo del Doc. 1 para coherencia mental.</w:t>
      </w:r>
    </w:p>
    <w:p>
      <w:pPr>
        <w:pStyle w:val="Heading2"/>
        <w:spacing w:after="100" w:before="240"/>
      </w:pPr>
      <w:r>
        <w:rPr>
          <w:rFonts w:ascii="Calibri" w:cs="Calibri" w:eastAsia="Calibri" w:hAnsi="Calibri"/>
          <w:b/>
          <w:bCs/>
          <w:color w:val="2C7A7B"/>
          <w:sz w:val="26"/>
          <w:szCs w:val="26"/>
        </w:rPr>
        <w:t xml:space="preserve">7.3 · Elección de gráfico</w:t>
      </w:r>
    </w:p>
    <w:p>
      <w:pPr>
        <w:spacing w:after="120" w:line="276"/>
        <w:jc w:val="left"/>
      </w:pPr>
      <w:r>
        <w:rPr>
          <w:rFonts w:ascii="Calibri" w:cs="Calibri" w:eastAsia="Calibri" w:hAnsi="Calibri"/>
          <w:color w:val="222831"/>
          <w:sz w:val="21"/>
          <w:szCs w:val="21"/>
        </w:rPr>
        <w:t xml:space="preserve">El gráfico lo elige la pregunta, no el dato: composición → área apilada 100%; descomposición → waterfall; correlación/outliers → scatter; estacionalidad → calendar heatmap; ranking → barras horizontales; tendencia → línea. Un tipo de gráfico por tarea perceptual, aplicado con consistencia en todo el producto.</w:t>
      </w:r>
    </w:p>
    <w:p>
      <w:pPr>
        <w:pStyle w:val="Heading1"/>
        <w:spacing w:after="140" w:before="320"/>
      </w:pPr>
      <w:r>
        <w:rPr>
          <w:rFonts w:ascii="Calibri" w:cs="Calibri" w:eastAsia="Calibri" w:hAnsi="Calibri"/>
          <w:b/>
          <w:bCs/>
          <w:color w:val="1F2A44"/>
          <w:sz w:val="30"/>
          <w:szCs w:val="30"/>
        </w:rPr>
        <w:t xml:space="preserve">8 · Prioridades de implementación</w:t>
      </w:r>
    </w:p>
    <w:p>
      <w:pPr>
        <w:spacing w:after="120" w:line="276"/>
        <w:jc w:val="left"/>
      </w:pPr>
      <w:r>
        <w:rPr>
          <w:rFonts w:ascii="Calibri" w:cs="Calibri" w:eastAsia="Calibri" w:hAnsi="Calibri"/>
          <w:color w:val="222831"/>
          <w:sz w:val="21"/>
          <w:szCs w:val="21"/>
        </w:rPr>
        <w:t xml:space="preserve">El detalle por fases está en el Documento 3. A nivel de plano maestro, el orden de construcción es:</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El componente Tarjeta de Evidencia y la navegación por modos. </w:t>
      </w:r>
      <w:r>
        <w:rPr>
          <w:rFonts w:ascii="Calibri" w:cs="Calibri" w:eastAsia="Calibri" w:hAnsi="Calibri"/>
          <w:b w:val="false"/>
          <w:bCs w:val="false"/>
          <w:i w:val="false"/>
          <w:iCs w:val="false"/>
          <w:color w:val="222831"/>
          <w:sz w:val="21"/>
          <w:szCs w:val="21"/>
        </w:rPr>
        <w:t xml:space="preserve">Sin ellos no hay producto; con ellos, todo lo demás es rellenar tarjetas.</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El módulo Pulso y el núcleo del Operador con tarjetas ● verdes. </w:t>
      </w:r>
      <w:r>
        <w:rPr>
          <w:rFonts w:ascii="Calibri" w:cs="Calibri" w:eastAsia="Calibri" w:hAnsi="Calibri"/>
          <w:b w:val="false"/>
          <w:bCs w:val="false"/>
          <w:i w:val="false"/>
          <w:iCs w:val="false"/>
          <w:color w:val="222831"/>
          <w:sz w:val="21"/>
          <w:szCs w:val="21"/>
        </w:rPr>
        <w:t xml:space="preserve">Máximo valor de decisión con el dato ya maduro.</w:t>
      </w:r>
    </w:p>
    <w:p>
      <w:pPr>
        <w:pStyle w:val="ListParagraph"/>
        <w:numPr>
          <w:ilvl w:val="0"/>
          <w:numId w:val="2"/>
        </w:numPr>
        <w:spacing w:after="60" w:line="268"/>
      </w:pPr>
      <w:r>
        <w:rPr>
          <w:rFonts w:ascii="Calibri" w:cs="Calibri" w:eastAsia="Calibri" w:hAnsi="Calibri"/>
          <w:b w:val="false"/>
          <w:bCs w:val="false"/>
          <w:i w:val="false"/>
          <w:iCs w:val="false"/>
          <w:color w:val="222831"/>
          <w:sz w:val="21"/>
          <w:szCs w:val="21"/>
        </w:rPr>
        <w:t xml:space="preserve">Estratega y Dirección con sus tarjetas verdes; ámbar como placeholders visibles.</w:t>
      </w:r>
    </w:p>
    <w:p>
      <w:pPr>
        <w:pStyle w:val="ListParagraph"/>
        <w:numPr>
          <w:ilvl w:val="0"/>
          <w:numId w:val="2"/>
        </w:numPr>
        <w:spacing w:after="60" w:line="268"/>
      </w:pPr>
      <w:r>
        <w:rPr>
          <w:rFonts w:ascii="Calibri" w:cs="Calibri" w:eastAsia="Calibri" w:hAnsi="Calibri"/>
          <w:b w:val="false"/>
          <w:bCs w:val="false"/>
          <w:i w:val="false"/>
          <w:iCs w:val="false"/>
          <w:color w:val="222831"/>
          <w:sz w:val="21"/>
          <w:szCs w:val="21"/>
        </w:rPr>
        <w:t xml:space="preserve">El motor de señales/umbrales y la cinta de alertas.</w:t>
      </w:r>
    </w:p>
    <w:p>
      <w:pPr>
        <w:pStyle w:val="ListParagraph"/>
        <w:numPr>
          <w:ilvl w:val="0"/>
          <w:numId w:val="2"/>
        </w:numPr>
        <w:spacing w:after="60" w:line="268"/>
      </w:pPr>
      <w:r>
        <w:rPr>
          <w:rFonts w:ascii="Calibri" w:cs="Calibri" w:eastAsia="Calibri" w:hAnsi="Calibri"/>
          <w:b w:val="false"/>
          <w:bCs w:val="false"/>
          <w:i w:val="false"/>
          <w:iCs w:val="false"/>
          <w:color w:val="222831"/>
          <w:sz w:val="21"/>
          <w:szCs w:val="21"/>
        </w:rPr>
        <w:t xml:space="preserve">Encendido progresivo de las tarjetas ámbar conforme el dato acumula profundidad.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BVS · Decision Support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C7A7B"/>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1F2A4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Implementación del Dashboard</dc:title>
  <dc:creator>BVS Analytics</dc:creator>
  <cp:lastModifiedBy>Un-named</cp:lastModifiedBy>
  <cp:revision>1</cp:revision>
  <dcterms:created xsi:type="dcterms:W3CDTF">2026-07-09T10:42:34.038Z</dcterms:created>
  <dcterms:modified xsi:type="dcterms:W3CDTF">2026-07-09T10:42:34.038Z</dcterms:modified>
</cp:coreProperties>
</file>

<file path=docProps/custom.xml><?xml version="1.0" encoding="utf-8"?>
<Properties xmlns="http://schemas.openxmlformats.org/officeDocument/2006/custom-properties" xmlns:vt="http://schemas.openxmlformats.org/officeDocument/2006/docPropsVTypes"/>
</file>