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</w:pPr>
      <w:r>
        <w:rPr>
          <w:rFonts w:ascii="Calibri" w:cs="Calibri" w:eastAsia="Calibri" w:hAnsi="Calibri"/>
          <w:b/>
          <w:bCs/>
          <w:caps/>
          <w:color w:val="2C7A7B"/>
          <w:sz w:val="22"/>
          <w:szCs w:val="22"/>
        </w:rPr>
        <w:t xml:space="preserve">Documento 3 de 3 · Rediseño del producto</w:t>
      </w:r>
    </w:p>
    <w:p>
      <w:pPr>
        <w:pBdr>
          <w:bottom w:val="single" w:color="2C7A7B" w:sz="12" w:space="4"/>
        </w:pBdr>
        <w:spacing w:after="60"/>
      </w:pP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2A44"/>
          <w:sz w:val="52"/>
          <w:szCs w:val="52"/>
        </w:rPr>
        <w:t xml:space="preserve">Roadmap de Implementación</w:t>
      </w:r>
    </w:p>
    <w:p>
      <w:pPr>
        <w:spacing w:after="400"/>
      </w:pPr>
      <w:r>
        <w:rPr>
          <w:rFonts w:ascii="Calibri" w:cs="Calibri" w:eastAsia="Calibri" w:hAnsi="Calibri"/>
          <w:color w:val="425466"/>
          <w:sz w:val="26"/>
          <w:szCs w:val="26"/>
        </w:rPr>
        <w:t xml:space="preserve">Del sistema mínimo viable a la inteligencia avanzada, por fases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Relación   </w:t>
      </w:r>
      <w:r>
        <w:rPr>
          <w:rFonts w:ascii="Calibri" w:cs="Calibri" w:eastAsia="Calibri" w:hAnsi="Calibri"/>
          <w:color w:val="425466"/>
          <w:sz w:val="20"/>
          <w:szCs w:val="20"/>
        </w:rPr>
        <w:t xml:space="preserve">Plan de construcción de los Documentos 1 y 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Enfoque   </w:t>
      </w:r>
      <w:r>
        <w:rPr>
          <w:rFonts w:ascii="Calibri" w:cs="Calibri" w:eastAsia="Calibri" w:hAnsi="Calibri"/>
          <w:color w:val="425466"/>
          <w:sz w:val="20"/>
          <w:szCs w:val="20"/>
        </w:rPr>
        <w:t xml:space="preserve">Valor de decisión primero; encendido progresivo según madurez del dato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Fecha   </w:t>
      </w:r>
      <w:r>
        <w:rPr>
          <w:rFonts w:ascii="Calibri" w:cs="Calibri" w:eastAsia="Calibri" w:hAnsi="Calibri"/>
          <w:color w:val="425466"/>
          <w:sz w:val="20"/>
          <w:szCs w:val="20"/>
        </w:rPr>
        <w:t xml:space="preserve">Julio 2026</w:t>
      </w:r>
    </w:p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 · Filosofía del roadmap</w:t>
      </w:r>
    </w:p>
    <w:p>
      <w:pPr>
        <w:spacing w:after="160" w:line="288"/>
      </w:pPr>
      <w:r>
        <w:rPr>
          <w:rFonts w:ascii="Calibri" w:cs="Calibri" w:eastAsia="Calibri" w:hAnsi="Calibri"/>
          <w:i/>
          <w:iCs/>
          <w:color w:val="425466"/>
          <w:sz w:val="22"/>
          <w:szCs w:val="22"/>
        </w:rPr>
        <w:t xml:space="preserve">Se construye por valor de decisión, no por dataset. Cada fase entrega un sistema usable de punta a punta; ninguna fase es “solo backend” o “solo maquetación”.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Tres reglas ordenan las fases: (1) primero las tarjetas con dato ● verde, que dan valor inmediato; (2) el componente Tarjeta de Evidencia y la navegación por modos se construyen una sola vez, al principio, porque todo lo demás se apoya en ellos; (3) las tarjetas ◐ ámbar se maquetan pronto como placeholders visibles y se “encienden” cuando el dato acumula profundidad, sin reescribir la interfaz.</w:t>
      </w:r>
    </w:p>
    <w:tbl>
      <w:tblPr>
        <w:tblW w:type="pct" w:w="100%"/>
        <w:tblBorders>
          <w:top w:val="single" w:color="B7791F" w:sz="2"/>
          <w:left w:val="single" w:color="B7791F" w:sz="18"/>
          <w:bottom w:val="single" w:color="B7791F" w:sz="2"/>
          <w:right w:val="single" w:color="B7791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1"/>
                <w:szCs w:val="21"/>
              </w:rPr>
              <w:t xml:space="preserve">Prerrequisito transversal (Fase 0 implícita)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Sellar cada importación de los datasets snapshot (segmentos, sticky, envíos-día) con su fecha de carga. Sin esto, esas tarjetas nunca pasan de ◐ a ●.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Es trabajo de pipeline (fuera del alcance de src/), pero condiciona todo el encendido de tarjetas ámbar. Debe arrancar en paralelo a la Fase 1.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 · Vista de conjunto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700"/>
        <w:gridCol w:w="2400"/>
        <w:gridCol w:w="3760"/>
        <w:gridCol w:w="2500"/>
      </w:tblGrid>
      <w:tr>
        <w:trPr>
          <w:tblHeader/>
        </w:trPr>
        <w:tc>
          <w:tcPr>
            <w:tcW w:type="dxa" w:w="7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7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 principal</w:t>
            </w:r>
          </w:p>
        </w:tc>
        <w:tc>
          <w:tcPr>
            <w:tcW w:type="dxa" w:w="25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de datos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Sistema mínimo viable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Esqueleto de decisión + tarjetas verdes de Pulso y Operador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● verdes maduros</w:t>
            </w:r>
          </w:p>
        </w:tc>
      </w:tr>
      <w:tr>
        <w:tc>
          <w:tcPr>
            <w:tcW w:type="dxa" w:w="7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Funciones estratégicas</w:t>
            </w:r>
          </w:p>
        </w:tc>
        <w:tc>
          <w:tcPr>
            <w:tcW w:type="dxa" w:w="37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Estratega y Dirección completos</w:t>
            </w:r>
          </w:p>
        </w:tc>
        <w:tc>
          <w:tcPr>
            <w:tcW w:type="dxa" w:w="25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● verdes + primeras ◐</w:t>
            </w:r>
          </w:p>
        </w:tc>
      </w:tr>
      <w:tr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Inteligencia avanzada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Motor de señales, alertas y omnicanalidad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◐ que maduran + GA4/Metricool/retail</w:t>
            </w:r>
          </w:p>
        </w:tc>
      </w:tr>
      <w:tr>
        <w:tc>
          <w:tcPr>
            <w:tcW w:type="dxa" w:w="7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Optimización</w:t>
            </w:r>
          </w:p>
        </w:tc>
        <w:tc>
          <w:tcPr>
            <w:tcW w:type="dxa" w:w="37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Refinamiento, forecast robusto, storytelling</w:t>
            </w:r>
          </w:p>
        </w:tc>
        <w:tc>
          <w:tcPr>
            <w:tcW w:type="dxa" w:w="25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Promoción ◐→● y pulido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 · Fase 1 — Sistema mínimo viable</w:t>
      </w:r>
    </w:p>
    <w:tbl>
      <w:tblPr>
        <w:tblW w:type="dxa" w:w="9360"/>
        <w:tblBorders>
          <w:top w:val="single" w:color="C9D2DC" w:sz="2"/>
          <w:left w:val="single" w:color="2C7A7B" w:sz="20"/>
          <w:bottom w:val="single" w:color="C9D2DC" w:sz="2"/>
          <w:right w:val="single" w:color="C9D2D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3"/>
                <w:szCs w:val="23"/>
              </w:rPr>
              <w:t xml:space="preserve">Fase 1 · El esqueleto de decisión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7A7B"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Que el producto exista como DSS usable a diario, con las decisiones de mayor valor y dato ya maduro.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Entregable: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Componente Tarjeta de Evidencia; navegación por los cuatro modos; módulo Pulso completo; núcleo del módulo Operador (email, push, carrito, fatiga de lista); todas con tarjetas ● verdes.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Prerrequisito de datos: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Ventas Diarias (D17), email (D08/D13/D04), push (D12), carrito (D05/D06) — todos disponibles hoy con 2 años de histórico.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Criterio de salida: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El usuario puede, cada día, detectar una anomalía y, cada semana, decidir qué campaña detener o escalar, sin salir del sistema.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25466"/>
          <w:sz w:val="23"/>
          <w:szCs w:val="23"/>
        </w:rPr>
        <w:t xml:space="preserve">Alcance de tarjetas (Fase 1)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Pulso: revenue del día vs. banda, entregabilidad/apertura, Δ de canal, workflows críticos (este último ◐).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Operador: escalar/retirar email (RPE), campañas push, workflow de carrito ganador (A/B), fatiga de lista, reactivación/reabastecimiento.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Transversal: badge de madurez y regla de acción obligatoria integrados en el componente desde el día uno.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25466"/>
          <w:sz w:val="23"/>
          <w:szCs w:val="23"/>
        </w:rPr>
        <w:t xml:space="preserve">Fuera de alcance en Fase 1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Motor de reglas automatizado (las recomendaciones de Fase 1 pueden ser heurísticas fijas, no umbrales configurables).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Estratega y Dirección (llegan en Fase 2).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 · Fase 2 — Funciones estratégicas</w:t>
      </w:r>
    </w:p>
    <w:tbl>
      <w:tblPr>
        <w:tblW w:type="dxa" w:w="9360"/>
        <w:tblBorders>
          <w:top w:val="single" w:color="C9D2DC" w:sz="2"/>
          <w:left w:val="single" w:color="2C7A7B" w:sz="20"/>
          <w:bottom w:val="single" w:color="C9D2DC" w:sz="2"/>
          <w:right w:val="single" w:color="C9D2D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3"/>
                <w:szCs w:val="23"/>
              </w:rPr>
              <w:t xml:space="preserve">Fase 2 · La visión mensual y trimestral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7A7B"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Dar al decisor la capa de asignación de esfuerzo y la de dirección.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Entregable: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Módulo Estratega completo (evolución de revenue, mix de atribución, no atribuido, adquisición vs. retención, salud de la base) y módulo Dirección (objetivo trimestral, forecast, marca propia, mapa de riesgos). Tarjetas ◐ maquetadas como placeholders visibles.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Prerrequisito de datos: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Todo con datos verdes salvo segmentos (D01), marca propia (D19) y retención real — que entran como ◐ o quedan documentadas como límite.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Criterio de salida: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El usuario puede cerrar el mes decidiendo reasignación de canal, y cerrar el trimestre evaluando objetivo y riesgo, con evidencia completa en las tarjetas verdes.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25466"/>
          <w:sz w:val="23"/>
          <w:szCs w:val="23"/>
        </w:rPr>
        <w:t xml:space="preserve">Alcance de tarjetas (Fase 2)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Estratega: revenue MoM/YoY + motor (pedidos/ticket), mix de atribución 100%, revenue no atribuido, primerizos/recurrentes, churn neto de base.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Dirección: objetivo del trimestre (bullet), forecast con banda, marca propia hacia meta (◐), panel de riesgos (◐).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Segmentos (◐): tarjeta maquetada; se enciende cuando haya ≥3-4 cortes acumulados con fecha.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 · Fase 3 — Inteligencia avanzada</w:t>
      </w:r>
    </w:p>
    <w:tbl>
      <w:tblPr>
        <w:tblW w:type="dxa" w:w="9360"/>
        <w:tblBorders>
          <w:top w:val="single" w:color="C9D2DC" w:sz="2"/>
          <w:left w:val="single" w:color="2C7A7B" w:sz="20"/>
          <w:bottom w:val="single" w:color="C9D2DC" w:sz="2"/>
          <w:right w:val="single" w:color="C9D2D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3"/>
                <w:szCs w:val="23"/>
              </w:rPr>
              <w:t xml:space="preserve">Fase 3 · Señales, alertas y omnicanalidad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7A7B"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Convertir el sistema de “evidencia bajo demanda” en “evidencia que te busca” cuando algo importa.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Entregable: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Motor de señales y recomendaciones (capa declarativa de umbrales configurables); cinta de alertas priorizadas en Pulso y Operador; normalización de taxonomía de campañas (parsing de nombres para reactivación, tipo de oferta); integración de GA4, Metricool y retail/online en tarjetas de omnicanalidad del Estratega.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Prerrequisito de datos: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Umbrales sobre datos ya maduros; taxonomía sobre nombres de campaña existentes; GA4/Metricool/retail conforme acumulan histórico.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Criterio de salida: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El sistema detecta y prioriza por sí mismo qué merece atención, y la omnicanalidad (retail vs. online, redes → tráfico) empieza a rendir evidencia real.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25466"/>
          <w:sz w:val="23"/>
          <w:szCs w:val="23"/>
        </w:rPr>
        <w:t xml:space="preserve">Componentes clave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Capa de reglas: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umbrales tipo “open rate −30% en 3 semanas → señal Investigar”, definidos en un único lugar declarativo, no dispersos por componentes.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Priorización: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puntuación impacto×urgencia×reversibilidad que ordena la cinta de alertas.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222831"/>
          <w:sz w:val="21"/>
          <w:szCs w:val="21"/>
        </w:rPr>
        <w:t xml:space="preserve">Taxonomía: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831"/>
          <w:sz w:val="21"/>
          <w:szCs w:val="21"/>
        </w:rPr>
        <w:t xml:space="preserve">clasificación automática de campañas por tipo (reactivación, reabastecimiento, oferta %, envío gratis) para rankings temáticos.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 · Fase 4 — Optimización</w:t>
      </w:r>
    </w:p>
    <w:tbl>
      <w:tblPr>
        <w:tblW w:type="dxa" w:w="9360"/>
        <w:tblBorders>
          <w:top w:val="single" w:color="C9D2DC" w:sz="2"/>
          <w:left w:val="single" w:color="2C7A7B" w:sz="20"/>
          <w:bottom w:val="single" w:color="C9D2DC" w:sz="2"/>
          <w:right w:val="single" w:color="C9D2D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3"/>
                <w:szCs w:val="23"/>
              </w:rPr>
              <w:t xml:space="preserve">Fase 4 · Madurez y pulido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7A7B"/>
                <w:sz w:val="20"/>
                <w:szCs w:val="20"/>
              </w:rPr>
              <w:t xml:space="preserve">Objetivo: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Elevar la calidad de decisión y encender lo que el tiempo ha madurado.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Entregable: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Promoción de tarjetas ◐→● conforme los snapshots acumulan profundidad; forecast robusto (validación de estacionalidad con más ciclos); refinamiento de storytelling y rendimiento; consolidación de la Biblioteca de evidencia.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Prerrequisito de datos: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Profundidad temporal acumulada durante las fases anteriores (segmentos, marca propia, GA4, retail).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25466"/>
                <w:sz w:val="20"/>
                <w:szCs w:val="20"/>
              </w:rPr>
              <w:t xml:space="preserve">Criterio de salida: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La mayoría de tarjetas ámbar han pasado a verde; el sistema es rápido, coherente y su narrativa está pulida.</w:t>
            </w:r>
          </w:p>
        </w:tc>
      </w:tr>
    </w:tbl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425466"/>
          <w:sz w:val="23"/>
          <w:szCs w:val="23"/>
        </w:rPr>
        <w:t xml:space="preserve">Actividades continuas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Revisar trimestralmente el Registro de Decisiones: retirar tarjetas que ya no cambian decisiones, añadir preguntas nuevas que el dato haya desbloqueado.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Recalibrar umbrales del motor de señales según objetivos vigentes.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Vigilar la puerta del dato: si aparece Contact ID o categorías de producto, activar las preguntas hoy excluidas (Doc. 1, §6.5).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 · Secuencia y dependencias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El orden entre fases es estricto en su base (el componente y la navegación de Fase 1 sostienen todo), pero flexible en el encendido: una tarjeta ◐ puede promoverse a ● en cualquier fase posterior sin bloquear el resto.</w:t>
      </w:r>
    </w:p>
    <w:tbl>
      <w:tblPr>
        <w:tblW w:type="dxa" w:w="93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2"/>
          <w:insideV w:val="single" w:color="C9D2DC" w:sz="2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32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316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Habilita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Componente Tarjeta + navegación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Todos los módulos</w:t>
            </w:r>
          </w:p>
        </w:tc>
      </w:tr>
      <w:tr>
        <w:tc>
          <w:tcPr>
            <w:tcW w:type="dxa" w:w="3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Módulo Pulso + Operador (Fase 1)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Componente + datos verdes</w:t>
            </w:r>
          </w:p>
        </w:tc>
        <w:tc>
          <w:tcPr>
            <w:tcW w:type="dxa" w:w="31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Uso diario/semanal real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Estratega + Dirección (Fase 2)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Fase 1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Cierre mensual/trimestral</w:t>
            </w:r>
          </w:p>
        </w:tc>
      </w:tr>
      <w:tr>
        <w:tc>
          <w:tcPr>
            <w:tcW w:type="dxa" w:w="3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Motor de señales (Fase 3)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Fases 1-2 maquetadas</w:t>
            </w:r>
          </w:p>
        </w:tc>
        <w:tc>
          <w:tcPr>
            <w:tcW w:type="dxa" w:w="31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Cinta de alertas y priorización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Sellado de snapshots (Fase 0)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Pipeline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Encendido de tarjetas ◐</w:t>
            </w:r>
          </w:p>
        </w:tc>
      </w:tr>
      <w:tr>
        <w:tc>
          <w:tcPr>
            <w:tcW w:type="dxa" w:w="30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Omnicanalidad (Fase 3-4)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GA4/Metricool/retail maduros</w:t>
            </w:r>
          </w:p>
        </w:tc>
        <w:tc>
          <w:tcPr>
            <w:tcW w:type="dxa" w:w="3160"/>
            <w:shd w:fill="F7F9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8"/>
                <w:szCs w:val="18"/>
              </w:rPr>
              <w:t xml:space="preserve">Tarjetas de canal físico/digital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2C7A7B" w:sz="2"/>
          <w:left w:val="single" w:color="2C7A7B" w:sz="18"/>
          <w:bottom w:val="single" w:color="2C7A7B" w:sz="2"/>
          <w:right w:val="single" w:color="2C7A7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C7A7B"/>
                <w:sz w:val="21"/>
                <w:szCs w:val="21"/>
              </w:rPr>
              <w:t xml:space="preserve">Principio de cierre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Ninguna fase se diseña alrededor de las limitaciones actuales del dato: se diseña alrededor de las decisiones que quieres tomar, y se usa el dato disponible para sostenerlas en la medida de lo posible.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Las tarjetas ámbar no se posponen conceptualmente: se maquetan ya y se encienden solas. Así el producto está siempre completo en visión, aunque el dato llegue por etapas.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/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BVS · Decision Support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C7A7B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2A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de Implementación</dc:title>
  <dc:creator>BVS Analytics</dc:creator>
  <cp:lastModifiedBy>Un-named</cp:lastModifiedBy>
  <cp:revision>1</cp:revision>
  <dcterms:created xsi:type="dcterms:W3CDTF">2026-07-09T10:44:22.879Z</dcterms:created>
  <dcterms:modified xsi:type="dcterms:W3CDTF">2026-07-09T10:44:22.880Z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