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00"/>
      </w:pPr>
      <w:r>
        <w:rPr>
          <w:rFonts w:ascii="Calibri" w:cs="Calibri" w:eastAsia="Calibri" w:hAnsi="Calibri"/>
          <w:b/>
          <w:bCs/>
          <w:caps/>
          <w:color w:val="2C7A7B"/>
          <w:sz w:val="22"/>
          <w:szCs w:val="22"/>
        </w:rPr>
        <w:t xml:space="preserve">Manual de Implementación · v2</w:t>
      </w:r>
    </w:p>
    <w:p>
      <w:pPr>
        <w:pBdr>
          <w:bottom w:val="single" w:color="2C7A7B" w:sz="12" w:space="4"/>
        </w:pBdr>
        <w:spacing w:after="60"/>
      </w:pP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2A44"/>
          <w:sz w:val="52"/>
          <w:szCs w:val="52"/>
        </w:rPr>
        <w:t xml:space="preserve">Especificación de Dominios</w:t>
      </w:r>
    </w:p>
    <w:p>
      <w:pPr>
        <w:spacing w:after="400"/>
      </w:pPr>
      <w:r>
        <w:rPr>
          <w:rFonts w:ascii="Calibri" w:cs="Calibri" w:eastAsia="Calibri" w:hAnsi="Calibri"/>
          <w:color w:val="425466"/>
          <w:sz w:val="26"/>
          <w:szCs w:val="26"/>
        </w:rPr>
        <w:t xml:space="preserve">Los 8 dominios del dashboard BVS: preguntas, evidencia, fuentes y visualización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Arquitectura   </w:t>
      </w:r>
      <w:r>
        <w:rPr>
          <w:rFonts w:ascii="Calibri" w:cs="Calibri" w:eastAsia="Calibri" w:hAnsi="Calibri"/>
          <w:color w:val="425466"/>
          <w:sz w:val="20"/>
          <w:szCs w:val="20"/>
        </w:rPr>
        <w:t xml:space="preserve">8 dominios de negocio (congelada)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Método   </w:t>
      </w:r>
      <w:r>
        <w:rPr>
          <w:rFonts w:ascii="Calibri" w:cs="Calibri" w:eastAsia="Calibri" w:hAnsi="Calibri"/>
          <w:color w:val="425466"/>
          <w:sz w:val="20"/>
          <w:szCs w:val="20"/>
        </w:rPr>
        <w:t xml:space="preserve">Negocio → Decisiones → Preguntas → Información → KPIs → Datos → Visualización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Naturaleza   </w:t>
      </w:r>
      <w:r>
        <w:rPr>
          <w:rFonts w:ascii="Calibri" w:cs="Calibri" w:eastAsia="Calibri" w:hAnsi="Calibri"/>
          <w:color w:val="425466"/>
          <w:sz w:val="20"/>
          <w:szCs w:val="20"/>
        </w:rPr>
        <w:t xml:space="preserve">Dashboard profesional read-only · Supabase + React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Fecha   </w:t>
      </w:r>
      <w:r>
        <w:rPr>
          <w:rFonts w:ascii="Calibri" w:cs="Calibri" w:eastAsia="Calibri" w:hAnsi="Calibri"/>
          <w:color w:val="425466"/>
          <w:sz w:val="20"/>
          <w:szCs w:val="20"/>
        </w:rPr>
        <w:t xml:space="preserve">Julio 2026</w:t>
      </w:r>
    </w:p>
    <w:p>
      <w:r>
        <w:br w:type="page"/>
      </w:r>
    </w:p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Cómo leer este manual</w:t>
      </w:r>
    </w:p>
    <w:p>
      <w:pPr>
        <w:spacing w:after="160" w:line="288"/>
      </w:pPr>
      <w:r>
        <w:rPr>
          <w:rFonts w:ascii="Calibri" w:cs="Calibri" w:eastAsia="Calibri" w:hAnsi="Calibri"/>
          <w:i/>
          <w:iCs/>
          <w:color w:val="425466"/>
          <w:sz w:val="22"/>
          <w:szCs w:val="22"/>
        </w:rPr>
        <w:t xml:space="preserve">La arquitectura conceptual está cerrada: ocho dominios que representan las disciplinas de un Director de Marketing. Este documento las convierte en contenido implementable, dominio por dominio.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Cada dominio se desarrolla así: su objetivo de negocio; sus preguntas de negocio; para cada pregunta, las preguntas analíticas que la descomponen, la evidencia (KPIs) con su fuente, tabla de Supabase y calidad del dato, y la visualización óptima. Cierra con su relación con los demás dominios.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25466"/>
          <w:sz w:val="23"/>
          <w:szCs w:val="23"/>
        </w:rPr>
        <w:t xml:space="preserve">Leyenda de calidad del dato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F855A"/>
          <w:sz w:val="17"/>
          <w:szCs w:val="17"/>
        </w:rPr>
        <w:t xml:space="preserve">●  Responde hoy</w:t>
      </w:r>
      <w:r>
        <w:rPr>
          <w:rFonts w:ascii="Calibri" w:cs="Calibri" w:eastAsia="Calibri" w:hAnsi="Calibri"/>
          <w:sz w:val="20"/>
          <w:szCs w:val="20"/>
        </w:rPr>
        <w:t xml:space="preserve">  Dato disponible con profundidad suficiente; responde hoy.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B7791F"/>
          <w:sz w:val="17"/>
          <w:szCs w:val="17"/>
        </w:rPr>
        <w:t xml:space="preserve">◐  Madura al acumular</w:t>
      </w:r>
      <w:r>
        <w:rPr>
          <w:rFonts w:ascii="Calibri" w:cs="Calibri" w:eastAsia="Calibri" w:hAnsi="Calibri"/>
          <w:sz w:val="20"/>
          <w:szCs w:val="20"/>
        </w:rPr>
        <w:t xml:space="preserve">  Capacidad presente pero histórico corto o snapshot; madura al acumular.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53030"/>
          <w:sz w:val="17"/>
          <w:szCs w:val="17"/>
        </w:rPr>
        <w:t xml:space="preserve">○  Falta dato</w:t>
      </w:r>
      <w:r>
        <w:rPr>
          <w:rFonts w:ascii="Calibri" w:cs="Calibri" w:eastAsia="Calibri" w:hAnsi="Calibri"/>
          <w:sz w:val="20"/>
          <w:szCs w:val="20"/>
        </w:rPr>
        <w:t xml:space="preserve">  Falta un dato estructural; la pregunta no es respondible sin ampliar el modelo.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25466"/>
          <w:sz w:val="23"/>
          <w:szCs w:val="23"/>
        </w:rPr>
        <w:t xml:space="preserve">Papel estratégico de cada fuente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Connectif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— motor de conversión, revenue y base propia. Une acción de marketing → euro. Núcleo de casi todos los dominios.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GA4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— adquisición y comportamiento pre-compra (cómo llega y navega el tráfico). Ilumina el tráfico y el no atribuido.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Metricool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— notoriedad y alcance en redes (el escalón más alto del funnel, antes del tráfico).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Dataset 20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— estructura de canal de venta (online / retail / omnicanal), dimensión distinta de la atribución de marketing.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 · Salud del Negocio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dar en un vistazo el estado del negocio y detectar rápido lo que se desvía, para saber si intervenir y dónde profundizar.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BN-1 · ¿Cómo va el negocio este periodo?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¿Cuál es el revenue del periodo y su Δ MoM / YoY?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¿Cómo evoluciona el ticket medio?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¿Cuál es el mix de compradores nuevos vs. recurrentes?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¿Qué peso tiene la marca propia sobre el total?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Revenue del periodo + Δ MoM/YoY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daily_revenue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Ticket medio y tendencia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daily_revenue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% nuevos vs. recurrentes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buyer_cohorts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% marca propia sobre total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compradores + daily_revenue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Grid de tarjetas KPI con sparkline embebido — comunica varios estados de un vistazo.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BN-2 · ¿Qué se ha desviado de lo normal?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¿El revenue diario está fuera de su banda esperada (media móvil ± σ)?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¿El open rate diario cae respecto a su baseline?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¿Algún workflow crítico ha dejado de enviar?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Desviación de revenue diario (σ)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daily_revenue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Desviación de open rate diario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daily_email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Workflows sin actividad reciente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daily_push · daily_email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Lista de anomalías resaltadas (panel pasivo de desviaciones, estilo Insights de GA4). No es un motor: muestra, no guía.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BN-3 · ¿Qué palanca de marketing rinde más por unidad de esfuerzo? (opcional)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¿Qué eficiencia comparable tiene cada palanca (email, push, carrito, reactivación, sticky)?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RPMil email · conv. push · rev/envío carrito · retorno reactivación · captación sticky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email_campaigns · push_campaigns · cart_abandonment · sticky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Barras horizontales normalizadas por palanca.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/>
          <w:iCs/>
          <w:color w:val="222831"/>
          <w:sz w:val="21"/>
          <w:szCs w:val="21"/>
        </w:rPr>
        <w:t xml:space="preserve">Nota: </w:t>
      </w:r>
      <w:r>
        <w:rPr>
          <w:rFonts w:ascii="Calibri" w:cs="Calibri" w:eastAsia="Calibri" w:hAnsi="Calibri"/>
          <w:b w:val="false"/>
          <w:bCs w:val="false"/>
          <w:i/>
          <w:iCs/>
          <w:color w:val="222831"/>
          <w:sz w:val="21"/>
          <w:szCs w:val="21"/>
        </w:rPr>
        <w:t xml:space="preserve">sin coste/inversión en las fuentes, es eficiencia comparativa, no ROI. Bloque candidato a aparcar hasta disponer de datos de coste.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Relación: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reutiliza información de Revenue, Clientes, Marketing y Producto, pero para una decisión propia (triaje). No sustituye a ningún dominio.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 · Revenue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entender y hacer crecer los ingresos, y saber de dónde viene cada euro.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RV-1 · ¿Cómo evoluciona el revenue y qué lo impulsa?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¿Cuál es la tendencia MoM y YoY?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¿El crecimiento viene de más pedidos o de mayor ticket medio?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¿Hay estacionalidad estructural?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Revenue mensual / diario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daily_revenue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Nº de pedidos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daily_revenue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Ticket medio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daily_revenue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Línea con selector diario/mensual + doble eje (pedidos vs. ticket) para separar las dos palancas de crecimiento.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RV-2 · ¿De dónde viene cada euro?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¿Cómo se reparte el revenue por canal de marketing (email/push/web/sms)?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¿Cuánto revenue es no atribuido (orgánico/directo)?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¿Cómo se reparte la venta por canal físico/digital (online/retail/omnicanal)?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Compras atribuidas por canal de marketing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daily_revenue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Revenue no atribuido = total − Σ atribuido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daily_revenue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Reparto por canal de venta (online/retail/omnicanal)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Dataset 20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channel_segmentation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Área apilada 100% (mix de canal de marketing) + waterfall (no atribuido) + barras (canal de venta).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RV-3 · ¿Voy camino de cumplir el objetivo?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¿Cuál es la proyección de cierre de periodo y su rango de confianza?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¿Cuál es la brecha respecto a la meta?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Revenue acumulado vs. objetivo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 + input manual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daily_revenue (+ objetivo)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Proyección con banda de confianza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daily_revenue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Bullet chart (acumulado vs. meta) + línea con banda de confianza. Forecast orientativo (2 ciclos de histórico).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Relación: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recibe el mix de canal de Marketing y la marca propia de Producto; alimenta la portada de Salud del Negocio.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 · Clientes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entender la economía del comprador: si el negocio crece captando o fidelizando.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CL-1 · ¿Dependemos de adquisición o de retención?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¿Cuántos compradores primerizos y recurrentes hay cada mes?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¿Cómo evoluciona el mix?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¿Cuál es la tasa de recompra aproximada?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Nº primerizos / recurrentes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buyer_cohorts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Mix % primerizos vs. recurrentes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buyer_cohorts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Retención real por cohorte (individuo)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— (sin Contact ID)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no disponible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3030"/>
                <w:sz w:val="17"/>
                <w:szCs w:val="17"/>
              </w:rPr>
              <w:t xml:space="preserve">○  Falta dato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Área apilada 100% del mix + línea de recompra aproximada.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CL-2 · ¿Cuánto valor aporta un cliente? (limitado)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¿Cuál es el revenue por comprador y su tendencia?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¿Difiere el ticket entre primerizo y recurrente? (aproximado)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Revenue por comprador (proxy)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daily_revenue + buyer_cohorts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CLV individual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— (sin Contact ID)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no disponible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3030"/>
                <w:sz w:val="17"/>
                <w:szCs w:val="17"/>
              </w:rPr>
              <w:t xml:space="preserve">○  Falta dato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KPI + barras comparativas. Bloque honestamente limitado hasta disponer de dato a nivel cliente.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Relación: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da contexto a Revenue (drivers) y a CRM (a quién conviene retener). Comparte datos con ellos pero su decisión —captar vs. fidelizar— es propia.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 · Marketing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que cada canal y campaña rinda al máximo sin dañar el activo (la lista).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MK-1 · ¿Funciona el Email?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¿Qué campañas generan más revenue?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¿Cuáles son más eficientes (RPMil), más allá del volumen?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¿Cómo evolucionan open rate y CTR del canal?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Revenue por campaña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email_campaigns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RPMil (revenue / 1.000 envíos)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email_campaigns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Open rate y CTR por campaña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email_campaigns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Tendencia diaria del canal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daily_email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Scatter RPMil vs. volumen (detecta campañas eficientes) + tabla Top/Bottom ordenable.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MK-2 · ¿Funciona el Push?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¿Qué campañas push convierten mejor?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¿Cuál es el revenue y el engagement por campaña?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Revenue por campaña push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push_campaigns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Conversión (compras/envíos)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push_campaigns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Open rate / CTR push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push_campaigns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Scatter alcance vs. conversión + ranking por revenue.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MK-3 · ¿Convierte el contenido web / sticky? (captación)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¿Qué piezas captan y convierten mejor?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¿Hay fatiga de creatividad (declive de CTR en el tiempo)?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Impresiones, CTR por pieza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sticky · daily_sticky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Compradores asistidos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daily_sticky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Altas de suscripción generadas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sticky → subscribers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Ranking por revenue/captación + calendar heatmap de conversión. Valor medido por captación, no solo venta directa.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MK-4 · ¿Qué campañas queman la lista? (fatiga)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¿Qué campañas tienen mayor tasa de baja por envío?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¿Se correlaciona con la frecuencia de envío?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Tasa de baja / envío por campaña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 (Audit D04)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no presente en Supabase hoy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Scatter volumen vs. tasa de baja. Requiere añadir la columna de bajas al sync (pipeline).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MK-5 · ¿Cuál es el mejor día para enviar?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¿Qué día de la semana concentra más revenue por envío?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Revenue por 1.000 envíos y día de la semana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envios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Barras por día de la semana. Agregado sin fecha: madura comparando cortes sucesivos.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MK-6 · ¿De dónde llega el tráfico y cómo se comporta? (adquisición)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¿Qué fuentes traen tráfico (orgánico/directo/paid/referral)?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¿Cómo navega y convierte on-site?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Sesiones, fuente/medio, conversión on-site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GA4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ga4_daily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Barras por fuente + embudo de conversión. GA4 responde el pre-compra que Connectif no ve. Histórico corto (nuevo).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MK-7 · ¿Generan notoriedad y alcance las redes?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¿Cómo crece el alcance y el engagement en Instagram, Facebook y TikTok?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Seguidores, alcance, engagement por red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Metricool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ig_daily · fb_daily · tk_daily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Líneas de evolución por red. Escalón de notoriedad (upstream), sin revenue directo. Nuevo.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Relación: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provee el rendimiento de canal que Revenue usa para el mix; sus campañas alimentan Automatizaciones; su presión sobre la lista se vigila con CRM.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5 · Automatizaciones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que los flujos automáticos generen revenue recurrente y no se degraden.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AU-1 · ¿Qué workflow de carrito recupera más (y quién gana el A/B)?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¿Cuánto revenue recupera cada workflow/plantilla?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¿Qué variante gana el test A/B?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¿Cómo decae la conversión a lo largo de la secuencia (1→2→3)?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Revenue recuperado por workflow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cart_abandonment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Conversión por plantilla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cart_abandonment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Funnel de la secuencia + barras comparadas de variantes A/B.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AU-2 · ¿Rinden los flujos de reactivación / reabastecimiento?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¿Qué revenue y conversión aporta cada flujo (30/60/90 días)?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¿Alguno muestra degradación sostenida?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Revenue y conversión por flujo (filtro por nombre)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email_campaigns · push_campaigns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Ranking filtrado + tendencia por flujo.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AU-3 · ¿Alguna automatización está degradada o parada?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¿Algún workflow con caída sostenida o sin envío en los últimos días?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Envíos y conversión diarios por workflow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daily_push · daily_email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Sparklines por workflow con marca de alerta.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Relación: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comparte canal con Marketing y depende del targeting de CRM (a quién reactivar). Su degradación se refleja también en Operaciones y Salud.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6 · CRM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dirigir el marketing a la audiencia correcta y mantener la base de contactos sana.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CR-1 · ¿Cómo se compone y evoluciona mi base de segmentos (incl. RFM)?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¿Qué tamaño tiene cada segmento?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¿Qué segmentos crecen o decaen entre cortes?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¿Cómo evolucionan los buckets RFM que calcula Connectif?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Contactos por segmento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segments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Δ% de tamaño por segmento entre cortes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segments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Treemap de composición + barras divergentes de crecimiento/caída.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CR-2 · ¿Está sana la base de contactos?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¿Cuántas altas y bajas hay cada mes? ¿Cuál es el neto?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¿Sube la tasa de baja (unsubscribe)?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Altas, bajas y neto email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Altas, bajas y neto push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push_subscribers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Waterfall de churn neto + línea de base total.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CR-3 · ¿Qué segmentos priorizar en la próxima campaña?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¿Qué segmentos combinan mayor tamaño y propensión?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¿Qué segmentos de recencia están sanos o estancados?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Tamaño de segmento (y conversión aproximada)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segments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Matriz/scatter tamaño vs. valor (cuadrantes de priorización).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Relación: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dimensiona y dirige las campañas de Marketing y los flujos de reactivación de Automatizaciones. Comparte 'personas' con Clientes, pero su decisión —targeting e higiene de lista— es propia.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7 · Producto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hacer crecer la marca propia (margen superior) y entender qué se vende.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PR-1 · ¿Cómo va la marca propia y su peso sobre el total?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¿Cuál es el revenue y los compradores de la marca propia?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¿Qué % del revenue total representa?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¿Crece más rápido o más lento que el negocio?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Revenue y compradores de marca propia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compradores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% marca propia sobre revenue total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compradores + daily_revenue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Índice de crecimiento marca vs. total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compradores + daily_revenue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Línea índice (base 100) marca vs. total + área apilada 100% del peso.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PR-2 · ¿Qué categorías crecen? (hoy limitado)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¿Cuál es el revenue y ticket medio por categoría?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Revenue y ticket de categoría (nutracéuticos)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monthly_metrics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Ranking multi-categoría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— (una sola categoría exportada)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no disponible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3030"/>
                <w:sz w:val="17"/>
                <w:szCs w:val="17"/>
              </w:rPr>
              <w:t xml:space="preserve">○  Falta dato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Línea/barras por categoría. Se activa plenamente cuando se exporten más categorías desde Connectif.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Relación: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la marca propia es una composición del revenue (contribuye a Revenue), pero su decisión —invertir en marca/categoría— es una disciplina propia de marketing de producto.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8 · Operaciones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que la maquinaria de envío funcione sin roturas (entregabilidad y volumen).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OP-1 · ¿Está sana la entregabilidad?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¿El open rate diario agregado se mantiene estable?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¿Hay caídas anómalas que sugieran un problema técnico?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Open rate diario agregado + Δ vs. baseline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daily_email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Línea con umbral y marcadores de anomalía.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OP-2 · ¿Hay picos operativos de envío?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¿Cuál es el volumen diario de envío de email y push?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¿Hay picos que arriesguen la entregabilidad?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Envíos/día email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daily_email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  <w:tr>
        <w:tc>
          <w:tcPr>
            <w:tcW w:type="dxa" w:w="30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Envíos/día push</w:t>
            </w:r>
          </w:p>
        </w:tc>
        <w:tc>
          <w:tcPr>
            <w:tcW w:type="dxa" w:w="175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daily_push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●  Responde hoy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Calendar heatmap de volumen de envío.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2A44"/>
          <w:sz w:val="23"/>
          <w:szCs w:val="23"/>
        </w:rPr>
        <w:t xml:space="preserve">OP-3 · ¿Algún workflow crítico está parado?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425466"/>
          <w:sz w:val="21"/>
          <w:szCs w:val="21"/>
        </w:rPr>
        <w:t xml:space="preserve">Analítica: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¿Algún flujo que normalmente envía a diario lleva días sin actividad?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50"/>
        <w:gridCol w:w="1750"/>
        <w:gridCol w:w="2560"/>
        <w:gridCol w:w="2000"/>
      </w:tblGrid>
      <w:tr>
        <w:trPr>
          <w:tblHeader/>
        </w:trPr>
        <w:tc>
          <w:tcPr>
            <w:tcW w:type="dxa" w:w="30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(evidencia)</w:t>
            </w:r>
          </w:p>
        </w:tc>
        <w:tc>
          <w:tcPr>
            <w:tcW w:type="dxa" w:w="17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 Supabase</w:t>
            </w:r>
          </w:p>
        </w:tc>
        <w:tc>
          <w:tcPr>
            <w:tcW w:type="dxa" w:w="2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W w:type="dxa" w:w="30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Workflows sin actividad reciente</w:t>
            </w:r>
          </w:p>
        </w:tc>
        <w:tc>
          <w:tcPr>
            <w:tcW w:type="dxa" w:w="17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Connectif</w:t>
            </w:r>
          </w:p>
        </w:tc>
        <w:tc>
          <w:tcPr>
            <w:tcW w:type="dxa" w:w="2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daily_push · daily_email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◐  Madura al acumular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/>
          <w:bCs/>
          <w:color w:val="2C7A7B"/>
          <w:sz w:val="20"/>
          <w:szCs w:val="20"/>
        </w:rPr>
        <w:t xml:space="preserve">Visualización óptima: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Lista/sparklines de workflows críticos con marca de parada.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Relación: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comparte datos diarios con Marketing y Automatizaciones, pero su decisión —proteger la entregabilidad y reparar la maquinaria— es propia. Sus señales alimentan el bloque de anomalías de Salud del Negocio.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Anexo · Exclusiones conscientes (puerta del dato)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Estas preguntas quedan fuera hasta que exista el dato que las sostiene. Documentarlas evita reintroducir humo y marca la hoja de ruta de datos.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Pregunta excluida</w:t>
            </w:r>
          </w:p>
        </w:tc>
        <w:tc>
          <w:tcPr>
            <w:tcW w:type="dxa" w:w="22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Dominio</w:t>
            </w:r>
          </w:p>
        </w:tc>
        <w:tc>
          <w:tcPr>
            <w:tcW w:type="dxa" w:w="37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la desbloquearía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Retención real por cohorte / CLV individual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Clientes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Export a nivel contacto (Contact ID)</w:t>
            </w:r>
          </w:p>
        </w:tc>
      </w:tr>
      <w:tr>
        <w:tc>
          <w:tcPr>
            <w:tcW w:type="dxa" w:w="34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Customer intelligence individual</w:t>
            </w:r>
          </w:p>
        </w:tc>
        <w:tc>
          <w:tcPr>
            <w:tcW w:type="dxa" w:w="22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Clientes / CRM</w:t>
            </w:r>
          </w:p>
        </w:tc>
        <w:tc>
          <w:tcPr>
            <w:tcW w:type="dxa" w:w="37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CDP o export de contactos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Ranking multi-categoría de producto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Producto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Exportar más categorías / SKU desde Connectif</w:t>
            </w:r>
          </w:p>
        </w:tc>
      </w:tr>
      <w:tr>
        <w:tc>
          <w:tcPr>
            <w:tcW w:type="dxa" w:w="34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Fatiga: tasa de baja por campaña</w:t>
            </w:r>
          </w:p>
        </w:tc>
        <w:tc>
          <w:tcPr>
            <w:tcW w:type="dxa" w:w="22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Marketing</w:t>
            </w:r>
          </w:p>
        </w:tc>
        <w:tc>
          <w:tcPr>
            <w:tcW w:type="dxa" w:w="37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Añadir bajas por campaña (Audit D04) al sync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/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BVS · Decision Support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C7A7B"/>
      </w:r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F2A4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Implementación — Especificación de Dominios</dc:title>
  <dc:creator>BVS Analytics</dc:creator>
  <cp:lastModifiedBy>Un-named</cp:lastModifiedBy>
  <cp:revision>1</cp:revision>
  <dcterms:created xsi:type="dcterms:W3CDTF">2026-07-09T15:04:58.762Z</dcterms:created>
  <dcterms:modified xsi:type="dcterms:W3CDTF">2026-07-09T15:04:58.768Z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