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A0554" w14:textId="77777777" w:rsidR="009F05F8" w:rsidRDefault="00000000">
      <w:pPr>
        <w:pStyle w:val="Ttulo2"/>
      </w:pPr>
      <w:r>
        <w:t>7.2.3 Cenário Clínico 3 (</w:t>
      </w:r>
      <w:proofErr w:type="spellStart"/>
      <w:r>
        <w:t>CardioRemoto</w:t>
      </w:r>
      <w:proofErr w:type="spellEnd"/>
      <w:r>
        <w:t xml:space="preserve"> — Universidade Federal da Paraíba/UFPB)</w:t>
      </w:r>
    </w:p>
    <w:p w14:paraId="17CB0CD5" w14:textId="77777777" w:rsidR="009F05F8" w:rsidRDefault="00000000">
      <w:pPr>
        <w:spacing w:after="120"/>
        <w:ind w:firstLine="480"/>
        <w:jc w:val="both"/>
      </w:pPr>
      <w:r>
        <w:t>O Cenário Clínico 3 (</w:t>
      </w:r>
      <w:proofErr w:type="spellStart"/>
      <w:r>
        <w:t>CardioRemoto</w:t>
      </w:r>
      <w:proofErr w:type="spellEnd"/>
      <w:r>
        <w:t>) será desenvolvido no Ambulatório de Telessaúde do Hospital Universitário Lauro Wanderley (HULW), vinculado à Universidade Federal da Paraíba (UFPB), localizado na cidade de João Pessoa/PB. O HULW é hospital de ensino, referência em assistência de média e alta complexidade para o Sistema Único de Saúde (SUS) no estado da Paraíba.</w:t>
      </w:r>
    </w:p>
    <w:p w14:paraId="63B80C63" w14:textId="77777777" w:rsidR="009F05F8" w:rsidRDefault="00000000">
      <w:pPr>
        <w:spacing w:after="120"/>
        <w:ind w:firstLine="480"/>
        <w:jc w:val="both"/>
      </w:pPr>
      <w:r>
        <w:t xml:space="preserve">O Ambulatório de Telessaúde da Endocrinologia do HULW atende pacientes com Diabetes Mellitus (DM) e/ou Hipertensão Arterial Sistêmica (HAS), adultos e idosos com fatores de risco cardiovascular aterosclerótico, encaminhados pela rede básica de saúde ou por outros serviços do próprio HULW. O cenário contempla teleconsultas realizadas pela médica endocrinologista da equipe, com telemonitoramento dos parâmetros clínicos e laboratoriais dos pacientes por meio da plataforma </w:t>
      </w:r>
      <w:proofErr w:type="spellStart"/>
      <w:r>
        <w:t>mareIA</w:t>
      </w:r>
      <w:proofErr w:type="spellEnd"/>
      <w:r>
        <w:t>.</w:t>
      </w:r>
    </w:p>
    <w:p w14:paraId="26C016F8" w14:textId="77777777" w:rsidR="009F05F8" w:rsidRDefault="00000000">
      <w:pPr>
        <w:spacing w:after="120"/>
        <w:ind w:firstLine="480"/>
        <w:jc w:val="both"/>
      </w:pPr>
      <w:r>
        <w:t xml:space="preserve">Os dados dos pacientes são registrados no sistema de gestão hospitalar AGHUX do HULW/UFPB. A integração da plataforma </w:t>
      </w:r>
      <w:proofErr w:type="spellStart"/>
      <w:r>
        <w:t>mareIA</w:t>
      </w:r>
      <w:proofErr w:type="spellEnd"/>
      <w:r>
        <w:t xml:space="preserve"> com o AGHUX (por meio de API FHIR ou protocolo proprietário, a ser definido) permitirá a importação de dados demográficos, comorbidades, medicamentos e histórico de eventos cardiovasculares, minimizando a </w:t>
      </w:r>
      <w:proofErr w:type="spellStart"/>
      <w:r>
        <w:t>redigitação</w:t>
      </w:r>
      <w:proofErr w:type="spellEnd"/>
      <w:r>
        <w:t xml:space="preserve"> e potencializando a interoperabilidade com o SUS Digital.</w:t>
      </w:r>
    </w:p>
    <w:p w14:paraId="323DFC3D" w14:textId="77777777" w:rsidR="009F05F8" w:rsidRDefault="00000000">
      <w:pPr>
        <w:pStyle w:val="Ttulo2"/>
      </w:pPr>
      <w:r>
        <w:t xml:space="preserve">7.4 Critérios de Inclusão e Exclusão — </w:t>
      </w:r>
      <w:proofErr w:type="spellStart"/>
      <w:r>
        <w:t>CardioRemoto</w:t>
      </w:r>
      <w:proofErr w:type="spellEnd"/>
      <w:r>
        <w:t xml:space="preserve"> (UFPB/HULW)</w:t>
      </w:r>
    </w:p>
    <w:p w14:paraId="0F028954" w14:textId="77777777" w:rsidR="009F05F8" w:rsidRDefault="00000000">
      <w:pPr>
        <w:pStyle w:val="Ttulo3"/>
      </w:pPr>
      <w:r>
        <w:t>Público 1 — Pacientes (pessoas cuidadas)</w:t>
      </w:r>
    </w:p>
    <w:p w14:paraId="6F5B14D5" w14:textId="77777777" w:rsidR="009F05F8" w:rsidRDefault="00000000">
      <w:pPr>
        <w:spacing w:after="120"/>
        <w:jc w:val="both"/>
      </w:pPr>
      <w:r>
        <w:t>Critérios de inclusão:</w:t>
      </w:r>
    </w:p>
    <w:p w14:paraId="143B2DDC" w14:textId="77777777" w:rsidR="009F05F8" w:rsidRDefault="00000000">
      <w:pPr>
        <w:spacing w:after="60"/>
        <w:ind w:left="720" w:hanging="360"/>
        <w:jc w:val="both"/>
      </w:pPr>
      <w:r>
        <w:t>• Usuários do SUS com diagnóstico estabelecido de Diabetes Mellitus e/ou Hipertensão Arterial Sistêmica.</w:t>
      </w:r>
    </w:p>
    <w:p w14:paraId="3D5B1BC7" w14:textId="77777777" w:rsidR="009F05F8" w:rsidRDefault="00000000">
      <w:pPr>
        <w:spacing w:after="60"/>
        <w:ind w:left="720" w:hanging="360"/>
        <w:jc w:val="both"/>
      </w:pPr>
      <w:r>
        <w:t>• Adultos (18 anos ou mais) e idosos com fatores de risco cardiovascular aterosclerótico.</w:t>
      </w:r>
    </w:p>
    <w:p w14:paraId="6B456660" w14:textId="77777777" w:rsidR="009F05F8" w:rsidRDefault="00000000">
      <w:pPr>
        <w:spacing w:after="60"/>
        <w:ind w:left="720" w:hanging="360"/>
        <w:jc w:val="both"/>
      </w:pPr>
      <w:r>
        <w:t>• Pacientes cadastrados no Ambulatório de Telessaúde da Endocrinologia do HULW/UFPB.</w:t>
      </w:r>
    </w:p>
    <w:p w14:paraId="60755CD8" w14:textId="77777777" w:rsidR="009F05F8" w:rsidRDefault="00000000">
      <w:pPr>
        <w:spacing w:after="60"/>
        <w:ind w:left="720" w:hanging="360"/>
        <w:jc w:val="both"/>
      </w:pPr>
      <w:r>
        <w:lastRenderedPageBreak/>
        <w:t>• Capacidade de fornecer consentimento livre e esclarecido, avaliada no momento da abordagem.</w:t>
      </w:r>
    </w:p>
    <w:p w14:paraId="1177C0EF" w14:textId="77777777" w:rsidR="009F05F8" w:rsidRDefault="00000000">
      <w:pPr>
        <w:spacing w:after="60"/>
        <w:ind w:left="720" w:hanging="360"/>
        <w:jc w:val="both"/>
      </w:pPr>
      <w:r>
        <w:t>• Possuir acesso a dispositivo móvel (smartphone) com conectividade à internet ou possuir cuidador/familiar que o auxilie no uso do aplicativo.</w:t>
      </w:r>
    </w:p>
    <w:p w14:paraId="3A314AF8" w14:textId="77777777" w:rsidR="009F05F8" w:rsidRDefault="00000000">
      <w:pPr>
        <w:spacing w:after="120"/>
        <w:jc w:val="both"/>
      </w:pPr>
      <w:r>
        <w:t>Critérios de exclusão:</w:t>
      </w:r>
    </w:p>
    <w:p w14:paraId="1015E423" w14:textId="77777777" w:rsidR="009F05F8" w:rsidRDefault="00000000">
      <w:pPr>
        <w:spacing w:after="60"/>
        <w:ind w:left="720" w:hanging="360"/>
        <w:jc w:val="both"/>
      </w:pPr>
      <w:r>
        <w:t>• Pacientes com condições clínicas que impossibilitem o seguimento (neoplasia avançada, doença terminal em cuidados paliativos exclusivos).</w:t>
      </w:r>
    </w:p>
    <w:p w14:paraId="32DDD69A" w14:textId="77777777" w:rsidR="009F05F8" w:rsidRDefault="00000000">
      <w:pPr>
        <w:spacing w:after="60"/>
        <w:ind w:left="720" w:hanging="360"/>
        <w:jc w:val="both"/>
      </w:pPr>
      <w:r>
        <w:t>• Ausência de capacidade cognitiva para compreender os procedimentos da pesquisa e utilizar a plataforma, sem cuidador/familiar responsável que possa auxiliá-lo.</w:t>
      </w:r>
    </w:p>
    <w:p w14:paraId="037E9B27" w14:textId="77777777" w:rsidR="009F05F8" w:rsidRDefault="00000000">
      <w:pPr>
        <w:spacing w:after="60"/>
        <w:ind w:left="720" w:hanging="360"/>
        <w:jc w:val="both"/>
      </w:pPr>
      <w:r>
        <w:t>• Mudança de domicílio para fora da área de abrangência durante o período de acompanhamento.</w:t>
      </w:r>
    </w:p>
    <w:p w14:paraId="2B12EC67" w14:textId="77777777" w:rsidR="009F05F8" w:rsidRDefault="00000000">
      <w:pPr>
        <w:pStyle w:val="Ttulo3"/>
      </w:pPr>
      <w:r>
        <w:t>Público 2 — Profissionais de saúde e equipe administrativa</w:t>
      </w:r>
    </w:p>
    <w:p w14:paraId="1003FEF7" w14:textId="77777777" w:rsidR="009F05F8" w:rsidRDefault="00000000">
      <w:pPr>
        <w:spacing w:after="120"/>
        <w:jc w:val="both"/>
      </w:pPr>
      <w:r>
        <w:t>Critérios de inclusão:</w:t>
      </w:r>
    </w:p>
    <w:p w14:paraId="04591184" w14:textId="77777777" w:rsidR="009F05F8" w:rsidRDefault="00000000">
      <w:pPr>
        <w:spacing w:after="60"/>
        <w:ind w:left="720" w:hanging="360"/>
        <w:jc w:val="both"/>
      </w:pPr>
      <w:r>
        <w:t>• Profissionais de saúde (médicos, enfermeiros, nutricionistas, técnicos) da equipe da Endocrinologia e do Ambulatório de Telessaúde do HULW/UFPB.</w:t>
      </w:r>
    </w:p>
    <w:p w14:paraId="6801A8E0" w14:textId="77777777" w:rsidR="009F05F8" w:rsidRDefault="00000000">
      <w:pPr>
        <w:spacing w:after="60"/>
        <w:ind w:left="720" w:hanging="360"/>
        <w:jc w:val="both"/>
      </w:pPr>
      <w:r>
        <w:t>• Gestores e equipe administrativa responsáveis pela operacionalização do serviço de telessaúde.</w:t>
      </w:r>
    </w:p>
    <w:p w14:paraId="22B894DC" w14:textId="77777777" w:rsidR="009F05F8" w:rsidRDefault="00000000">
      <w:pPr>
        <w:spacing w:after="60"/>
        <w:ind w:left="720" w:hanging="360"/>
        <w:jc w:val="both"/>
      </w:pPr>
      <w:r>
        <w:t>• Possuir vínculo ativo com o HULW/UFPB no período da pesquisa.</w:t>
      </w:r>
    </w:p>
    <w:p w14:paraId="1E337C96" w14:textId="77777777" w:rsidR="009F05F8" w:rsidRDefault="00000000">
      <w:pPr>
        <w:spacing w:after="120"/>
        <w:jc w:val="both"/>
      </w:pPr>
      <w:r>
        <w:t>Critérios de exclusão:</w:t>
      </w:r>
    </w:p>
    <w:p w14:paraId="383F56F7" w14:textId="77777777" w:rsidR="009F05F8" w:rsidRDefault="00000000">
      <w:pPr>
        <w:spacing w:after="60"/>
        <w:ind w:left="720" w:hanging="360"/>
        <w:jc w:val="both"/>
      </w:pPr>
      <w:r>
        <w:t>• Profissionais em férias, afastamento ou licença no período de coleta de dados.</w:t>
      </w:r>
    </w:p>
    <w:p w14:paraId="70F81EB7" w14:textId="77777777" w:rsidR="009F05F8" w:rsidRDefault="00000000">
      <w:pPr>
        <w:pStyle w:val="Ttulo2"/>
      </w:pPr>
      <w:r>
        <w:t xml:space="preserve">7.5.3 Recrutamento dos Participantes — </w:t>
      </w:r>
      <w:proofErr w:type="spellStart"/>
      <w:r>
        <w:t>CardioRemoto</w:t>
      </w:r>
      <w:proofErr w:type="spellEnd"/>
      <w:r>
        <w:t xml:space="preserve"> (UFPB/HULW)</w:t>
      </w:r>
    </w:p>
    <w:p w14:paraId="79BF3C47" w14:textId="77777777" w:rsidR="009F05F8" w:rsidRDefault="00000000">
      <w:pPr>
        <w:pStyle w:val="Ttulo3"/>
      </w:pPr>
      <w:r>
        <w:t>Público 1 (pacientes)</w:t>
      </w:r>
    </w:p>
    <w:p w14:paraId="38785BEA" w14:textId="4FE97195" w:rsidR="009F05F8" w:rsidRDefault="00000000">
      <w:pPr>
        <w:spacing w:after="120"/>
        <w:ind w:firstLine="480"/>
        <w:jc w:val="both"/>
      </w:pPr>
      <w:r>
        <w:t>Os participantes elegíveis serão identificados a partir da lista de pacientes agendados para teleconsulta no Ambulatório de Telessaúde da Endocrinologia do HULW. A identificação considerará o diagnóstico de Diabetes Mellitus e/ou Hipertensão Arterial Sistêmica, registrado no sistema AGHU</w:t>
      </w:r>
      <w:r w:rsidR="004A6EE4">
        <w:t xml:space="preserve">. </w:t>
      </w:r>
    </w:p>
    <w:p w14:paraId="7C6AFE0A" w14:textId="77777777" w:rsidR="009F05F8" w:rsidRDefault="00000000">
      <w:pPr>
        <w:spacing w:after="120"/>
        <w:ind w:firstLine="480"/>
        <w:jc w:val="both"/>
      </w:pPr>
      <w:r>
        <w:lastRenderedPageBreak/>
        <w:t>O recrutamento ocorrerá por convite, no contexto da teleconsulta agendada com a médica endocrinologista da equipe. A pesquisadora responsável (ou membro da equipe de pesquisadores da UFPB) apresentará os objetivos, procedimentos, riscos e benefícios do estudo. O Termo de Consentimento Livre e Esclarecido (TCLE) será apresentado em formato digital (assinatura eletrônica) ou físico (impresso), conforme preferência do participante, em duas vias. Nenhuma coleta de dados precederá o consentimento.</w:t>
      </w:r>
    </w:p>
    <w:p w14:paraId="2FA0C443" w14:textId="77777777" w:rsidR="009F05F8" w:rsidRDefault="00000000">
      <w:pPr>
        <w:pStyle w:val="Ttulo3"/>
      </w:pPr>
      <w:r>
        <w:t>Público 2 (profissionais de saúde, gestores e equipe administrativa)</w:t>
      </w:r>
    </w:p>
    <w:p w14:paraId="45961748" w14:textId="77777777" w:rsidR="009F05F8" w:rsidRDefault="00000000">
      <w:pPr>
        <w:spacing w:after="120"/>
        <w:ind w:firstLine="480"/>
        <w:jc w:val="both"/>
      </w:pPr>
      <w:r>
        <w:t xml:space="preserve">O recrutamento do Público 2 será conduzido pela equipe de pesquisadores da UFPB responsável pelo cenário </w:t>
      </w:r>
      <w:proofErr w:type="spellStart"/>
      <w:r>
        <w:t>CardioRemoto</w:t>
      </w:r>
      <w:proofErr w:type="spellEnd"/>
      <w:r>
        <w:t>, que abordará diretamente os profissionais de saúde, gestores e membros da equipe administrativa do Ambulatório de Telessaúde da Endocrinologia e do HULW. O convite será realizado com esclarecimento sobre os objetivos, procedimentos, riscos e benefícios do estudo. O TCLE será colhido em formato digital ou físico. Nenhuma coleta de dados precederá o consentimento.</w:t>
      </w:r>
    </w:p>
    <w:p w14:paraId="2A07EFF0" w14:textId="77777777" w:rsidR="009F05F8" w:rsidRDefault="00000000">
      <w:pPr>
        <w:pStyle w:val="Ttulo2"/>
      </w:pPr>
      <w:r>
        <w:t xml:space="preserve">7.6.3 Instrumentos de Coleta de Dados — </w:t>
      </w:r>
      <w:proofErr w:type="spellStart"/>
      <w:r>
        <w:t>CardioRemoto</w:t>
      </w:r>
      <w:proofErr w:type="spellEnd"/>
      <w:r>
        <w:t xml:space="preserve"> (UFPB/HULW)</w:t>
      </w:r>
    </w:p>
    <w:p w14:paraId="0D8C884E" w14:textId="77777777" w:rsidR="009F05F8" w:rsidRDefault="00000000">
      <w:pPr>
        <w:spacing w:after="120"/>
        <w:ind w:firstLine="480"/>
        <w:jc w:val="both"/>
      </w:pPr>
      <w:r>
        <w:t xml:space="preserve">Os instrumentos do cenário </w:t>
      </w:r>
      <w:proofErr w:type="spellStart"/>
      <w:r>
        <w:t>CardioRemoto</w:t>
      </w:r>
      <w:proofErr w:type="spellEnd"/>
      <w:r>
        <w:t xml:space="preserve"> serão aplicados no contexto das teleconsultas e das visitas presenciais ao Ambulatório de Telessaúde da Endocrinologia do HULW, conforme detalhado a seguir. Todos os dados serão registrados diretamente na plataforma </w:t>
      </w:r>
      <w:proofErr w:type="spellStart"/>
      <w:r>
        <w:t>mareIA</w:t>
      </w:r>
      <w:proofErr w:type="spellEnd"/>
      <w:r>
        <w:t>, em conformidade com a LGPD.</w:t>
      </w:r>
    </w:p>
    <w:p w14:paraId="6355E210" w14:textId="77777777" w:rsidR="009F05F8" w:rsidRDefault="00000000">
      <w:pPr>
        <w:pStyle w:val="Ttulo3"/>
      </w:pPr>
      <w:r>
        <w:t>7.6.3.1 Dados cadastrais e demográficos</w:t>
      </w:r>
    </w:p>
    <w:p w14:paraId="70CE75D2" w14:textId="77777777" w:rsidR="009F05F8" w:rsidRDefault="00000000">
      <w:pPr>
        <w:spacing w:after="120"/>
        <w:ind w:firstLine="480"/>
        <w:jc w:val="both"/>
      </w:pPr>
      <w:r>
        <w:t xml:space="preserve">Coletados via aplicativo </w:t>
      </w:r>
      <w:proofErr w:type="spellStart"/>
      <w:r>
        <w:t>mareIA</w:t>
      </w:r>
      <w:proofErr w:type="spellEnd"/>
      <w:r>
        <w:t>: nome, data de nascimento (idade calculada automaticamente), cidade, estado, CEP, bairro, cor/raça (conforme categorias oficiais), gênero, diagnóstico prévio de diabetes (sim/não), diagnóstico prévio de hipertensão arterial (sim/não), histórico de evento cardiovascular (infarto, AVC isquêmico, doença arterial periférica — sim/não), uso de anti-hipertensivo (sim/não), uso de estatina (sim/não), tabagismo (sim/não/</w:t>
      </w:r>
      <w:proofErr w:type="spellStart"/>
      <w:r>
        <w:t>ex-tabagista</w:t>
      </w:r>
      <w:proofErr w:type="spellEnd"/>
      <w:r>
        <w:t>) e prática de atividade física (sim/não).</w:t>
      </w:r>
    </w:p>
    <w:p w14:paraId="3B8AFCB7" w14:textId="77777777" w:rsidR="009F05F8" w:rsidRDefault="00000000">
      <w:pPr>
        <w:pStyle w:val="Ttulo3"/>
      </w:pPr>
      <w:r>
        <w:t>7.6.3.2 Dados antropométricos coletados por dispositivos IoT</w:t>
      </w:r>
    </w:p>
    <w:p w14:paraId="5E0DC308" w14:textId="32C5A2AC" w:rsidR="009F05F8" w:rsidRDefault="00000000">
      <w:pPr>
        <w:spacing w:after="120"/>
        <w:ind w:firstLine="480"/>
        <w:jc w:val="both"/>
      </w:pPr>
      <w:r>
        <w:lastRenderedPageBreak/>
        <w:t>Peso (balança digital com conectividade Bluetooth, certificada pela ANVISA), altura (</w:t>
      </w:r>
      <w:proofErr w:type="spellStart"/>
      <w:r>
        <w:t>estadiômetro</w:t>
      </w:r>
      <w:proofErr w:type="spellEnd"/>
      <w:r>
        <w:t xml:space="preserve">), circunferência da cintura (fita métrica). O Índice de Massa Corporal (IMC) e a relação cintura/altura serão calculados automaticamente pela plataforma. </w:t>
      </w:r>
    </w:p>
    <w:p w14:paraId="50FFFFD8" w14:textId="77777777" w:rsidR="009F05F8" w:rsidRDefault="00000000">
      <w:pPr>
        <w:pStyle w:val="Ttulo3"/>
      </w:pPr>
      <w:r>
        <w:t>7.6.3.3 Sinais vitais coletados por dispositivos IoT</w:t>
      </w:r>
    </w:p>
    <w:p w14:paraId="0806D791" w14:textId="77777777" w:rsidR="009F05F8" w:rsidRDefault="00000000">
      <w:pPr>
        <w:spacing w:after="120"/>
        <w:ind w:firstLine="480"/>
        <w:jc w:val="both"/>
      </w:pPr>
      <w:r>
        <w:t>Pressão arterial sistólica e diastólica (esfigmomanômetro digital com conectividade Bluetooth, certificado pela ANVISA), frequência cardíaca (bpm), glicemia capilar (glicosímetro digital com conectividade Bluetooth, certificado pela ANVISA). O protocolo de aferição da pressão arterial segue recomendações padronizadas: paciente sentado, com 5 minutos de repouso prévio, realizadas duas medidas com intervalo de 1 minuto, adotando-se a média das duas aferições.</w:t>
      </w:r>
    </w:p>
    <w:p w14:paraId="09887DD7" w14:textId="77777777" w:rsidR="009F05F8" w:rsidRDefault="00000000">
      <w:pPr>
        <w:pStyle w:val="Ttulo3"/>
      </w:pPr>
      <w:r>
        <w:t>7.6.3.4 Exames laboratoriais</w:t>
      </w:r>
    </w:p>
    <w:p w14:paraId="5450625E" w14:textId="586F283E" w:rsidR="009F05F8" w:rsidRDefault="00000000">
      <w:pPr>
        <w:spacing w:after="120"/>
        <w:ind w:firstLine="480"/>
        <w:jc w:val="both"/>
      </w:pPr>
      <w:r>
        <w:t>Coleta</w:t>
      </w:r>
      <w:r w:rsidR="004A6EE4">
        <w:t xml:space="preserve"> marcada no</w:t>
      </w:r>
      <w:r>
        <w:t xml:space="preserve"> dia da </w:t>
      </w:r>
      <w:r w:rsidR="004A6EE4">
        <w:t>tele</w:t>
      </w:r>
      <w:r>
        <w:t xml:space="preserve">consulta, no HULW: glicemia de jejum, hemoglobina glicada (HbA1c), colesterol total, HDL-colesterol, LDL-colesterol, triglicerídeos, creatinina, ureia, TSH, TGO, TGP, CPK, hemograma (hemoglobina, </w:t>
      </w:r>
      <w:proofErr w:type="spellStart"/>
      <w:r>
        <w:t>hematrócrito</w:t>
      </w:r>
      <w:proofErr w:type="spellEnd"/>
      <w:r>
        <w:t>, leucócitos, plaquetas) e relação albumina/creatinina urinária. A taxa de filtração glomerular (TFG) e o não-HDL serão calculados automaticamente pela plataforma (TFG pela equação CKD-EPI; não-HDL = colesterol total − HDL).</w:t>
      </w:r>
    </w:p>
    <w:p w14:paraId="2ADA9202" w14:textId="77777777" w:rsidR="009F05F8" w:rsidRDefault="00000000">
      <w:pPr>
        <w:pStyle w:val="Ttulo3"/>
      </w:pPr>
      <w:r>
        <w:t>7.6.3.5 Fluxogramas clínicos de triagem integrados à plataforma</w:t>
      </w:r>
    </w:p>
    <w:p w14:paraId="1E2012BF" w14:textId="77777777" w:rsidR="009F05F8" w:rsidRDefault="00000000">
      <w:pPr>
        <w:spacing w:after="120"/>
        <w:ind w:firstLine="480"/>
        <w:jc w:val="both"/>
      </w:pPr>
      <w:r>
        <w:t xml:space="preserve">A plataforma </w:t>
      </w:r>
      <w:proofErr w:type="spellStart"/>
      <w:r>
        <w:t>mareIA</w:t>
      </w:r>
      <w:proofErr w:type="spellEnd"/>
      <w:r>
        <w:t xml:space="preserve"> incorpora quatro fluxogramas clínicos de triagem, baseados em diretrizes brasileiras, que orientam o encaminhamento dos pacientes a partir dos dados coletados:</w:t>
      </w:r>
    </w:p>
    <w:p w14:paraId="4F7BEFD2" w14:textId="77777777" w:rsidR="009F05F8" w:rsidRDefault="00000000">
      <w:pPr>
        <w:spacing w:after="60"/>
        <w:ind w:left="720" w:hanging="360"/>
        <w:jc w:val="both"/>
      </w:pPr>
      <w:r>
        <w:rPr>
          <w:b/>
          <w:bCs/>
        </w:rPr>
        <w:t xml:space="preserve">• Fluxograma de Diabetes: </w:t>
      </w:r>
      <w:r>
        <w:t>baseado nos níveis de HbA1c, glicemia de jejum e glicemia aleatória (HGT). Classifica o controle glicêmico em faixas (HbA1c &lt; 7% controlado; 7–9% não controlado; ≥9% grave) com metas individualizadas para idosos (&lt; 7,5% ou 8%). Inclui protocolos de urgência para hiperglicemia severa (≥250 mg/</w:t>
      </w:r>
      <w:proofErr w:type="spellStart"/>
      <w:r>
        <w:t>dL</w:t>
      </w:r>
      <w:proofErr w:type="spellEnd"/>
      <w:r>
        <w:t>) e hipoglicemia (&lt; 70 mg/</w:t>
      </w:r>
      <w:proofErr w:type="spellStart"/>
      <w:r>
        <w:t>dL</w:t>
      </w:r>
      <w:proofErr w:type="spellEnd"/>
      <w:r>
        <w:t>).</w:t>
      </w:r>
    </w:p>
    <w:p w14:paraId="60AC1B3C" w14:textId="77777777" w:rsidR="009F05F8" w:rsidRDefault="00000000">
      <w:pPr>
        <w:spacing w:after="60"/>
        <w:ind w:left="720" w:hanging="360"/>
        <w:jc w:val="both"/>
      </w:pPr>
      <w:r>
        <w:rPr>
          <w:b/>
          <w:bCs/>
        </w:rPr>
        <w:t xml:space="preserve">• Fluxograma de Hipertensão Arterial Sistêmica: </w:t>
      </w:r>
      <w:r>
        <w:t xml:space="preserve">baseado nos valores de pressão arterial, com metas diferenciadas para pacientes em uso de anti-hipertensivo (&lt; 130×80 mmHg) e sem uso (&lt; 120×80 mmHg). Identifica: controlado, não controlado </w:t>
      </w:r>
      <w:r>
        <w:lastRenderedPageBreak/>
        <w:t xml:space="preserve">(130×80 a 179×119 mmHg), </w:t>
      </w:r>
      <w:proofErr w:type="spellStart"/>
      <w:r>
        <w:t>pré</w:t>
      </w:r>
      <w:proofErr w:type="spellEnd"/>
      <w:r>
        <w:t>-hipertensão (120×80 a 139×89 mmHg), emergência (&gt; 180×120 mmHg) e hipotensão (&lt; 90×60 mmHg).</w:t>
      </w:r>
    </w:p>
    <w:p w14:paraId="459DC5BB" w14:textId="77777777" w:rsidR="009F05F8" w:rsidRDefault="00000000">
      <w:pPr>
        <w:spacing w:after="60"/>
        <w:ind w:left="720" w:hanging="360"/>
        <w:jc w:val="both"/>
      </w:pPr>
      <w:r>
        <w:rPr>
          <w:b/>
          <w:bCs/>
        </w:rPr>
        <w:t xml:space="preserve">• Fluxograma de Dislipidemia: </w:t>
      </w:r>
      <w:r>
        <w:t>baseado nos níveis de LDL-colesterol e triglicerídeos. Estratifica em quatro faixas de LDL (&lt; 100, 100–159, 160–189 e ≥190 mg/</w:t>
      </w:r>
      <w:proofErr w:type="spellStart"/>
      <w:r>
        <w:t>dL</w:t>
      </w:r>
      <w:proofErr w:type="spellEnd"/>
      <w:r>
        <w:t>) e dois níveis críticos de triglicerídeos (&gt; 500 e &gt; 1000 mg/</w:t>
      </w:r>
      <w:proofErr w:type="spellStart"/>
      <w:r>
        <w:t>dL</w:t>
      </w:r>
      <w:proofErr w:type="spellEnd"/>
      <w:r>
        <w:t>, este último com risco de pancreatite aguda).</w:t>
      </w:r>
    </w:p>
    <w:p w14:paraId="50B77737" w14:textId="77777777" w:rsidR="009F05F8" w:rsidRDefault="00000000">
      <w:pPr>
        <w:spacing w:after="60"/>
        <w:ind w:left="720" w:hanging="360"/>
        <w:jc w:val="both"/>
      </w:pPr>
      <w:r>
        <w:rPr>
          <w:b/>
          <w:bCs/>
        </w:rPr>
        <w:t xml:space="preserve">• Fluxograma de Evento Cardiovascular: </w:t>
      </w:r>
      <w:r>
        <w:t>de caráter exclusivamente de urgência. Qualquer sinal ou sintoma compatível com síndrome coronariana aguda ou acidente vascular cerebral (dor torácica, déficit neurológico agudo, dispneia, síncope, convulsões) gera encaminhamento imediato ao serviço de urgência/emergência.</w:t>
      </w:r>
    </w:p>
    <w:p w14:paraId="2965627B" w14:textId="77777777" w:rsidR="009F05F8" w:rsidRDefault="00000000">
      <w:pPr>
        <w:pStyle w:val="Ttulo3"/>
      </w:pPr>
      <w:r>
        <w:t>7.6.3.6 Instrumentos de usabilidade e avaliação (Etapa 1)</w:t>
      </w:r>
    </w:p>
    <w:p w14:paraId="317FD8EF" w14:textId="77777777" w:rsidR="009F05F8" w:rsidRDefault="00000000">
      <w:pPr>
        <w:spacing w:after="120"/>
        <w:ind w:firstLine="480"/>
        <w:jc w:val="both"/>
      </w:pPr>
      <w:r>
        <w:t xml:space="preserve">Na Etapa 1 (pesquisa formativa e usabilidade), serão aplicados instrumentos de usabilidade para os dois públicos-alvo: questionários padronizados de avalição de usabilidade (ex.: System </w:t>
      </w:r>
      <w:proofErr w:type="spellStart"/>
      <w:r>
        <w:t>Usability</w:t>
      </w:r>
      <w:proofErr w:type="spellEnd"/>
      <w:r>
        <w:t xml:space="preserve"> </w:t>
      </w:r>
      <w:proofErr w:type="spellStart"/>
      <w:r>
        <w:t>Scale</w:t>
      </w:r>
      <w:proofErr w:type="spellEnd"/>
      <w:r>
        <w:t xml:space="preserve"> — SUS), roteiros semiestruturados de entrevista e observação do uso da plataforma. Os instrumentos serão definidos em Anexo específico.</w:t>
      </w:r>
    </w:p>
    <w:p w14:paraId="10B210E9" w14:textId="77777777" w:rsidR="009F05F8" w:rsidRDefault="00000000">
      <w:pPr>
        <w:pStyle w:val="Ttulo3"/>
      </w:pPr>
      <w:r>
        <w:t>7.6.3.7 Questionários de viabilidade e satisfação (Etapa 2)</w:t>
      </w:r>
    </w:p>
    <w:p w14:paraId="1A3F6415" w14:textId="77777777" w:rsidR="009F05F8" w:rsidRDefault="00000000">
      <w:pPr>
        <w:spacing w:after="120"/>
        <w:ind w:firstLine="480"/>
        <w:jc w:val="both"/>
      </w:pPr>
      <w:r>
        <w:t>Na Etapa 2 (pesquisa de viabilidade e aceitabilidade), serão aplicados questionários de satisfação e aceitabilidade para os dois públicos-alvo, além da coleta de indicadores de processo (taxa de cadastro, completude de coleta, taxa de sincronização offline, tempo de resposta a alertas). Os instrumentos serão definidos em Anexo específico.</w:t>
      </w:r>
    </w:p>
    <w:p w14:paraId="0CEF3E44" w14:textId="77777777" w:rsidR="009F05F8" w:rsidRDefault="00000000">
      <w:pPr>
        <w:pStyle w:val="Ttulo2"/>
      </w:pPr>
      <w:r>
        <w:t xml:space="preserve">7.7.3 Procedimentos para Coleta de Dados — </w:t>
      </w:r>
      <w:proofErr w:type="spellStart"/>
      <w:r>
        <w:t>CardioRemoto</w:t>
      </w:r>
      <w:proofErr w:type="spellEnd"/>
      <w:r>
        <w:t xml:space="preserve"> (UFPB/HULW)</w:t>
      </w:r>
    </w:p>
    <w:p w14:paraId="513478DD" w14:textId="77777777" w:rsidR="009F05F8" w:rsidRDefault="00000000">
      <w:pPr>
        <w:spacing w:after="120"/>
        <w:ind w:firstLine="480"/>
        <w:jc w:val="both"/>
      </w:pPr>
      <w:r>
        <w:t xml:space="preserve">Os procedimentos do cenário </w:t>
      </w:r>
      <w:proofErr w:type="spellStart"/>
      <w:r>
        <w:t>CardioRemoto</w:t>
      </w:r>
      <w:proofErr w:type="spellEnd"/>
      <w:r>
        <w:t xml:space="preserve"> seguem o Fluxo Clínico Geral da Plataforma </w:t>
      </w:r>
      <w:proofErr w:type="spellStart"/>
      <w:r>
        <w:t>mareIA</w:t>
      </w:r>
      <w:proofErr w:type="spellEnd"/>
      <w:r>
        <w:t xml:space="preserve">, estruturado nas </w:t>
      </w:r>
      <w:proofErr w:type="spellStart"/>
      <w:r>
        <w:t>macrofases</w:t>
      </w:r>
      <w:proofErr w:type="spellEnd"/>
      <w:r>
        <w:t xml:space="preserve"> descritas a seguir, conforme o fluxograma clínico do </w:t>
      </w:r>
      <w:proofErr w:type="spellStart"/>
      <w:r>
        <w:t>CardioRemoto</w:t>
      </w:r>
      <w:proofErr w:type="spellEnd"/>
      <w:r>
        <w:t xml:space="preserve"> (Figura X — a ser anexada).</w:t>
      </w:r>
    </w:p>
    <w:p w14:paraId="650D9F08" w14:textId="77777777" w:rsidR="009F05F8" w:rsidRDefault="00000000">
      <w:pPr>
        <w:pStyle w:val="Ttulo3"/>
      </w:pPr>
      <w:r>
        <w:t>7.7.3.1 Capacitação da equipe</w:t>
      </w:r>
    </w:p>
    <w:p w14:paraId="569AF38F" w14:textId="77777777" w:rsidR="009F05F8" w:rsidRDefault="00000000">
      <w:pPr>
        <w:spacing w:after="120"/>
        <w:ind w:firstLine="480"/>
        <w:jc w:val="both"/>
      </w:pPr>
      <w:r>
        <w:t xml:space="preserve">Antes do início da coleta, a equipe de profissionais de saúde do Ambulatório de Telessaúde da Endocrinologia do HULW receberá capacitação conduzida pela equipe de </w:t>
      </w:r>
      <w:r>
        <w:lastRenderedPageBreak/>
        <w:t xml:space="preserve">pesquisadores da UFPB responsável pelo </w:t>
      </w:r>
      <w:proofErr w:type="spellStart"/>
      <w:r>
        <w:t>CardioRemoto</w:t>
      </w:r>
      <w:proofErr w:type="spellEnd"/>
      <w:r>
        <w:t xml:space="preserve">. O conteúdo da capacitação inclui: uso do aplicativo da plataforma </w:t>
      </w:r>
      <w:proofErr w:type="spellStart"/>
      <w:r>
        <w:t>mareIA</w:t>
      </w:r>
      <w:proofErr w:type="spellEnd"/>
      <w:r>
        <w:t xml:space="preserve">; aplicação do TCLE; coleta de dados com dispositivos IoT (esfigmomanômetro, glicosímetro, balança, </w:t>
      </w:r>
      <w:proofErr w:type="spellStart"/>
      <w:r>
        <w:t>estadiômetro</w:t>
      </w:r>
      <w:proofErr w:type="spellEnd"/>
      <w:r>
        <w:t>); registro dos dados no aplicativo; interpretação dos fluxogramas de triagem clínica; e manejo dos alertas gerados pela plataforma. Os pacientes (Público 1) receberão capacitação para uso do aplicativo, realizada pela equipe de pesquisadores com apoio da médica endocrinologista.</w:t>
      </w:r>
    </w:p>
    <w:p w14:paraId="117EA63E" w14:textId="77777777" w:rsidR="009F05F8" w:rsidRDefault="00000000">
      <w:pPr>
        <w:pStyle w:val="Ttulo3"/>
      </w:pPr>
      <w:r>
        <w:t xml:space="preserve">7.7.3.2 </w:t>
      </w:r>
      <w:proofErr w:type="spellStart"/>
      <w:r>
        <w:t>Macrofase</w:t>
      </w:r>
      <w:proofErr w:type="spellEnd"/>
      <w:r>
        <w:t xml:space="preserve"> 1 — Elegibilidade e entrada do paciente</w:t>
      </w:r>
    </w:p>
    <w:p w14:paraId="42BC6493" w14:textId="12439460" w:rsidR="009F05F8" w:rsidRDefault="00000000">
      <w:pPr>
        <w:spacing w:after="120"/>
        <w:ind w:firstLine="480"/>
        <w:jc w:val="both"/>
      </w:pPr>
      <w:r>
        <w:t xml:space="preserve">A identificação do participante iniciará com a verificação </w:t>
      </w:r>
      <w:r w:rsidR="004A6EE4">
        <w:t>de paciente do a</w:t>
      </w:r>
      <w:r w:rsidR="004A6EE4">
        <w:t>mbulatório de Telessaúde da Endocrinologia do HULW</w:t>
      </w:r>
      <w:r w:rsidR="004A6EE4">
        <w:t xml:space="preserve"> </w:t>
      </w:r>
      <w:r>
        <w:t xml:space="preserve">diagnosticado com DM e/ou HAS, adulto ou idoso com fatores de risco cardiovascular aterosclerótico. Na </w:t>
      </w:r>
      <w:r w:rsidR="001D56D9">
        <w:t>tele</w:t>
      </w:r>
      <w:r>
        <w:t xml:space="preserve">consulta, serão verificados os critérios de elegibilidade e realizada a abordagem para consentimento (TCLE). Após o consentimento, os dados cadastrais serão registrados no sistema AGHU e </w:t>
      </w:r>
      <w:r w:rsidR="001D56D9">
        <w:t>na</w:t>
      </w:r>
      <w:r>
        <w:t xml:space="preserve"> plataforma </w:t>
      </w:r>
      <w:proofErr w:type="spellStart"/>
      <w:r>
        <w:t>mareIA</w:t>
      </w:r>
      <w:proofErr w:type="spellEnd"/>
      <w:r>
        <w:t>.</w:t>
      </w:r>
    </w:p>
    <w:p w14:paraId="506B4341" w14:textId="77777777" w:rsidR="009F05F8" w:rsidRDefault="00000000">
      <w:pPr>
        <w:pStyle w:val="Ttulo3"/>
      </w:pPr>
      <w:r>
        <w:t xml:space="preserve">7.7.3.3 </w:t>
      </w:r>
      <w:proofErr w:type="spellStart"/>
      <w:r>
        <w:t>Macrofase</w:t>
      </w:r>
      <w:proofErr w:type="spellEnd"/>
      <w:r>
        <w:t xml:space="preserve"> 2 — Triagem inicial</w:t>
      </w:r>
    </w:p>
    <w:p w14:paraId="3DFFE503" w14:textId="6E4A7393" w:rsidR="009F05F8" w:rsidRDefault="00000000">
      <w:pPr>
        <w:spacing w:after="120"/>
        <w:ind w:firstLine="480"/>
        <w:jc w:val="both"/>
      </w:pPr>
      <w:r>
        <w:t xml:space="preserve">Na primeira </w:t>
      </w:r>
      <w:r w:rsidR="001D56D9">
        <w:t>tele</w:t>
      </w:r>
      <w:r>
        <w:t>consulta, serão coletados os dados cadastrais</w:t>
      </w:r>
      <w:r w:rsidR="001D56D9">
        <w:t xml:space="preserve">, </w:t>
      </w:r>
      <w:r>
        <w:t>demográficos</w:t>
      </w:r>
      <w:r w:rsidR="001D56D9">
        <w:t xml:space="preserve"> e</w:t>
      </w:r>
      <w:r w:rsidR="001D56D9" w:rsidRPr="001D56D9">
        <w:t xml:space="preserve"> </w:t>
      </w:r>
      <w:r w:rsidR="001D56D9">
        <w:t>os exames laboratoriais</w:t>
      </w:r>
      <w:r w:rsidR="001D56D9">
        <w:t xml:space="preserve"> com resultados disponíveis. Posteriormente, em data previamente agendada, </w:t>
      </w:r>
      <w:r>
        <w:t xml:space="preserve">os dados antropométricos (peso, altura, circunferência da cintura) por dispositivos IoT; os sinais vitais (pressão arterial, frequência cardíaca, glicemia capilar) por dispositivos IoT. Todos os dados serão registrados no aplicativo </w:t>
      </w:r>
      <w:proofErr w:type="spellStart"/>
      <w:r>
        <w:t>mareIA</w:t>
      </w:r>
      <w:proofErr w:type="spellEnd"/>
      <w:r>
        <w:t>, que exibirá os dados históricos, as metas individualizadas e o status de controle de cada parâmetro.</w:t>
      </w:r>
    </w:p>
    <w:p w14:paraId="1D017A1C" w14:textId="77777777" w:rsidR="009F05F8" w:rsidRDefault="00000000">
      <w:pPr>
        <w:pStyle w:val="Ttulo3"/>
      </w:pPr>
      <w:r>
        <w:t xml:space="preserve">7.7.3.4 </w:t>
      </w:r>
      <w:proofErr w:type="spellStart"/>
      <w:r>
        <w:t>Macrofase</w:t>
      </w:r>
      <w:proofErr w:type="spellEnd"/>
      <w:r>
        <w:t xml:space="preserve"> 3 — Análise de risco e classificação</w:t>
      </w:r>
    </w:p>
    <w:p w14:paraId="5CB64BBA" w14:textId="77777777" w:rsidR="009F05F8" w:rsidRDefault="00000000">
      <w:pPr>
        <w:spacing w:after="120"/>
        <w:ind w:firstLine="480"/>
        <w:jc w:val="both"/>
      </w:pPr>
      <w:r>
        <w:t>A plataforma realizará cálculos automáticos de IMC, classificação de controle (pressão arterial, HbA1c, LDL), variação de peso entre visitas e tendências dos parâmetros ao longo do tempo. A classificação de risco será binária, por fator de risco modificável (HAS, DM, Dislipidemia): CONTROLADO (verde) — pressão arterial &lt; 140/90 mmHg (ou meta individualizada), HbA1c &lt; 7% (ou meta individualizada), LDL na meta, sem evento cardiovascular recente, glicemia capilar estável; ou NÃO CONTROLADO, subdividido em Moderado (amarelo) — 1 a 2 parâmetros fora da meta, sem gravidade e sem evento cardiovascular recente; ou Grave (vermelho) — 3 ou mais parâmetros fora da meta, ou qualquer parâmetro crítico, ou evento cardiovascular recente.</w:t>
      </w:r>
    </w:p>
    <w:p w14:paraId="58840A51" w14:textId="77777777" w:rsidR="009F05F8" w:rsidRDefault="00000000">
      <w:pPr>
        <w:pStyle w:val="Ttulo3"/>
      </w:pPr>
      <w:r>
        <w:lastRenderedPageBreak/>
        <w:t xml:space="preserve">7.7.3.5 </w:t>
      </w:r>
      <w:proofErr w:type="spellStart"/>
      <w:r>
        <w:t>Macrofase</w:t>
      </w:r>
      <w:proofErr w:type="spellEnd"/>
      <w:r>
        <w:t xml:space="preserve"> 4 — Ciclo de monitoramento</w:t>
      </w:r>
    </w:p>
    <w:p w14:paraId="5C8CA6E8" w14:textId="77777777" w:rsidR="009F05F8" w:rsidRDefault="00000000">
      <w:pPr>
        <w:spacing w:after="120"/>
        <w:ind w:firstLine="480"/>
        <w:jc w:val="both"/>
      </w:pPr>
      <w:r>
        <w:t>A coleta de dados será alinhada às visitas hospitalares agendadas para realização de exames laboratoriais, sem periodicidade fixa, dependendo da necessidade individual de cada paciente. O monitoramento será estratificado por risco: pacientes CONTROLADOS serão monitorados a cada 3 a 6 meses, com aferição de pressão arterial, frequência cardíaca, glicemia capilar, dados antropométricos e exame de fundo de olho, com manutenção do tratamento e educação em saúde para DCNT; pacientes NÃO CONTROLADOS serão monitorados de forma quinzenal a mensal, com coleta completa (pressão arterial, frequência cardíaca, glicemia capilar, antropometria, exames laboratoriais) e encaminhamento prioritário para avaliação médica e nutricionista, com ajuste terapêutico.</w:t>
      </w:r>
    </w:p>
    <w:p w14:paraId="1AEBF830" w14:textId="77777777" w:rsidR="009F05F8" w:rsidRDefault="00000000">
      <w:pPr>
        <w:spacing w:after="120"/>
        <w:ind w:firstLine="480"/>
        <w:jc w:val="both"/>
      </w:pPr>
      <w:r>
        <w:t>Em toda visita, serão coletados itens-sentinela: pressão arterial (sentinela principal para HAS), glicemia capilar (sentinela principal para DM), sintomas de hipoglicemia (tremores, sudorese, confusão, desmaio), variação de peso e circunferência da cintura.</w:t>
      </w:r>
    </w:p>
    <w:p w14:paraId="699CFE1C" w14:textId="77777777" w:rsidR="009F05F8" w:rsidRDefault="00000000">
      <w:pPr>
        <w:pStyle w:val="Ttulo3"/>
      </w:pPr>
      <w:r>
        <w:t xml:space="preserve">7.7.3.6 </w:t>
      </w:r>
      <w:proofErr w:type="spellStart"/>
      <w:r>
        <w:t>Macrofase</w:t>
      </w:r>
      <w:proofErr w:type="spellEnd"/>
      <w:r>
        <w:t xml:space="preserve"> 5 — Sistema de alertas</w:t>
      </w:r>
    </w:p>
    <w:p w14:paraId="46CD6C9C" w14:textId="77777777" w:rsidR="009F05F8" w:rsidRDefault="00000000">
      <w:pPr>
        <w:spacing w:after="120"/>
        <w:ind w:firstLine="480"/>
        <w:jc w:val="both"/>
      </w:pPr>
      <w:r>
        <w:t>A plataforma gerará alertas em quatro níveis, com prazos e ações específicas: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3954"/>
        <w:gridCol w:w="2197"/>
        <w:gridCol w:w="1318"/>
      </w:tblGrid>
      <w:tr w:rsidR="009F05F8" w14:paraId="1883DDB9" w14:textId="77777777">
        <w:tblPrEx>
          <w:tblCellMar>
            <w:top w:w="0" w:type="dxa"/>
            <w:bottom w:w="0" w:type="dxa"/>
          </w:tblCellMar>
        </w:tblPrEx>
        <w:trPr>
          <w:tblHeader/>
        </w:trPr>
        <w:tc>
          <w:tcPr>
            <w:tcW w:w="750" w:type="pct"/>
            <w:tcBorders>
              <w:top w:val="single" w:sz="1" w:space="0" w:color="000000"/>
              <w:left w:val="single" w:sz="1" w:space="0" w:color="000000"/>
              <w:bottom w:val="single" w:sz="1" w:space="0" w:color="000000"/>
              <w:right w:val="single" w:sz="1" w:space="0" w:color="000000"/>
            </w:tcBorders>
            <w:shd w:val="clear" w:color="auto" w:fill="F5F7FA"/>
          </w:tcPr>
          <w:p w14:paraId="51CC80DA" w14:textId="77777777" w:rsidR="009F05F8" w:rsidRDefault="00000000">
            <w:pPr>
              <w:spacing w:before="40" w:after="40" w:line="300" w:lineRule="auto"/>
            </w:pPr>
            <w:r>
              <w:rPr>
                <w:b/>
                <w:bCs/>
                <w:sz w:val="22"/>
                <w:szCs w:val="22"/>
              </w:rPr>
              <w:t>Nível</w:t>
            </w:r>
          </w:p>
        </w:tc>
        <w:tc>
          <w:tcPr>
            <w:tcW w:w="2250" w:type="pct"/>
            <w:tcBorders>
              <w:top w:val="single" w:sz="1" w:space="0" w:color="000000"/>
              <w:left w:val="single" w:sz="1" w:space="0" w:color="000000"/>
              <w:bottom w:val="single" w:sz="1" w:space="0" w:color="000000"/>
              <w:right w:val="single" w:sz="1" w:space="0" w:color="000000"/>
            </w:tcBorders>
            <w:shd w:val="clear" w:color="auto" w:fill="F5F7FA"/>
          </w:tcPr>
          <w:p w14:paraId="2D77FF6B" w14:textId="77777777" w:rsidR="009F05F8" w:rsidRDefault="00000000">
            <w:pPr>
              <w:spacing w:before="40" w:after="40" w:line="300" w:lineRule="auto"/>
            </w:pPr>
            <w:r>
              <w:rPr>
                <w:b/>
                <w:bCs/>
                <w:sz w:val="22"/>
                <w:szCs w:val="22"/>
              </w:rPr>
              <w:t>Gatilhos</w:t>
            </w:r>
          </w:p>
        </w:tc>
        <w:tc>
          <w:tcPr>
            <w:tcW w:w="1250" w:type="pct"/>
            <w:tcBorders>
              <w:top w:val="single" w:sz="1" w:space="0" w:color="000000"/>
              <w:left w:val="single" w:sz="1" w:space="0" w:color="000000"/>
              <w:bottom w:val="single" w:sz="1" w:space="0" w:color="000000"/>
              <w:right w:val="single" w:sz="1" w:space="0" w:color="000000"/>
            </w:tcBorders>
            <w:shd w:val="clear" w:color="auto" w:fill="F5F7FA"/>
          </w:tcPr>
          <w:p w14:paraId="6F8E65A3" w14:textId="77777777" w:rsidR="009F05F8" w:rsidRDefault="00000000">
            <w:pPr>
              <w:spacing w:before="40" w:after="40" w:line="300" w:lineRule="auto"/>
            </w:pPr>
            <w:r>
              <w:rPr>
                <w:b/>
                <w:bCs/>
                <w:sz w:val="22"/>
                <w:szCs w:val="22"/>
              </w:rPr>
              <w:t>Ação</w:t>
            </w:r>
          </w:p>
        </w:tc>
        <w:tc>
          <w:tcPr>
            <w:tcW w:w="750" w:type="pct"/>
            <w:tcBorders>
              <w:top w:val="single" w:sz="1" w:space="0" w:color="000000"/>
              <w:left w:val="single" w:sz="1" w:space="0" w:color="000000"/>
              <w:bottom w:val="single" w:sz="1" w:space="0" w:color="000000"/>
              <w:right w:val="single" w:sz="1" w:space="0" w:color="000000"/>
            </w:tcBorders>
            <w:shd w:val="clear" w:color="auto" w:fill="F5F7FA"/>
          </w:tcPr>
          <w:p w14:paraId="44DE2024" w14:textId="77777777" w:rsidR="009F05F8" w:rsidRDefault="00000000">
            <w:pPr>
              <w:spacing w:before="40" w:after="40" w:line="300" w:lineRule="auto"/>
            </w:pPr>
            <w:r>
              <w:rPr>
                <w:b/>
                <w:bCs/>
                <w:sz w:val="22"/>
                <w:szCs w:val="22"/>
              </w:rPr>
              <w:t>Prazo</w:t>
            </w:r>
          </w:p>
        </w:tc>
      </w:tr>
      <w:tr w:rsidR="009F05F8" w14:paraId="0F7BBA10" w14:textId="77777777">
        <w:tblPrEx>
          <w:tblCellMar>
            <w:top w:w="0" w:type="dxa"/>
            <w:bottom w:w="0" w:type="dxa"/>
          </w:tblCellMar>
        </w:tblPrEx>
        <w:tc>
          <w:tcPr>
            <w:tcW w:w="750" w:type="pct"/>
            <w:tcBorders>
              <w:top w:val="single" w:sz="1" w:space="0" w:color="000000"/>
              <w:left w:val="single" w:sz="1" w:space="0" w:color="000000"/>
              <w:bottom w:val="single" w:sz="1" w:space="0" w:color="000000"/>
              <w:right w:val="single" w:sz="1" w:space="0" w:color="000000"/>
            </w:tcBorders>
          </w:tcPr>
          <w:p w14:paraId="15DDB11D" w14:textId="77777777" w:rsidR="009F05F8" w:rsidRDefault="00000000">
            <w:pPr>
              <w:spacing w:before="40" w:after="40" w:line="300" w:lineRule="auto"/>
            </w:pPr>
            <w:r>
              <w:rPr>
                <w:sz w:val="22"/>
                <w:szCs w:val="22"/>
              </w:rPr>
              <w:t>Vermelho</w:t>
            </w:r>
          </w:p>
        </w:tc>
        <w:tc>
          <w:tcPr>
            <w:tcW w:w="2250" w:type="pct"/>
            <w:tcBorders>
              <w:top w:val="single" w:sz="1" w:space="0" w:color="000000"/>
              <w:left w:val="single" w:sz="1" w:space="0" w:color="000000"/>
              <w:bottom w:val="single" w:sz="1" w:space="0" w:color="000000"/>
              <w:right w:val="single" w:sz="1" w:space="0" w:color="000000"/>
            </w:tcBorders>
          </w:tcPr>
          <w:p w14:paraId="74E07422" w14:textId="77777777" w:rsidR="009F05F8" w:rsidRDefault="00000000">
            <w:pPr>
              <w:spacing w:before="40" w:after="40" w:line="300" w:lineRule="auto"/>
            </w:pPr>
            <w:r>
              <w:rPr>
                <w:sz w:val="22"/>
                <w:szCs w:val="22"/>
              </w:rPr>
              <w:t>PA ≥180/120 ou &lt; 90/60 mmHg; Glicemia ≥250 mg/</w:t>
            </w:r>
            <w:proofErr w:type="spellStart"/>
            <w:r>
              <w:rPr>
                <w:sz w:val="22"/>
                <w:szCs w:val="22"/>
              </w:rPr>
              <w:t>dL</w:t>
            </w:r>
            <w:proofErr w:type="spellEnd"/>
            <w:r>
              <w:rPr>
                <w:sz w:val="22"/>
                <w:szCs w:val="22"/>
              </w:rPr>
              <w:t xml:space="preserve"> com sintomas ou &lt; 70 mg/</w:t>
            </w:r>
            <w:proofErr w:type="spellStart"/>
            <w:r>
              <w:rPr>
                <w:sz w:val="22"/>
                <w:szCs w:val="22"/>
              </w:rPr>
              <w:t>dL</w:t>
            </w:r>
            <w:proofErr w:type="spellEnd"/>
            <w:r>
              <w:rPr>
                <w:sz w:val="22"/>
                <w:szCs w:val="22"/>
              </w:rPr>
              <w:t>; Sinais de evento CV agudo; FC &gt; 100 ou &lt; 50 bpm</w:t>
            </w:r>
          </w:p>
        </w:tc>
        <w:tc>
          <w:tcPr>
            <w:tcW w:w="1250" w:type="pct"/>
            <w:tcBorders>
              <w:top w:val="single" w:sz="1" w:space="0" w:color="000000"/>
              <w:left w:val="single" w:sz="1" w:space="0" w:color="000000"/>
              <w:bottom w:val="single" w:sz="1" w:space="0" w:color="000000"/>
              <w:right w:val="single" w:sz="1" w:space="0" w:color="000000"/>
            </w:tcBorders>
          </w:tcPr>
          <w:p w14:paraId="61D42AF2" w14:textId="77777777" w:rsidR="009F05F8" w:rsidRDefault="00000000">
            <w:pPr>
              <w:spacing w:before="40" w:after="40" w:line="300" w:lineRule="auto"/>
            </w:pPr>
            <w:r>
              <w:rPr>
                <w:sz w:val="22"/>
                <w:szCs w:val="22"/>
              </w:rPr>
              <w:t>Avaliação médica imediata / encaminhamento a emergência</w:t>
            </w:r>
          </w:p>
        </w:tc>
        <w:tc>
          <w:tcPr>
            <w:tcW w:w="750" w:type="pct"/>
            <w:tcBorders>
              <w:top w:val="single" w:sz="1" w:space="0" w:color="000000"/>
              <w:left w:val="single" w:sz="1" w:space="0" w:color="000000"/>
              <w:bottom w:val="single" w:sz="1" w:space="0" w:color="000000"/>
              <w:right w:val="single" w:sz="1" w:space="0" w:color="000000"/>
            </w:tcBorders>
          </w:tcPr>
          <w:p w14:paraId="238063A7" w14:textId="77777777" w:rsidR="009F05F8" w:rsidRDefault="00000000">
            <w:pPr>
              <w:spacing w:before="40" w:after="40" w:line="300" w:lineRule="auto"/>
            </w:pPr>
            <w:r>
              <w:rPr>
                <w:sz w:val="22"/>
                <w:szCs w:val="22"/>
              </w:rPr>
              <w:t>Imediato</w:t>
            </w:r>
          </w:p>
        </w:tc>
      </w:tr>
      <w:tr w:rsidR="009F05F8" w14:paraId="7CA819FE" w14:textId="77777777">
        <w:tblPrEx>
          <w:tblCellMar>
            <w:top w:w="0" w:type="dxa"/>
            <w:bottom w:w="0" w:type="dxa"/>
          </w:tblCellMar>
        </w:tblPrEx>
        <w:tc>
          <w:tcPr>
            <w:tcW w:w="750" w:type="pct"/>
            <w:tcBorders>
              <w:top w:val="single" w:sz="1" w:space="0" w:color="000000"/>
              <w:left w:val="single" w:sz="1" w:space="0" w:color="000000"/>
              <w:bottom w:val="single" w:sz="1" w:space="0" w:color="000000"/>
              <w:right w:val="single" w:sz="1" w:space="0" w:color="000000"/>
            </w:tcBorders>
          </w:tcPr>
          <w:p w14:paraId="189DBABA" w14:textId="77777777" w:rsidR="009F05F8" w:rsidRDefault="00000000">
            <w:pPr>
              <w:spacing w:before="40" w:after="40" w:line="300" w:lineRule="auto"/>
            </w:pPr>
            <w:r>
              <w:rPr>
                <w:sz w:val="22"/>
                <w:szCs w:val="22"/>
              </w:rPr>
              <w:t>Laranja</w:t>
            </w:r>
          </w:p>
        </w:tc>
        <w:tc>
          <w:tcPr>
            <w:tcW w:w="2250" w:type="pct"/>
            <w:tcBorders>
              <w:top w:val="single" w:sz="1" w:space="0" w:color="000000"/>
              <w:left w:val="single" w:sz="1" w:space="0" w:color="000000"/>
              <w:bottom w:val="single" w:sz="1" w:space="0" w:color="000000"/>
              <w:right w:val="single" w:sz="1" w:space="0" w:color="000000"/>
            </w:tcBorders>
          </w:tcPr>
          <w:p w14:paraId="76112CE9" w14:textId="77777777" w:rsidR="009F05F8" w:rsidRDefault="00000000">
            <w:pPr>
              <w:spacing w:before="40" w:after="40" w:line="300" w:lineRule="auto"/>
            </w:pPr>
            <w:r>
              <w:rPr>
                <w:sz w:val="22"/>
                <w:szCs w:val="22"/>
              </w:rPr>
              <w:t>Triglicerídeos &gt; 1000 mg/</w:t>
            </w:r>
            <w:proofErr w:type="spellStart"/>
            <w:r>
              <w:rPr>
                <w:sz w:val="22"/>
                <w:szCs w:val="22"/>
              </w:rPr>
              <w:t>dL</w:t>
            </w:r>
            <w:proofErr w:type="spellEnd"/>
            <w:r>
              <w:rPr>
                <w:sz w:val="22"/>
                <w:szCs w:val="22"/>
              </w:rPr>
              <w:t>; Perda de peso ≥5% involuntária</w:t>
            </w:r>
          </w:p>
        </w:tc>
        <w:tc>
          <w:tcPr>
            <w:tcW w:w="1250" w:type="pct"/>
            <w:tcBorders>
              <w:top w:val="single" w:sz="1" w:space="0" w:color="000000"/>
              <w:left w:val="single" w:sz="1" w:space="0" w:color="000000"/>
              <w:bottom w:val="single" w:sz="1" w:space="0" w:color="000000"/>
              <w:right w:val="single" w:sz="1" w:space="0" w:color="000000"/>
            </w:tcBorders>
          </w:tcPr>
          <w:p w14:paraId="0BF4E175" w14:textId="77777777" w:rsidR="009F05F8" w:rsidRDefault="00000000">
            <w:pPr>
              <w:spacing w:before="40" w:after="40" w:line="300" w:lineRule="auto"/>
            </w:pPr>
            <w:r>
              <w:rPr>
                <w:sz w:val="22"/>
                <w:szCs w:val="22"/>
              </w:rPr>
              <w:t>Encaminhamento médico + nutricionista</w:t>
            </w:r>
          </w:p>
        </w:tc>
        <w:tc>
          <w:tcPr>
            <w:tcW w:w="750" w:type="pct"/>
            <w:tcBorders>
              <w:top w:val="single" w:sz="1" w:space="0" w:color="000000"/>
              <w:left w:val="single" w:sz="1" w:space="0" w:color="000000"/>
              <w:bottom w:val="single" w:sz="1" w:space="0" w:color="000000"/>
              <w:right w:val="single" w:sz="1" w:space="0" w:color="000000"/>
            </w:tcBorders>
          </w:tcPr>
          <w:p w14:paraId="4C79EDE4" w14:textId="77777777" w:rsidR="009F05F8" w:rsidRDefault="00000000">
            <w:pPr>
              <w:spacing w:before="40" w:after="40" w:line="300" w:lineRule="auto"/>
            </w:pPr>
            <w:r>
              <w:rPr>
                <w:sz w:val="22"/>
                <w:szCs w:val="22"/>
              </w:rPr>
              <w:t>Semanal a quinzenal</w:t>
            </w:r>
          </w:p>
        </w:tc>
      </w:tr>
      <w:tr w:rsidR="009F05F8" w14:paraId="77BC822C" w14:textId="77777777">
        <w:tblPrEx>
          <w:tblCellMar>
            <w:top w:w="0" w:type="dxa"/>
            <w:bottom w:w="0" w:type="dxa"/>
          </w:tblCellMar>
        </w:tblPrEx>
        <w:tc>
          <w:tcPr>
            <w:tcW w:w="750" w:type="pct"/>
            <w:tcBorders>
              <w:top w:val="single" w:sz="1" w:space="0" w:color="000000"/>
              <w:left w:val="single" w:sz="1" w:space="0" w:color="000000"/>
              <w:bottom w:val="single" w:sz="1" w:space="0" w:color="000000"/>
              <w:right w:val="single" w:sz="1" w:space="0" w:color="000000"/>
            </w:tcBorders>
          </w:tcPr>
          <w:p w14:paraId="57FA2121" w14:textId="77777777" w:rsidR="009F05F8" w:rsidRDefault="00000000">
            <w:pPr>
              <w:spacing w:before="40" w:after="40" w:line="300" w:lineRule="auto"/>
            </w:pPr>
            <w:r>
              <w:rPr>
                <w:sz w:val="22"/>
                <w:szCs w:val="22"/>
              </w:rPr>
              <w:t>Amarelo</w:t>
            </w:r>
          </w:p>
        </w:tc>
        <w:tc>
          <w:tcPr>
            <w:tcW w:w="2250" w:type="pct"/>
            <w:tcBorders>
              <w:top w:val="single" w:sz="1" w:space="0" w:color="000000"/>
              <w:left w:val="single" w:sz="1" w:space="0" w:color="000000"/>
              <w:bottom w:val="single" w:sz="1" w:space="0" w:color="000000"/>
              <w:right w:val="single" w:sz="1" w:space="0" w:color="000000"/>
            </w:tcBorders>
          </w:tcPr>
          <w:p w14:paraId="31D5D292" w14:textId="77777777" w:rsidR="009F05F8" w:rsidRDefault="00000000">
            <w:pPr>
              <w:spacing w:before="40" w:after="40" w:line="300" w:lineRule="auto"/>
            </w:pPr>
            <w:r>
              <w:rPr>
                <w:sz w:val="22"/>
                <w:szCs w:val="22"/>
              </w:rPr>
              <w:t>PA fora da meta (não crítico); LDL ≥100 mg/</w:t>
            </w:r>
            <w:proofErr w:type="spellStart"/>
            <w:r>
              <w:rPr>
                <w:sz w:val="22"/>
                <w:szCs w:val="22"/>
              </w:rPr>
              <w:t>dL</w:t>
            </w:r>
            <w:proofErr w:type="spellEnd"/>
            <w:r>
              <w:rPr>
                <w:sz w:val="22"/>
                <w:szCs w:val="22"/>
              </w:rPr>
              <w:t>; HbA1c ≥7%; Glicemia &gt; 300 mg/</w:t>
            </w:r>
            <w:proofErr w:type="spellStart"/>
            <w:r>
              <w:rPr>
                <w:sz w:val="22"/>
                <w:szCs w:val="22"/>
              </w:rPr>
              <w:t>dL</w:t>
            </w:r>
            <w:proofErr w:type="spellEnd"/>
            <w:r>
              <w:rPr>
                <w:sz w:val="22"/>
                <w:szCs w:val="22"/>
              </w:rPr>
              <w:t>; Variação de peso &gt; 5%</w:t>
            </w:r>
          </w:p>
        </w:tc>
        <w:tc>
          <w:tcPr>
            <w:tcW w:w="1250" w:type="pct"/>
            <w:tcBorders>
              <w:top w:val="single" w:sz="1" w:space="0" w:color="000000"/>
              <w:left w:val="single" w:sz="1" w:space="0" w:color="000000"/>
              <w:bottom w:val="single" w:sz="1" w:space="0" w:color="000000"/>
              <w:right w:val="single" w:sz="1" w:space="0" w:color="000000"/>
            </w:tcBorders>
          </w:tcPr>
          <w:p w14:paraId="72FBEDDF" w14:textId="77777777" w:rsidR="009F05F8" w:rsidRDefault="00000000">
            <w:pPr>
              <w:spacing w:before="40" w:after="40" w:line="300" w:lineRule="auto"/>
            </w:pPr>
            <w:r>
              <w:rPr>
                <w:sz w:val="22"/>
                <w:szCs w:val="22"/>
              </w:rPr>
              <w:t>Teleconsulta + encaminhamento ao nutricionista</w:t>
            </w:r>
          </w:p>
        </w:tc>
        <w:tc>
          <w:tcPr>
            <w:tcW w:w="750" w:type="pct"/>
            <w:tcBorders>
              <w:top w:val="single" w:sz="1" w:space="0" w:color="000000"/>
              <w:left w:val="single" w:sz="1" w:space="0" w:color="000000"/>
              <w:bottom w:val="single" w:sz="1" w:space="0" w:color="000000"/>
              <w:right w:val="single" w:sz="1" w:space="0" w:color="000000"/>
            </w:tcBorders>
          </w:tcPr>
          <w:p w14:paraId="45E1851D" w14:textId="77777777" w:rsidR="009F05F8" w:rsidRDefault="00000000">
            <w:pPr>
              <w:spacing w:before="40" w:after="40" w:line="300" w:lineRule="auto"/>
            </w:pPr>
            <w:r>
              <w:rPr>
                <w:sz w:val="22"/>
                <w:szCs w:val="22"/>
              </w:rPr>
              <w:t>Quinzenal a trimestral</w:t>
            </w:r>
          </w:p>
        </w:tc>
      </w:tr>
      <w:tr w:rsidR="009F05F8" w14:paraId="52D086C8" w14:textId="77777777">
        <w:tblPrEx>
          <w:tblCellMar>
            <w:top w:w="0" w:type="dxa"/>
            <w:bottom w:w="0" w:type="dxa"/>
          </w:tblCellMar>
        </w:tblPrEx>
        <w:tc>
          <w:tcPr>
            <w:tcW w:w="750" w:type="pct"/>
            <w:tcBorders>
              <w:top w:val="single" w:sz="1" w:space="0" w:color="000000"/>
              <w:left w:val="single" w:sz="1" w:space="0" w:color="000000"/>
              <w:bottom w:val="single" w:sz="1" w:space="0" w:color="000000"/>
              <w:right w:val="single" w:sz="1" w:space="0" w:color="000000"/>
            </w:tcBorders>
          </w:tcPr>
          <w:p w14:paraId="15DACD9E" w14:textId="77777777" w:rsidR="009F05F8" w:rsidRDefault="00000000">
            <w:pPr>
              <w:spacing w:before="40" w:after="40" w:line="300" w:lineRule="auto"/>
            </w:pPr>
            <w:r>
              <w:rPr>
                <w:sz w:val="22"/>
                <w:szCs w:val="22"/>
              </w:rPr>
              <w:t>Sem disparo</w:t>
            </w:r>
          </w:p>
        </w:tc>
        <w:tc>
          <w:tcPr>
            <w:tcW w:w="2250" w:type="pct"/>
            <w:tcBorders>
              <w:top w:val="single" w:sz="1" w:space="0" w:color="000000"/>
              <w:left w:val="single" w:sz="1" w:space="0" w:color="000000"/>
              <w:bottom w:val="single" w:sz="1" w:space="0" w:color="000000"/>
              <w:right w:val="single" w:sz="1" w:space="0" w:color="000000"/>
            </w:tcBorders>
          </w:tcPr>
          <w:p w14:paraId="060EF527" w14:textId="77777777" w:rsidR="009F05F8" w:rsidRDefault="00000000">
            <w:pPr>
              <w:spacing w:before="40" w:after="40" w:line="300" w:lineRule="auto"/>
            </w:pPr>
            <w:r>
              <w:rPr>
                <w:sz w:val="22"/>
                <w:szCs w:val="22"/>
              </w:rPr>
              <w:t>Todos os parâmetros na meta; FC 50–100 bpm; LDL &lt; 100 mg/</w:t>
            </w:r>
            <w:proofErr w:type="spellStart"/>
            <w:r>
              <w:rPr>
                <w:sz w:val="22"/>
                <w:szCs w:val="22"/>
              </w:rPr>
              <w:t>dL</w:t>
            </w:r>
            <w:proofErr w:type="spellEnd"/>
          </w:p>
        </w:tc>
        <w:tc>
          <w:tcPr>
            <w:tcW w:w="1250" w:type="pct"/>
            <w:tcBorders>
              <w:top w:val="single" w:sz="1" w:space="0" w:color="000000"/>
              <w:left w:val="single" w:sz="1" w:space="0" w:color="000000"/>
              <w:bottom w:val="single" w:sz="1" w:space="0" w:color="000000"/>
              <w:right w:val="single" w:sz="1" w:space="0" w:color="000000"/>
            </w:tcBorders>
          </w:tcPr>
          <w:p w14:paraId="06DF88FA" w14:textId="77777777" w:rsidR="009F05F8" w:rsidRDefault="00000000">
            <w:pPr>
              <w:spacing w:before="40" w:after="40" w:line="300" w:lineRule="auto"/>
            </w:pPr>
            <w:r>
              <w:rPr>
                <w:sz w:val="22"/>
                <w:szCs w:val="22"/>
              </w:rPr>
              <w:t>Continuar monitoramento conforme protocolo</w:t>
            </w:r>
          </w:p>
        </w:tc>
        <w:tc>
          <w:tcPr>
            <w:tcW w:w="750" w:type="pct"/>
            <w:tcBorders>
              <w:top w:val="single" w:sz="1" w:space="0" w:color="000000"/>
              <w:left w:val="single" w:sz="1" w:space="0" w:color="000000"/>
              <w:bottom w:val="single" w:sz="1" w:space="0" w:color="000000"/>
              <w:right w:val="single" w:sz="1" w:space="0" w:color="000000"/>
            </w:tcBorders>
          </w:tcPr>
          <w:p w14:paraId="48968DF3" w14:textId="77777777" w:rsidR="009F05F8" w:rsidRDefault="00000000">
            <w:pPr>
              <w:spacing w:before="40" w:after="40" w:line="300" w:lineRule="auto"/>
            </w:pPr>
            <w:r>
              <w:rPr>
                <w:sz w:val="22"/>
                <w:szCs w:val="22"/>
              </w:rPr>
              <w:t>Conforme estratificação</w:t>
            </w:r>
          </w:p>
        </w:tc>
      </w:tr>
    </w:tbl>
    <w:p w14:paraId="24CF88E4" w14:textId="77777777" w:rsidR="009F05F8" w:rsidRDefault="009F05F8">
      <w:pPr>
        <w:spacing w:after="120"/>
        <w:jc w:val="both"/>
      </w:pPr>
    </w:p>
    <w:p w14:paraId="48C34B53" w14:textId="77777777" w:rsidR="009F05F8" w:rsidRDefault="00000000">
      <w:pPr>
        <w:pStyle w:val="Ttulo3"/>
      </w:pPr>
      <w:r>
        <w:t xml:space="preserve">7.7.3.7 </w:t>
      </w:r>
      <w:proofErr w:type="spellStart"/>
      <w:r>
        <w:t>Macrofase</w:t>
      </w:r>
      <w:proofErr w:type="spellEnd"/>
      <w:r>
        <w:t xml:space="preserve"> 6 — Ações da equipe de saúde</w:t>
      </w:r>
    </w:p>
    <w:p w14:paraId="072D8759" w14:textId="3988F425" w:rsidR="009F05F8" w:rsidRDefault="00000000">
      <w:pPr>
        <w:spacing w:after="120"/>
        <w:ind w:firstLine="480"/>
        <w:jc w:val="both"/>
      </w:pPr>
      <w:r>
        <w:t xml:space="preserve">A equipe de saúde atuará por meio de dashboard unificado com dados clínicos, laboratoriais e de IoT, além dos alertas automáticos. A plataforma gerará lista de prioridades ordenada pela gravidade do descontrole e pelos alertas ativos. Diante de alerta vermelho, a </w:t>
      </w:r>
      <w:r>
        <w:lastRenderedPageBreak/>
        <w:t>equipe procederá à avaliação médica imediata, com encaminhamento ao serviço de emergência se necessário. Diante de alerta amarelo, a equipe agendará teleconsulta para ajuste terapêutico e encaminhará ao nutricionista. A equipe promoverá, de forma contínua, educação em saúde para DCNT, incluindo orientações sobre tratamento, mudanças de estilo de vida, adesão medicamentosa, alimentação e atividade física.</w:t>
      </w:r>
    </w:p>
    <w:p w14:paraId="78AE0CCA" w14:textId="77777777" w:rsidR="009F05F8" w:rsidRDefault="00000000">
      <w:pPr>
        <w:pStyle w:val="Ttulo3"/>
      </w:pPr>
      <w:r>
        <w:t xml:space="preserve">7.7.3.8 </w:t>
      </w:r>
      <w:proofErr w:type="spellStart"/>
      <w:r>
        <w:t>Macrofase</w:t>
      </w:r>
      <w:proofErr w:type="spellEnd"/>
      <w:r>
        <w:t xml:space="preserve"> 7 — Integração e ciclo contínuo</w:t>
      </w:r>
    </w:p>
    <w:p w14:paraId="482D88B5" w14:textId="77777777" w:rsidR="009F05F8" w:rsidRDefault="00000000">
      <w:pPr>
        <w:spacing w:after="120"/>
        <w:ind w:firstLine="480"/>
        <w:jc w:val="both"/>
      </w:pPr>
      <w:r>
        <w:t xml:space="preserve">Os dados coletados serão integrados ao sistema AGHUX do HULW/UFPB. A plataforma contará com sistema de notificações </w:t>
      </w:r>
      <w:proofErr w:type="spellStart"/>
      <w:r>
        <w:t>push</w:t>
      </w:r>
      <w:proofErr w:type="spellEnd"/>
      <w:r>
        <w:t xml:space="preserve"> e lembretes automáticos para consultas e exames. O ciclo retorna à </w:t>
      </w:r>
      <w:proofErr w:type="spellStart"/>
      <w:r>
        <w:t>Macrofase</w:t>
      </w:r>
      <w:proofErr w:type="spellEnd"/>
      <w:r>
        <w:t xml:space="preserve"> 4 (monitoramento) na próxima visita do paciente, configurando um ciclo contínuo de telemonitoramento.</w:t>
      </w:r>
    </w:p>
    <w:p w14:paraId="15E2742E" w14:textId="77777777" w:rsidR="009F05F8" w:rsidRDefault="00000000">
      <w:pPr>
        <w:pStyle w:val="Ttulo2"/>
      </w:pPr>
      <w:r>
        <w:t xml:space="preserve">7.8.3 Protocolo Clínico do </w:t>
      </w:r>
      <w:proofErr w:type="spellStart"/>
      <w:r>
        <w:t>CardioRemoto</w:t>
      </w:r>
      <w:proofErr w:type="spellEnd"/>
    </w:p>
    <w:p w14:paraId="2B8FB5D2" w14:textId="77777777" w:rsidR="009F05F8" w:rsidRDefault="00000000">
      <w:pPr>
        <w:pStyle w:val="Ttulo3"/>
      </w:pPr>
      <w:r>
        <w:t>7.8.3.1 Contexto e justificativa clínica</w:t>
      </w:r>
    </w:p>
    <w:p w14:paraId="433EFA1A" w14:textId="77777777" w:rsidR="009F05F8" w:rsidRDefault="00000000">
      <w:pPr>
        <w:spacing w:after="120"/>
        <w:ind w:firstLine="480"/>
        <w:jc w:val="both"/>
      </w:pPr>
      <w:r>
        <w:t>O Diabetes Mellitus e a Hipertensão Arterial Sistêmica são as principais doenças crônicas não transmissíveis (DCNT) no Brasil, com alta prevalência e impacto significativo na morbimortalidade cardiovascular. No contexto do HULW/UFPB, o Ambulatório de Telessaúde da Endocrinologia atende uma população de pacientes com esses diagnósticos, frequentemente com controle metabólico e pressórico insatisfatório. O acompanhamento convencional, baseado em consultas presenciais periódicas, apresenta limitações como intervalos longos entre avaliações, ausência de monitoramento contínuo dos parâmetros clínicos e dificuldade de identificação precoce de descompensações.</w:t>
      </w:r>
    </w:p>
    <w:p w14:paraId="620D95DA" w14:textId="77777777" w:rsidR="009F05F8" w:rsidRDefault="00000000">
      <w:pPr>
        <w:spacing w:after="120"/>
        <w:ind w:firstLine="480"/>
        <w:jc w:val="both"/>
      </w:pPr>
      <w:r>
        <w:t xml:space="preserve">O </w:t>
      </w:r>
      <w:proofErr w:type="spellStart"/>
      <w:r>
        <w:t>CardioRemoto</w:t>
      </w:r>
      <w:proofErr w:type="spellEnd"/>
      <w:r>
        <w:t xml:space="preserve"> propõe estruturar o telemonitoramento desses pacientes por meio da plataforma </w:t>
      </w:r>
      <w:proofErr w:type="spellStart"/>
      <w:r>
        <w:t>mareIA</w:t>
      </w:r>
      <w:proofErr w:type="spellEnd"/>
      <w:r>
        <w:t>, integrando dispositivos IoT para aferição de sinais vitais, exames laboratoriais e fluxogramas clínicos de triagem baseados em diretrizes brasileiras, com sistema de alertas estratificado por nível de gravidade. O objetivo é apoiar a equipe de saúde na identificação precoce de descontroles, priorizar o atendimento conforme risco e reduzir desfechos adversos cardiovasculares.</w:t>
      </w:r>
    </w:p>
    <w:p w14:paraId="3E3AC74E" w14:textId="77777777" w:rsidR="009F05F8" w:rsidRDefault="00000000">
      <w:pPr>
        <w:pStyle w:val="Ttulo3"/>
      </w:pPr>
      <w:r>
        <w:t>7.8.3.2 Fluxo clínico</w:t>
      </w:r>
    </w:p>
    <w:p w14:paraId="6FFCBF85" w14:textId="77777777" w:rsidR="009F05F8" w:rsidRDefault="00000000">
      <w:pPr>
        <w:spacing w:after="120"/>
        <w:ind w:firstLine="480"/>
        <w:jc w:val="both"/>
      </w:pPr>
      <w:r>
        <w:t xml:space="preserve">O protocolo clínico do </w:t>
      </w:r>
      <w:proofErr w:type="spellStart"/>
      <w:r>
        <w:t>CardioRemoto</w:t>
      </w:r>
      <w:proofErr w:type="spellEnd"/>
      <w:r>
        <w:t xml:space="preserve"> estrutura-se em sete </w:t>
      </w:r>
      <w:proofErr w:type="spellStart"/>
      <w:r>
        <w:t>macrofases</w:t>
      </w:r>
      <w:proofErr w:type="spellEnd"/>
      <w:r>
        <w:t xml:space="preserve"> sequenciais, conforme detalhado na seção 7.7.3 deste documento: (1) Elegibilidade e entrada do paciente; </w:t>
      </w:r>
      <w:r>
        <w:lastRenderedPageBreak/>
        <w:t>(2) Triagem inicial (dados cadastrais, antropométricos, vitais e laboratoriais); (3) Análise de risco e classificação automatizada; (4) Ciclo de monitoramento estratificado por risco; (5) Sistema de alertas em quatro níveis (vermelho, laranja, amarelo, sem disparo); (6) Ações da equipe de saúde (dashboard, lista de prioridades, teleconsulta, educação em saúde); e (7) Integração com o AGHUX e ciclo contínuo.</w:t>
      </w:r>
    </w:p>
    <w:p w14:paraId="4E4C3665" w14:textId="77777777" w:rsidR="009F05F8" w:rsidRDefault="00000000">
      <w:pPr>
        <w:pStyle w:val="Ttulo3"/>
      </w:pPr>
      <w:r>
        <w:t>7.8.3.3 Classificação de risco e lógica de alertas</w:t>
      </w:r>
    </w:p>
    <w:p w14:paraId="5CCF9BE1" w14:textId="77777777" w:rsidR="009F05F8" w:rsidRDefault="00000000">
      <w:pPr>
        <w:spacing w:after="120"/>
        <w:ind w:firstLine="480"/>
        <w:jc w:val="both"/>
      </w:pPr>
      <w:r>
        <w:t xml:space="preserve">A classificação de risco do </w:t>
      </w:r>
      <w:proofErr w:type="spellStart"/>
      <w:r>
        <w:t>CardioRemoto</w:t>
      </w:r>
      <w:proofErr w:type="spellEnd"/>
      <w:r>
        <w:t xml:space="preserve"> opera por fator de risco modificável, com classificação binária (CONTROLADO vs. NÃO CONTROLADO) e </w:t>
      </w:r>
      <w:proofErr w:type="spellStart"/>
      <w:r>
        <w:t>subdivideção</w:t>
      </w:r>
      <w:proofErr w:type="spellEnd"/>
      <w:r>
        <w:t xml:space="preserve"> do não controlado em Moderado e Grave, conforme detalhado na seção 7.7.3.4. Os alertas são gerados por quatro fluxogramas clínicos de triagem (Diabetes, HAS, Dislipidemia e Evento Cardiovascular) integrados à plataforma, com quatro níveis de gravidade (vermelho, laranja, amarelo e sem disparo), conforme detalhado na seção 7.7.3.5 e na Tabela de Alertas.</w:t>
      </w:r>
    </w:p>
    <w:p w14:paraId="239BE2C1" w14:textId="77777777" w:rsidR="009F05F8" w:rsidRDefault="00000000">
      <w:pPr>
        <w:pStyle w:val="Ttulo3"/>
      </w:pPr>
      <w:r>
        <w:t>7.8.3.4 Suporte à gestão clínica e papel da equipe</w:t>
      </w:r>
    </w:p>
    <w:p w14:paraId="2E56BBB0" w14:textId="77777777" w:rsidR="009F05F8" w:rsidRDefault="00000000">
      <w:pPr>
        <w:spacing w:after="120"/>
        <w:ind w:firstLine="480"/>
        <w:jc w:val="both"/>
      </w:pPr>
      <w:r>
        <w:t xml:space="preserve">A classificação de risco e os alertas são transmitidos em tempo real à equipe da Endocrinologia do HULW por meio de dashboard clínico na plataforma </w:t>
      </w:r>
      <w:proofErr w:type="spellStart"/>
      <w:r>
        <w:t>mareIA</w:t>
      </w:r>
      <w:proofErr w:type="spellEnd"/>
      <w:r>
        <w:t>, que disponibiliza: (a) lista dinâmica de prioridades, ordenada automaticamente pela gravidade do descontrole e alertas ativos; (b) visão longitudinal individual dos parâmetros coletados; (c) tendências dos dados ao longo do tempo; (d) integração com dados laboratoriais; e (e) canal de comunicação seguro (chat) entre paciente, equipe de saúde e pesquisadores.</w:t>
      </w:r>
    </w:p>
    <w:p w14:paraId="506B23E8" w14:textId="77777777" w:rsidR="009F05F8" w:rsidRDefault="00000000">
      <w:pPr>
        <w:spacing w:after="120"/>
        <w:ind w:firstLine="480"/>
        <w:jc w:val="both"/>
      </w:pPr>
      <w:r>
        <w:t xml:space="preserve">A médica endocrinologista e a equipe multiprofissional têm autonomia para aceitar, modificar ou recusar as sugestões da plataforma, definindo o plano de cuidado conforme a rotina assistencial do HULW. A equipe de gestão do monitoramento (pesquisadores da UFPB) supervisionará o processamento de dados pela plataforma </w:t>
      </w:r>
      <w:proofErr w:type="spellStart"/>
      <w:r>
        <w:t>mareIA</w:t>
      </w:r>
      <w:proofErr w:type="spellEnd"/>
      <w:r>
        <w:t>, dará suporte à equipe assistencial e será ponte entre a equipe de saúde e os desenvolvedores da plataforma.</w:t>
      </w:r>
    </w:p>
    <w:p w14:paraId="394D545F" w14:textId="77777777" w:rsidR="009F05F8" w:rsidRDefault="00000000">
      <w:pPr>
        <w:pStyle w:val="Ttulo2"/>
      </w:pPr>
      <w:r>
        <w:t xml:space="preserve">8. Aspectos Éticos — Subprojeto </w:t>
      </w:r>
      <w:proofErr w:type="spellStart"/>
      <w:r>
        <w:t>CardioRemoto</w:t>
      </w:r>
      <w:proofErr w:type="spellEnd"/>
      <w:r>
        <w:t xml:space="preserve"> (UFPB/HULW)</w:t>
      </w:r>
    </w:p>
    <w:p w14:paraId="66AA993A" w14:textId="77777777" w:rsidR="009F05F8" w:rsidRDefault="00000000">
      <w:pPr>
        <w:spacing w:after="120"/>
        <w:ind w:firstLine="480"/>
        <w:jc w:val="both"/>
      </w:pPr>
      <w:r>
        <w:t>A pesquisa obedecerá aos preceitos éticos das Resoluções CNS nº 466/2012 e nº 510/2016 e à Lei Geral de Proteção de Dados Pessoais (LGPD — Lei nº 13.709/2018). O estudo só será iniciado após aprovação pelo CEP da UFPE e anuência da UFPB. O consentimento (TCLE) precederá qualquer coleta de dados.</w:t>
      </w:r>
    </w:p>
    <w:p w14:paraId="39C5224F" w14:textId="77777777" w:rsidR="009F05F8" w:rsidRDefault="00000000">
      <w:pPr>
        <w:spacing w:after="120"/>
        <w:ind w:firstLine="480"/>
        <w:jc w:val="both"/>
      </w:pPr>
      <w:r>
        <w:lastRenderedPageBreak/>
        <w:t xml:space="preserve">O módulo de telessaúde e de comunicação por chat da Plataforma </w:t>
      </w:r>
      <w:proofErr w:type="spellStart"/>
      <w:r>
        <w:t>mareIA</w:t>
      </w:r>
      <w:proofErr w:type="spellEnd"/>
      <w:r>
        <w:t xml:space="preserve"> caracteriza interação e coleta de dados em ambiente virtual. Essa etapa observará as Instruções da CONEP para a condução de pesquisas em ambiente virtual. O TCLE contemplará expressamente a comunicação por chat entre o participante e a equipe de saúde, e os registros dessa comunicação serão armazenados de forma criptografada, em conformidade com a LGPD.</w:t>
      </w:r>
    </w:p>
    <w:p w14:paraId="5AC1FB2D" w14:textId="77777777" w:rsidR="009F05F8" w:rsidRDefault="00000000">
      <w:pPr>
        <w:pStyle w:val="Ttulo3"/>
      </w:pPr>
      <w:r>
        <w:t>Riscos — Público 1 (pacientes)</w:t>
      </w:r>
    </w:p>
    <w:p w14:paraId="5ECDDC51" w14:textId="77777777" w:rsidR="009F05F8" w:rsidRDefault="00000000">
      <w:pPr>
        <w:spacing w:after="120"/>
        <w:ind w:firstLine="480"/>
        <w:jc w:val="both"/>
      </w:pPr>
      <w:r>
        <w:t xml:space="preserve">A pesquisa </w:t>
      </w:r>
      <w:proofErr w:type="spellStart"/>
      <w:r>
        <w:t>CardioRemoto</w:t>
      </w:r>
      <w:proofErr w:type="spellEnd"/>
      <w:r>
        <w:t xml:space="preserve"> não trará riscos físicos, pois não haverá procedimentos invasivos além daqueles já realizados na rotina assistencial do Ambulatório de Endocrinologia. Os riscos mínimos incluem: (a) constrangimento ou desconforto emocional ao responder aos instrumentos de avaliação, mitigado pela aplicação por profissional capacitado e garantia de pausa ou interrupção a qualquer momento; (b) risco de quebra de sigilo e de privacidade de dados sensíveis de saúde, mitigado por armazenamento criptografado, controle de acesso por perfil, log de auditoria, transmissão por HTTPS/TLS, minimização de dados e desidentificação no dashboard gestor (art. 12 da LGPD); (c) risco relacionado à identificação de situações clínicas graves (ex.: alerta vermelho, sinais de evento cardiovascular agudo), mitigado pela notificação em tempo real e encaminhamento para conduta da equipe de saúde, sem que a coleta retarde o cuidado necessário.</w:t>
      </w:r>
    </w:p>
    <w:p w14:paraId="1A89E9A4" w14:textId="77777777" w:rsidR="009F05F8" w:rsidRDefault="00000000">
      <w:pPr>
        <w:pStyle w:val="Ttulo3"/>
      </w:pPr>
      <w:r>
        <w:t>Riscos — Público 2 (profissionais de saúde, gestores e equipe administrativa)</w:t>
      </w:r>
    </w:p>
    <w:p w14:paraId="37D506BB" w14:textId="77777777" w:rsidR="009F05F8" w:rsidRDefault="00000000">
      <w:pPr>
        <w:spacing w:after="120"/>
        <w:ind w:firstLine="480"/>
        <w:jc w:val="both"/>
      </w:pPr>
      <w:r>
        <w:t xml:space="preserve">A pesquisa </w:t>
      </w:r>
      <w:proofErr w:type="spellStart"/>
      <w:r>
        <w:t>CardioRemoto</w:t>
      </w:r>
      <w:proofErr w:type="spellEnd"/>
      <w:r>
        <w:t xml:space="preserve"> não trará riscos físicos para o Público 2. Os riscos mínimos incluem sobrecarga ou desconforto pela participação na pesquisa (</w:t>
      </w:r>
      <w:proofErr w:type="spellStart"/>
      <w:r>
        <w:t>tempa</w:t>
      </w:r>
      <w:proofErr w:type="spellEnd"/>
      <w:r>
        <w:t xml:space="preserve"> adicional para uso da plataforma e preenchimento de instrumentos de avaliação). A mitigação incluirá garantia de que a participação não trará prejuízo à função do profissional e possibilidade de desistência a qualquer momento.</w:t>
      </w:r>
    </w:p>
    <w:p w14:paraId="026FF8B9" w14:textId="77777777" w:rsidR="009F05F8" w:rsidRDefault="00000000">
      <w:pPr>
        <w:pStyle w:val="Ttulo3"/>
      </w:pPr>
      <w:r>
        <w:t>Benefícios — Público 1 (pacientes)</w:t>
      </w:r>
    </w:p>
    <w:p w14:paraId="1CA57AF2" w14:textId="77777777" w:rsidR="009F05F8" w:rsidRDefault="00000000">
      <w:pPr>
        <w:spacing w:after="120"/>
        <w:ind w:firstLine="480"/>
        <w:jc w:val="both"/>
      </w:pPr>
      <w:r>
        <w:t xml:space="preserve">Benefícios diretos: monitoramento mais frequente e estruturado dos parâmetros clínicos (pressão arterial, glicemia, perfil lipídico); apoio à identificação precoce de descompensações metabólicas e pressóricas, com estratificação de risco e priorização do cuidado; acesso a teleconsulta com endocrinologista, reduzindo a necessidade de </w:t>
      </w:r>
      <w:r>
        <w:lastRenderedPageBreak/>
        <w:t xml:space="preserve">deslocamento; acesso a </w:t>
      </w:r>
      <w:proofErr w:type="spellStart"/>
      <w:r>
        <w:t>conteúdos</w:t>
      </w:r>
      <w:proofErr w:type="spellEnd"/>
      <w:r>
        <w:t xml:space="preserve"> de educação em saúde e a canal de comunicação seguro com a equipe; e encaminhamento oportuno ao nutricionista quando necessário.</w:t>
      </w:r>
    </w:p>
    <w:p w14:paraId="136A5010" w14:textId="77777777" w:rsidR="009F05F8" w:rsidRDefault="00000000">
      <w:pPr>
        <w:spacing w:after="120"/>
        <w:ind w:firstLine="480"/>
        <w:jc w:val="both"/>
      </w:pPr>
      <w:r>
        <w:t>Benefícios indiretos: contribuição para a geração de evidências sobre telemonitoramento com IA no SUS, especificamente no contexto de DCNT cardiometabólicas, e para o aprimoramento de uma solução de código aberto interoperável com o SUS Digital.</w:t>
      </w:r>
    </w:p>
    <w:p w14:paraId="708E3E7E" w14:textId="77777777" w:rsidR="009F05F8" w:rsidRDefault="00000000">
      <w:pPr>
        <w:pStyle w:val="Ttulo3"/>
      </w:pPr>
      <w:r>
        <w:t>Benefícios — Público 2 (profissionais de saúde, gestores e equipe administrativa)</w:t>
      </w:r>
    </w:p>
    <w:p w14:paraId="1C0048F5" w14:textId="77777777" w:rsidR="009F05F8" w:rsidRDefault="00000000">
      <w:pPr>
        <w:spacing w:after="120"/>
        <w:ind w:firstLine="480"/>
        <w:jc w:val="both"/>
      </w:pPr>
      <w:r>
        <w:t>O dashboard em tempo real permitirá que a equipe acompanhe a evolução dos parâmetros clínicos e laboratoriais dos pacientes entre as consultas, reduzindo a invisibilidade clínica no intervalo interconsultas. A lista de prioridades gerada pela plataforma apoiará a organização da agenda conforme a gravidade do descontrole, otimizando o tempo disponível. Os fluxogramas de triagem integrados à plataforma fornecerão suporte à decisão clínica baseada em diretrizes. O canal de comunicação seguro centralizará a interação com os pacientes, substituindo contatos informais por meio de aplicativos de mensageria.</w:t>
      </w:r>
    </w:p>
    <w:p w14:paraId="51FBA91B" w14:textId="77777777" w:rsidR="009F05F8" w:rsidRDefault="00000000">
      <w:pPr>
        <w:pStyle w:val="Ttulo3"/>
      </w:pPr>
      <w:r>
        <w:t>Armazenamento dos dados coletados</w:t>
      </w:r>
    </w:p>
    <w:p w14:paraId="3E93634D" w14:textId="77777777" w:rsidR="009F05F8" w:rsidRDefault="00000000">
      <w:pPr>
        <w:spacing w:after="120"/>
        <w:ind w:firstLine="480"/>
        <w:jc w:val="both"/>
      </w:pPr>
      <w:r>
        <w:t xml:space="preserve">Os pesquisadores declaram que os dados coletados (dados demográficos, antropométricos, sinais vitais, exames laboratoriais, respostas a instrumentos e dados de uso da plataforma) ficarão armazenados de forma criptografada na infraestrutura da Plataforma </w:t>
      </w:r>
      <w:proofErr w:type="spellStart"/>
      <w:r>
        <w:t>mareIA</w:t>
      </w:r>
      <w:proofErr w:type="spellEnd"/>
      <w:r>
        <w:t xml:space="preserve">, com controle de acesso por perfil e registro de auditoria, sob a responsabilidade da pesquisadora principal do cenário </w:t>
      </w:r>
      <w:proofErr w:type="spellStart"/>
      <w:r>
        <w:t>CardioRemoto</w:t>
      </w:r>
      <w:proofErr w:type="spellEnd"/>
      <w:r>
        <w:t>/UFPB, pelo período mínimo de 5 (cinco) anos. O participante poderá solicitar acesso, correção ou exclusão de seus dados a qualquer momento.</w:t>
      </w:r>
    </w:p>
    <w:p w14:paraId="3755496E" w14:textId="77777777" w:rsidR="009F05F8" w:rsidRDefault="00000000">
      <w:pPr>
        <w:pStyle w:val="Ttulo2"/>
      </w:pPr>
      <w:r>
        <w:t xml:space="preserve">9. Análise e Processamento de Dados — </w:t>
      </w:r>
      <w:proofErr w:type="spellStart"/>
      <w:r>
        <w:t>CardioRemoto</w:t>
      </w:r>
      <w:proofErr w:type="spellEnd"/>
      <w:r>
        <w:t xml:space="preserve"> (UFPB/HULW)</w:t>
      </w:r>
    </w:p>
    <w:p w14:paraId="5DEECD3D" w14:textId="77777777" w:rsidR="009F05F8" w:rsidRDefault="00000000">
      <w:pPr>
        <w:pStyle w:val="Ttulo3"/>
      </w:pPr>
      <w:r>
        <w:t>9.1 Análise quantitativa</w:t>
      </w:r>
    </w:p>
    <w:p w14:paraId="2D44738E" w14:textId="77777777" w:rsidR="009F05F8" w:rsidRDefault="00000000">
      <w:pPr>
        <w:spacing w:after="120"/>
        <w:ind w:firstLine="480"/>
        <w:jc w:val="both"/>
      </w:pPr>
      <w:r>
        <w:t xml:space="preserve">Os dados quantitativos serão analisados por meio de estatística descritiva (frequências, porcentagens, médias, medianas, desvios-padrão e amplitude interquartílica) para </w:t>
      </w:r>
      <w:r>
        <w:lastRenderedPageBreak/>
        <w:t>caracterização da amostra e dos indicadores de processo. Os indicadores de viabilidade incluirão: taxa de cadastro de participantes, completude de coleta de dados (proporção de campos preenchidos versus esperados), taxa de sincronização offline com sucesso, tempo de resposta da equipe aos alertas gerados pela plataforma e proporção de participantes que completaram o seguimento. Quando pertinente, serão reportados intervalos de confiança de 95% para as proporções-chave.</w:t>
      </w:r>
    </w:p>
    <w:p w14:paraId="3611D29F" w14:textId="77777777" w:rsidR="009F05F8" w:rsidRDefault="00000000">
      <w:pPr>
        <w:pStyle w:val="Ttulo3"/>
      </w:pPr>
      <w:r>
        <w:t>9.2 Análise qualitativa</w:t>
      </w:r>
    </w:p>
    <w:p w14:paraId="64C9F4E7" w14:textId="77777777" w:rsidR="009F05F8" w:rsidRDefault="00000000">
      <w:pPr>
        <w:spacing w:after="120"/>
        <w:ind w:firstLine="480"/>
        <w:jc w:val="both"/>
      </w:pPr>
      <w:r>
        <w:t>Os dados qualitativos (roteiros semiestruturados de entrevista e observação do uso da plataforma) serão submetidos à análise temática, conforme proposta por Braun e Clarke (2006), com as seguintes etapas: familiarização com os dados, geração inicial de códigos, busca de temas, revisão dos temas, definição e nomeação dos temas e produção do relatório final. O encerramento da coleta qualitativa seguirá o critério de saturação de informações.</w:t>
      </w:r>
    </w:p>
    <w:p w14:paraId="32C52546" w14:textId="77777777" w:rsidR="009F05F8" w:rsidRDefault="00000000">
      <w:pPr>
        <w:pStyle w:val="Ttulo3"/>
      </w:pPr>
      <w:r>
        <w:t>9.3 Análise de usabilidade e aceitabilidade</w:t>
      </w:r>
    </w:p>
    <w:p w14:paraId="5033C2B9" w14:textId="77777777" w:rsidR="009F05F8" w:rsidRDefault="00000000">
      <w:pPr>
        <w:spacing w:after="120"/>
        <w:ind w:firstLine="480"/>
        <w:jc w:val="both"/>
      </w:pPr>
      <w:r>
        <w:t xml:space="preserve">Os escores dos instrumentos de usabilidade (ex.: SUS) serão descritos por meio de estatística descritiva, estratificados por público-alvo (Público 1 </w:t>
      </w:r>
      <w:proofErr w:type="gramStart"/>
      <w:r>
        <w:t>e Público</w:t>
      </w:r>
      <w:proofErr w:type="gramEnd"/>
      <w:r>
        <w:t xml:space="preserve"> 2). Os dados de satisfação e aceitabilidade serão igualmente analisados por estatística descritiva, com identificação de pontos fortes e fragilidades percebidos pelos usuários da plataforma </w:t>
      </w:r>
      <w:proofErr w:type="spellStart"/>
      <w:r>
        <w:t>mareIA</w:t>
      </w:r>
      <w:proofErr w:type="spellEnd"/>
      <w:r>
        <w:t xml:space="preserve"> no contexto do </w:t>
      </w:r>
      <w:proofErr w:type="spellStart"/>
      <w:r>
        <w:t>CardioRemoto</w:t>
      </w:r>
      <w:proofErr w:type="spellEnd"/>
      <w:r>
        <w:t>.</w:t>
      </w:r>
    </w:p>
    <w:p w14:paraId="6CC21A4E" w14:textId="77777777" w:rsidR="009F05F8" w:rsidRDefault="00000000">
      <w:pPr>
        <w:pStyle w:val="Ttulo2"/>
      </w:pPr>
      <w:r>
        <w:t xml:space="preserve">10. Cronograma — </w:t>
      </w:r>
      <w:proofErr w:type="spellStart"/>
      <w:r>
        <w:t>CardioRemoto</w:t>
      </w:r>
      <w:proofErr w:type="spellEnd"/>
      <w:r>
        <w:t xml:space="preserve"> (UFPB/HULW)</w:t>
      </w:r>
    </w:p>
    <w:p w14:paraId="6D782023" w14:textId="77777777" w:rsidR="009F05F8" w:rsidRDefault="00000000">
      <w:pPr>
        <w:spacing w:after="120"/>
        <w:ind w:firstLine="480"/>
        <w:jc w:val="both"/>
      </w:pPr>
      <w:r>
        <w:t xml:space="preserve">O cronograma abaixo apresenta as atividades previstas para o cenário </w:t>
      </w:r>
      <w:proofErr w:type="spellStart"/>
      <w:r>
        <w:t>CardioRemoto</w:t>
      </w:r>
      <w:proofErr w:type="spellEnd"/>
      <w:r>
        <w:t>, organizadas em meses. A coleta de dados só será iniciada após a aprovação do projeto pelo CEP.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5"/>
        <w:gridCol w:w="828"/>
        <w:gridCol w:w="829"/>
        <w:gridCol w:w="829"/>
        <w:gridCol w:w="829"/>
        <w:gridCol w:w="829"/>
        <w:gridCol w:w="829"/>
        <w:gridCol w:w="829"/>
        <w:gridCol w:w="399"/>
      </w:tblGrid>
      <w:tr w:rsidR="009F05F8" w14:paraId="4CBC55B8" w14:textId="77777777">
        <w:tblPrEx>
          <w:tblCellMar>
            <w:top w:w="0" w:type="dxa"/>
            <w:bottom w:w="0" w:type="dxa"/>
          </w:tblCellMar>
        </w:tblPrEx>
        <w:trPr>
          <w:cantSplit/>
          <w:tblHeader/>
        </w:trPr>
        <w:tc>
          <w:tcPr>
            <w:tcW w:w="1500" w:type="pct"/>
            <w:tcBorders>
              <w:top w:val="single" w:sz="1" w:space="0" w:color="000000"/>
              <w:left w:val="single" w:sz="1" w:space="0" w:color="000000"/>
              <w:bottom w:val="single" w:sz="1" w:space="0" w:color="000000"/>
              <w:right w:val="single" w:sz="1" w:space="0" w:color="000000"/>
            </w:tcBorders>
          </w:tcPr>
          <w:p w14:paraId="3475DE05" w14:textId="77777777" w:rsidR="009F05F8" w:rsidRDefault="00000000">
            <w:pPr>
              <w:spacing w:before="40" w:after="40" w:line="300" w:lineRule="auto"/>
            </w:pPr>
            <w:r>
              <w:rPr>
                <w:sz w:val="22"/>
                <w:szCs w:val="22"/>
              </w:rPr>
              <w:t>Atividades</w:t>
            </w:r>
          </w:p>
        </w:tc>
        <w:tc>
          <w:tcPr>
            <w:tcW w:w="500" w:type="pct"/>
            <w:tcBorders>
              <w:top w:val="single" w:sz="1" w:space="0" w:color="000000"/>
              <w:left w:val="single" w:sz="1" w:space="0" w:color="000000"/>
              <w:bottom w:val="single" w:sz="1" w:space="0" w:color="000000"/>
              <w:right w:val="single" w:sz="1" w:space="0" w:color="000000"/>
            </w:tcBorders>
          </w:tcPr>
          <w:p w14:paraId="28D330AC" w14:textId="77777777" w:rsidR="009F05F8" w:rsidRDefault="00000000">
            <w:pPr>
              <w:spacing w:before="40" w:after="40" w:line="300" w:lineRule="auto"/>
            </w:pPr>
            <w:r>
              <w:rPr>
                <w:sz w:val="22"/>
                <w:szCs w:val="22"/>
              </w:rPr>
              <w:t>Mês 1</w:t>
            </w:r>
          </w:p>
        </w:tc>
        <w:tc>
          <w:tcPr>
            <w:tcW w:w="500" w:type="pct"/>
            <w:tcBorders>
              <w:top w:val="single" w:sz="1" w:space="0" w:color="000000"/>
              <w:left w:val="single" w:sz="1" w:space="0" w:color="000000"/>
              <w:bottom w:val="single" w:sz="1" w:space="0" w:color="000000"/>
              <w:right w:val="single" w:sz="1" w:space="0" w:color="000000"/>
            </w:tcBorders>
          </w:tcPr>
          <w:p w14:paraId="48FEFB91" w14:textId="77777777" w:rsidR="009F05F8" w:rsidRDefault="00000000">
            <w:pPr>
              <w:spacing w:before="40" w:after="40" w:line="300" w:lineRule="auto"/>
            </w:pPr>
            <w:r>
              <w:rPr>
                <w:sz w:val="22"/>
                <w:szCs w:val="22"/>
              </w:rPr>
              <w:t>Mês 2</w:t>
            </w:r>
          </w:p>
        </w:tc>
        <w:tc>
          <w:tcPr>
            <w:tcW w:w="500" w:type="pct"/>
            <w:tcBorders>
              <w:top w:val="single" w:sz="1" w:space="0" w:color="000000"/>
              <w:left w:val="single" w:sz="1" w:space="0" w:color="000000"/>
              <w:bottom w:val="single" w:sz="1" w:space="0" w:color="000000"/>
              <w:right w:val="single" w:sz="1" w:space="0" w:color="000000"/>
            </w:tcBorders>
          </w:tcPr>
          <w:p w14:paraId="7905D5A5" w14:textId="77777777" w:rsidR="009F05F8" w:rsidRDefault="00000000">
            <w:pPr>
              <w:spacing w:before="40" w:after="40" w:line="300" w:lineRule="auto"/>
            </w:pPr>
            <w:r>
              <w:rPr>
                <w:sz w:val="22"/>
                <w:szCs w:val="22"/>
              </w:rPr>
              <w:t>Mês 3</w:t>
            </w:r>
          </w:p>
        </w:tc>
        <w:tc>
          <w:tcPr>
            <w:tcW w:w="500" w:type="pct"/>
            <w:tcBorders>
              <w:top w:val="single" w:sz="1" w:space="0" w:color="000000"/>
              <w:left w:val="single" w:sz="1" w:space="0" w:color="000000"/>
              <w:bottom w:val="single" w:sz="1" w:space="0" w:color="000000"/>
              <w:right w:val="single" w:sz="1" w:space="0" w:color="000000"/>
            </w:tcBorders>
          </w:tcPr>
          <w:p w14:paraId="6FE21153" w14:textId="77777777" w:rsidR="009F05F8" w:rsidRDefault="00000000">
            <w:pPr>
              <w:spacing w:before="40" w:after="40" w:line="300" w:lineRule="auto"/>
            </w:pPr>
            <w:r>
              <w:rPr>
                <w:sz w:val="22"/>
                <w:szCs w:val="22"/>
              </w:rPr>
              <w:t>Mês 4</w:t>
            </w:r>
          </w:p>
        </w:tc>
        <w:tc>
          <w:tcPr>
            <w:tcW w:w="500" w:type="pct"/>
            <w:tcBorders>
              <w:top w:val="single" w:sz="1" w:space="0" w:color="000000"/>
              <w:left w:val="single" w:sz="1" w:space="0" w:color="000000"/>
              <w:bottom w:val="single" w:sz="1" w:space="0" w:color="000000"/>
              <w:right w:val="single" w:sz="1" w:space="0" w:color="000000"/>
            </w:tcBorders>
          </w:tcPr>
          <w:p w14:paraId="4EBF9D0E" w14:textId="77777777" w:rsidR="009F05F8" w:rsidRDefault="00000000">
            <w:pPr>
              <w:spacing w:before="40" w:after="40" w:line="300" w:lineRule="auto"/>
            </w:pPr>
            <w:r>
              <w:rPr>
                <w:sz w:val="22"/>
                <w:szCs w:val="22"/>
              </w:rPr>
              <w:t>Mês 5</w:t>
            </w:r>
          </w:p>
        </w:tc>
        <w:tc>
          <w:tcPr>
            <w:tcW w:w="500" w:type="pct"/>
            <w:tcBorders>
              <w:top w:val="single" w:sz="1" w:space="0" w:color="000000"/>
              <w:left w:val="single" w:sz="1" w:space="0" w:color="000000"/>
              <w:bottom w:val="single" w:sz="1" w:space="0" w:color="000000"/>
              <w:right w:val="single" w:sz="1" w:space="0" w:color="000000"/>
            </w:tcBorders>
          </w:tcPr>
          <w:p w14:paraId="27F8FE53" w14:textId="77777777" w:rsidR="009F05F8" w:rsidRDefault="00000000">
            <w:pPr>
              <w:spacing w:before="40" w:after="40" w:line="300" w:lineRule="auto"/>
            </w:pPr>
            <w:r>
              <w:rPr>
                <w:sz w:val="22"/>
                <w:szCs w:val="22"/>
              </w:rPr>
              <w:t>Mês 6</w:t>
            </w:r>
          </w:p>
        </w:tc>
        <w:tc>
          <w:tcPr>
            <w:tcW w:w="500" w:type="pct"/>
            <w:tcBorders>
              <w:top w:val="single" w:sz="1" w:space="0" w:color="000000"/>
              <w:left w:val="single" w:sz="1" w:space="0" w:color="000000"/>
              <w:bottom w:val="single" w:sz="1" w:space="0" w:color="000000"/>
              <w:right w:val="single" w:sz="1" w:space="0" w:color="000000"/>
            </w:tcBorders>
          </w:tcPr>
          <w:p w14:paraId="164180A2" w14:textId="77777777" w:rsidR="009F05F8" w:rsidRDefault="00000000">
            <w:pPr>
              <w:spacing w:before="40" w:after="40" w:line="300" w:lineRule="auto"/>
            </w:pPr>
            <w:r>
              <w:rPr>
                <w:sz w:val="22"/>
                <w:szCs w:val="22"/>
              </w:rPr>
              <w:t>Mês 7</w:t>
            </w:r>
          </w:p>
        </w:tc>
        <w:tc>
          <w:tcPr>
            <w:tcW w:w="500" w:type="pct"/>
            <w:tcBorders>
              <w:top w:val="single" w:sz="1" w:space="0" w:color="000000"/>
              <w:left w:val="single" w:sz="1" w:space="0" w:color="000000"/>
              <w:bottom w:val="single" w:sz="1" w:space="0" w:color="000000"/>
              <w:right w:val="single" w:sz="1" w:space="0" w:color="000000"/>
            </w:tcBorders>
          </w:tcPr>
          <w:p w14:paraId="69F08F74" w14:textId="77777777" w:rsidR="009F05F8" w:rsidRDefault="00000000">
            <w:pPr>
              <w:spacing w:before="40" w:after="40" w:line="300" w:lineRule="auto"/>
            </w:pPr>
            <w:r>
              <w:rPr>
                <w:sz w:val="22"/>
                <w:szCs w:val="22"/>
              </w:rPr>
              <w:t>Mês 8</w:t>
            </w:r>
          </w:p>
        </w:tc>
      </w:tr>
      <w:tr w:rsidR="009F05F8" w14:paraId="7F65A243" w14:textId="77777777">
        <w:tblPrEx>
          <w:tblCellMar>
            <w:top w:w="0" w:type="dxa"/>
            <w:bottom w:w="0" w:type="dxa"/>
          </w:tblCellMar>
        </w:tblPrEx>
        <w:trPr>
          <w:cantSplit/>
        </w:trPr>
        <w:tc>
          <w:tcPr>
            <w:tcW w:w="1500" w:type="pct"/>
            <w:tcBorders>
              <w:top w:val="single" w:sz="1" w:space="0" w:color="000000"/>
              <w:left w:val="single" w:sz="1" w:space="0" w:color="000000"/>
              <w:bottom w:val="single" w:sz="1" w:space="0" w:color="000000"/>
              <w:right w:val="single" w:sz="1" w:space="0" w:color="000000"/>
            </w:tcBorders>
          </w:tcPr>
          <w:p w14:paraId="703141FE" w14:textId="77777777" w:rsidR="009F05F8" w:rsidRDefault="00000000">
            <w:pPr>
              <w:spacing w:before="40" w:after="40" w:line="300" w:lineRule="auto"/>
            </w:pPr>
            <w:r>
              <w:rPr>
                <w:sz w:val="22"/>
                <w:szCs w:val="22"/>
              </w:rPr>
              <w:t>Submissão e aprovação no CEP</w:t>
            </w:r>
          </w:p>
        </w:tc>
        <w:tc>
          <w:tcPr>
            <w:tcW w:w="500" w:type="pct"/>
            <w:tcBorders>
              <w:top w:val="single" w:sz="1" w:space="0" w:color="000000"/>
              <w:left w:val="single" w:sz="1" w:space="0" w:color="000000"/>
              <w:bottom w:val="single" w:sz="1" w:space="0" w:color="000000"/>
              <w:right w:val="single" w:sz="1" w:space="0" w:color="000000"/>
            </w:tcBorders>
          </w:tcPr>
          <w:p w14:paraId="2CBD986C"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008D377D"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44965821"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56BFB9C9"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14474A7C"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0E013132"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5EC8FCD7"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5F98AE5A" w14:textId="77777777" w:rsidR="009F05F8" w:rsidRDefault="009F05F8">
            <w:pPr>
              <w:spacing w:before="40" w:after="40" w:line="300" w:lineRule="auto"/>
            </w:pPr>
          </w:p>
        </w:tc>
      </w:tr>
      <w:tr w:rsidR="009F05F8" w14:paraId="15427ABC" w14:textId="77777777">
        <w:tblPrEx>
          <w:tblCellMar>
            <w:top w:w="0" w:type="dxa"/>
            <w:bottom w:w="0" w:type="dxa"/>
          </w:tblCellMar>
        </w:tblPrEx>
        <w:trPr>
          <w:cantSplit/>
        </w:trPr>
        <w:tc>
          <w:tcPr>
            <w:tcW w:w="1500" w:type="pct"/>
            <w:tcBorders>
              <w:top w:val="single" w:sz="1" w:space="0" w:color="000000"/>
              <w:left w:val="single" w:sz="1" w:space="0" w:color="000000"/>
              <w:bottom w:val="single" w:sz="1" w:space="0" w:color="000000"/>
              <w:right w:val="single" w:sz="1" w:space="0" w:color="000000"/>
            </w:tcBorders>
          </w:tcPr>
          <w:p w14:paraId="790ECFEF" w14:textId="77777777" w:rsidR="009F05F8" w:rsidRDefault="00000000">
            <w:pPr>
              <w:spacing w:before="40" w:after="40" w:line="300" w:lineRule="auto"/>
            </w:pPr>
            <w:r>
              <w:rPr>
                <w:sz w:val="22"/>
                <w:szCs w:val="22"/>
              </w:rPr>
              <w:t>Capacitação da equipe</w:t>
            </w:r>
          </w:p>
        </w:tc>
        <w:tc>
          <w:tcPr>
            <w:tcW w:w="500" w:type="pct"/>
            <w:tcBorders>
              <w:top w:val="single" w:sz="1" w:space="0" w:color="000000"/>
              <w:left w:val="single" w:sz="1" w:space="0" w:color="000000"/>
              <w:bottom w:val="single" w:sz="1" w:space="0" w:color="000000"/>
              <w:right w:val="single" w:sz="1" w:space="0" w:color="000000"/>
            </w:tcBorders>
          </w:tcPr>
          <w:p w14:paraId="484BFDBB"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2651DD28"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2D9E026D"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21CFE099"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3EE80E9F"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6785B6B6"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0FBF52DD"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39DAAD98" w14:textId="77777777" w:rsidR="009F05F8" w:rsidRDefault="009F05F8">
            <w:pPr>
              <w:spacing w:before="40" w:after="40" w:line="300" w:lineRule="auto"/>
            </w:pPr>
          </w:p>
        </w:tc>
      </w:tr>
      <w:tr w:rsidR="009F05F8" w14:paraId="2FC022F0" w14:textId="77777777">
        <w:tblPrEx>
          <w:tblCellMar>
            <w:top w:w="0" w:type="dxa"/>
            <w:bottom w:w="0" w:type="dxa"/>
          </w:tblCellMar>
        </w:tblPrEx>
        <w:trPr>
          <w:cantSplit/>
        </w:trPr>
        <w:tc>
          <w:tcPr>
            <w:tcW w:w="1500" w:type="pct"/>
            <w:tcBorders>
              <w:top w:val="single" w:sz="1" w:space="0" w:color="000000"/>
              <w:left w:val="single" w:sz="1" w:space="0" w:color="000000"/>
              <w:bottom w:val="single" w:sz="1" w:space="0" w:color="000000"/>
              <w:right w:val="single" w:sz="1" w:space="0" w:color="000000"/>
            </w:tcBorders>
          </w:tcPr>
          <w:p w14:paraId="326B41F5" w14:textId="77777777" w:rsidR="009F05F8" w:rsidRDefault="00000000">
            <w:pPr>
              <w:spacing w:before="40" w:after="40" w:line="300" w:lineRule="auto"/>
            </w:pPr>
            <w:r>
              <w:rPr>
                <w:sz w:val="22"/>
                <w:szCs w:val="22"/>
              </w:rPr>
              <w:t>Etapa 1 — Pesquisa formativa e usabilidade</w:t>
            </w:r>
          </w:p>
        </w:tc>
        <w:tc>
          <w:tcPr>
            <w:tcW w:w="500" w:type="pct"/>
            <w:tcBorders>
              <w:top w:val="single" w:sz="1" w:space="0" w:color="000000"/>
              <w:left w:val="single" w:sz="1" w:space="0" w:color="000000"/>
              <w:bottom w:val="single" w:sz="1" w:space="0" w:color="000000"/>
              <w:right w:val="single" w:sz="1" w:space="0" w:color="000000"/>
            </w:tcBorders>
          </w:tcPr>
          <w:p w14:paraId="57CE2EAA"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1BE127B8"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27BD9044"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2E54530D"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7402E519"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2E1BE5F2"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7F51441C"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6BAEE626" w14:textId="77777777" w:rsidR="009F05F8" w:rsidRDefault="009F05F8">
            <w:pPr>
              <w:spacing w:before="40" w:after="40" w:line="300" w:lineRule="auto"/>
            </w:pPr>
          </w:p>
        </w:tc>
      </w:tr>
      <w:tr w:rsidR="009F05F8" w14:paraId="2CF8C1F4" w14:textId="77777777">
        <w:tblPrEx>
          <w:tblCellMar>
            <w:top w:w="0" w:type="dxa"/>
            <w:bottom w:w="0" w:type="dxa"/>
          </w:tblCellMar>
        </w:tblPrEx>
        <w:trPr>
          <w:cantSplit/>
        </w:trPr>
        <w:tc>
          <w:tcPr>
            <w:tcW w:w="1500" w:type="pct"/>
            <w:tcBorders>
              <w:top w:val="single" w:sz="1" w:space="0" w:color="000000"/>
              <w:left w:val="single" w:sz="1" w:space="0" w:color="000000"/>
              <w:bottom w:val="single" w:sz="1" w:space="0" w:color="000000"/>
              <w:right w:val="single" w:sz="1" w:space="0" w:color="000000"/>
            </w:tcBorders>
          </w:tcPr>
          <w:p w14:paraId="790910A6" w14:textId="77777777" w:rsidR="009F05F8" w:rsidRDefault="00000000">
            <w:pPr>
              <w:spacing w:before="40" w:after="40" w:line="300" w:lineRule="auto"/>
            </w:pPr>
            <w:r>
              <w:rPr>
                <w:sz w:val="22"/>
                <w:szCs w:val="22"/>
              </w:rPr>
              <w:lastRenderedPageBreak/>
              <w:t>Ajustes na plataforma pós-Etapa 1</w:t>
            </w:r>
          </w:p>
        </w:tc>
        <w:tc>
          <w:tcPr>
            <w:tcW w:w="500" w:type="pct"/>
            <w:tcBorders>
              <w:top w:val="single" w:sz="1" w:space="0" w:color="000000"/>
              <w:left w:val="single" w:sz="1" w:space="0" w:color="000000"/>
              <w:bottom w:val="single" w:sz="1" w:space="0" w:color="000000"/>
              <w:right w:val="single" w:sz="1" w:space="0" w:color="000000"/>
            </w:tcBorders>
          </w:tcPr>
          <w:p w14:paraId="6BD0AABC"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3F32E702"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1ED5032F"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6CE7D22D"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1476F9B8"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3356B494"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205A561A"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44A5F019" w14:textId="77777777" w:rsidR="009F05F8" w:rsidRDefault="009F05F8">
            <w:pPr>
              <w:spacing w:before="40" w:after="40" w:line="300" w:lineRule="auto"/>
            </w:pPr>
          </w:p>
        </w:tc>
      </w:tr>
      <w:tr w:rsidR="009F05F8" w14:paraId="2624CBF4" w14:textId="77777777">
        <w:tblPrEx>
          <w:tblCellMar>
            <w:top w:w="0" w:type="dxa"/>
            <w:bottom w:w="0" w:type="dxa"/>
          </w:tblCellMar>
        </w:tblPrEx>
        <w:trPr>
          <w:cantSplit/>
        </w:trPr>
        <w:tc>
          <w:tcPr>
            <w:tcW w:w="1500" w:type="pct"/>
            <w:tcBorders>
              <w:top w:val="single" w:sz="1" w:space="0" w:color="000000"/>
              <w:left w:val="single" w:sz="1" w:space="0" w:color="000000"/>
              <w:bottom w:val="single" w:sz="1" w:space="0" w:color="000000"/>
              <w:right w:val="single" w:sz="1" w:space="0" w:color="000000"/>
            </w:tcBorders>
          </w:tcPr>
          <w:p w14:paraId="5E35836F" w14:textId="77777777" w:rsidR="009F05F8" w:rsidRDefault="00000000">
            <w:pPr>
              <w:spacing w:before="40" w:after="40" w:line="300" w:lineRule="auto"/>
            </w:pPr>
            <w:r>
              <w:rPr>
                <w:sz w:val="22"/>
                <w:szCs w:val="22"/>
              </w:rPr>
              <w:t>Etapa 2 — Viabilidade e aceitabilidade (piloto)</w:t>
            </w:r>
          </w:p>
        </w:tc>
        <w:tc>
          <w:tcPr>
            <w:tcW w:w="500" w:type="pct"/>
            <w:tcBorders>
              <w:top w:val="single" w:sz="1" w:space="0" w:color="000000"/>
              <w:left w:val="single" w:sz="1" w:space="0" w:color="000000"/>
              <w:bottom w:val="single" w:sz="1" w:space="0" w:color="000000"/>
              <w:right w:val="single" w:sz="1" w:space="0" w:color="000000"/>
            </w:tcBorders>
          </w:tcPr>
          <w:p w14:paraId="46001257"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0BCC655B"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3B590E0E"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627CF930"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6F7098ED"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4DA7AAEB"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3454C5B9"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33322792" w14:textId="77777777" w:rsidR="009F05F8" w:rsidRDefault="00000000">
            <w:pPr>
              <w:spacing w:before="40" w:after="40" w:line="300" w:lineRule="auto"/>
            </w:pPr>
            <w:r>
              <w:rPr>
                <w:sz w:val="22"/>
                <w:szCs w:val="22"/>
              </w:rPr>
              <w:t>X</w:t>
            </w:r>
          </w:p>
        </w:tc>
      </w:tr>
      <w:tr w:rsidR="009F05F8" w14:paraId="43A8E51A" w14:textId="77777777">
        <w:tblPrEx>
          <w:tblCellMar>
            <w:top w:w="0" w:type="dxa"/>
            <w:bottom w:w="0" w:type="dxa"/>
          </w:tblCellMar>
        </w:tblPrEx>
        <w:trPr>
          <w:cantSplit/>
        </w:trPr>
        <w:tc>
          <w:tcPr>
            <w:tcW w:w="1500" w:type="pct"/>
            <w:tcBorders>
              <w:top w:val="single" w:sz="1" w:space="0" w:color="000000"/>
              <w:left w:val="single" w:sz="1" w:space="0" w:color="000000"/>
              <w:bottom w:val="single" w:sz="1" w:space="0" w:color="000000"/>
              <w:right w:val="single" w:sz="1" w:space="0" w:color="000000"/>
            </w:tcBorders>
          </w:tcPr>
          <w:p w14:paraId="6CB12728" w14:textId="77777777" w:rsidR="009F05F8" w:rsidRDefault="00000000">
            <w:pPr>
              <w:spacing w:before="40" w:after="40" w:line="300" w:lineRule="auto"/>
            </w:pPr>
            <w:r>
              <w:rPr>
                <w:sz w:val="22"/>
                <w:szCs w:val="22"/>
              </w:rPr>
              <w:t>Análise dos dados</w:t>
            </w:r>
          </w:p>
        </w:tc>
        <w:tc>
          <w:tcPr>
            <w:tcW w:w="500" w:type="pct"/>
            <w:tcBorders>
              <w:top w:val="single" w:sz="1" w:space="0" w:color="000000"/>
              <w:left w:val="single" w:sz="1" w:space="0" w:color="000000"/>
              <w:bottom w:val="single" w:sz="1" w:space="0" w:color="000000"/>
              <w:right w:val="single" w:sz="1" w:space="0" w:color="000000"/>
            </w:tcBorders>
          </w:tcPr>
          <w:p w14:paraId="6338095D"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77CC1AE9"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6C314C96"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3A53FEB8"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435FA5CC"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47684B7D"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0724E616" w14:textId="77777777" w:rsidR="009F05F8" w:rsidRDefault="00000000">
            <w:pPr>
              <w:spacing w:before="40" w:after="40" w:line="300" w:lineRule="auto"/>
            </w:pPr>
            <w:r>
              <w:rPr>
                <w:sz w:val="22"/>
                <w:szCs w:val="22"/>
              </w:rPr>
              <w:t>X</w:t>
            </w:r>
          </w:p>
        </w:tc>
        <w:tc>
          <w:tcPr>
            <w:tcW w:w="500" w:type="pct"/>
            <w:tcBorders>
              <w:top w:val="single" w:sz="1" w:space="0" w:color="000000"/>
              <w:left w:val="single" w:sz="1" w:space="0" w:color="000000"/>
              <w:bottom w:val="single" w:sz="1" w:space="0" w:color="000000"/>
              <w:right w:val="single" w:sz="1" w:space="0" w:color="000000"/>
            </w:tcBorders>
          </w:tcPr>
          <w:p w14:paraId="2D9B8E25" w14:textId="77777777" w:rsidR="009F05F8" w:rsidRDefault="00000000">
            <w:pPr>
              <w:spacing w:before="40" w:after="40" w:line="300" w:lineRule="auto"/>
            </w:pPr>
            <w:r>
              <w:rPr>
                <w:sz w:val="22"/>
                <w:szCs w:val="22"/>
              </w:rPr>
              <w:t>X</w:t>
            </w:r>
          </w:p>
        </w:tc>
      </w:tr>
      <w:tr w:rsidR="009F05F8" w14:paraId="6B6C883B" w14:textId="77777777">
        <w:tblPrEx>
          <w:tblCellMar>
            <w:top w:w="0" w:type="dxa"/>
            <w:bottom w:w="0" w:type="dxa"/>
          </w:tblCellMar>
        </w:tblPrEx>
        <w:trPr>
          <w:cantSplit/>
        </w:trPr>
        <w:tc>
          <w:tcPr>
            <w:tcW w:w="1500" w:type="pct"/>
            <w:tcBorders>
              <w:top w:val="single" w:sz="1" w:space="0" w:color="000000"/>
              <w:left w:val="single" w:sz="1" w:space="0" w:color="000000"/>
              <w:bottom w:val="single" w:sz="1" w:space="0" w:color="000000"/>
              <w:right w:val="single" w:sz="1" w:space="0" w:color="000000"/>
            </w:tcBorders>
          </w:tcPr>
          <w:p w14:paraId="4169F11C" w14:textId="77777777" w:rsidR="009F05F8" w:rsidRDefault="00000000">
            <w:pPr>
              <w:spacing w:before="40" w:after="40" w:line="300" w:lineRule="auto"/>
            </w:pPr>
            <w:r>
              <w:rPr>
                <w:sz w:val="22"/>
                <w:szCs w:val="22"/>
              </w:rPr>
              <w:t>Elaboração de relatórios e divulgação</w:t>
            </w:r>
          </w:p>
        </w:tc>
        <w:tc>
          <w:tcPr>
            <w:tcW w:w="500" w:type="pct"/>
            <w:tcBorders>
              <w:top w:val="single" w:sz="1" w:space="0" w:color="000000"/>
              <w:left w:val="single" w:sz="1" w:space="0" w:color="000000"/>
              <w:bottom w:val="single" w:sz="1" w:space="0" w:color="000000"/>
              <w:right w:val="single" w:sz="1" w:space="0" w:color="000000"/>
            </w:tcBorders>
          </w:tcPr>
          <w:p w14:paraId="185390C6"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58E5A7FD"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7D6A6741"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76081A5A"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2FE7E4B5"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6E3DD0E3"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54838C33" w14:textId="77777777" w:rsidR="009F05F8" w:rsidRDefault="009F05F8">
            <w:pPr>
              <w:spacing w:before="40" w:after="40" w:line="300" w:lineRule="auto"/>
            </w:pPr>
          </w:p>
        </w:tc>
        <w:tc>
          <w:tcPr>
            <w:tcW w:w="500" w:type="pct"/>
            <w:tcBorders>
              <w:top w:val="single" w:sz="1" w:space="0" w:color="000000"/>
              <w:left w:val="single" w:sz="1" w:space="0" w:color="000000"/>
              <w:bottom w:val="single" w:sz="1" w:space="0" w:color="000000"/>
              <w:right w:val="single" w:sz="1" w:space="0" w:color="000000"/>
            </w:tcBorders>
          </w:tcPr>
          <w:p w14:paraId="55A6648E" w14:textId="77777777" w:rsidR="009F05F8" w:rsidRDefault="00000000">
            <w:pPr>
              <w:spacing w:before="40" w:after="40" w:line="300" w:lineRule="auto"/>
            </w:pPr>
            <w:r>
              <w:rPr>
                <w:sz w:val="22"/>
                <w:szCs w:val="22"/>
              </w:rPr>
              <w:t>X</w:t>
            </w:r>
          </w:p>
        </w:tc>
      </w:tr>
    </w:tbl>
    <w:p w14:paraId="3DB327CF" w14:textId="77777777" w:rsidR="009F05F8" w:rsidRDefault="009F05F8">
      <w:pPr>
        <w:spacing w:after="120"/>
        <w:jc w:val="both"/>
      </w:pPr>
    </w:p>
    <w:p w14:paraId="1D0B0B17" w14:textId="77777777" w:rsidR="009F05F8" w:rsidRDefault="00000000">
      <w:pPr>
        <w:pStyle w:val="Ttulo2"/>
      </w:pPr>
      <w:r>
        <w:t xml:space="preserve">11. Orçamento — </w:t>
      </w:r>
      <w:proofErr w:type="spellStart"/>
      <w:r>
        <w:t>CardioRemoto</w:t>
      </w:r>
      <w:proofErr w:type="spellEnd"/>
      <w:r>
        <w:t xml:space="preserve"> (UFPB/HULW)</w:t>
      </w:r>
    </w:p>
    <w:p w14:paraId="4BB5317E" w14:textId="77777777" w:rsidR="009F05F8" w:rsidRDefault="00000000">
      <w:pPr>
        <w:spacing w:after="120"/>
        <w:ind w:firstLine="480"/>
        <w:jc w:val="both"/>
      </w:pPr>
      <w:r>
        <w:t xml:space="preserve">O orçamento abaixo discrimina os gastos previstos para a execução do cenário </w:t>
      </w:r>
      <w:proofErr w:type="spellStart"/>
      <w:r>
        <w:t>CardioRemoto</w:t>
      </w:r>
      <w:proofErr w:type="spellEnd"/>
      <w:r>
        <w:t xml:space="preserve"> no âmbito do HULW/UFPB. O financiamento é proveniente do Programa Redes de Colaboração em Saúde Digital 2025 da RNP, já aprovado.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3"/>
        <w:gridCol w:w="1318"/>
        <w:gridCol w:w="1494"/>
        <w:gridCol w:w="1581"/>
      </w:tblGrid>
      <w:tr w:rsidR="009F05F8" w14:paraId="66213156" w14:textId="77777777">
        <w:tblPrEx>
          <w:tblCellMar>
            <w:top w:w="0" w:type="dxa"/>
            <w:bottom w:w="0" w:type="dxa"/>
          </w:tblCellMar>
        </w:tblPrEx>
        <w:trPr>
          <w:cantSplit/>
          <w:tblHeader/>
        </w:trPr>
        <w:tc>
          <w:tcPr>
            <w:tcW w:w="2500" w:type="pct"/>
            <w:tcBorders>
              <w:top w:val="single" w:sz="1" w:space="0" w:color="000000"/>
              <w:left w:val="single" w:sz="1" w:space="0" w:color="000000"/>
              <w:bottom w:val="single" w:sz="1" w:space="0" w:color="000000"/>
              <w:right w:val="single" w:sz="1" w:space="0" w:color="000000"/>
            </w:tcBorders>
            <w:shd w:val="clear" w:color="auto" w:fill="F5F7FA"/>
          </w:tcPr>
          <w:p w14:paraId="01389B33" w14:textId="77777777" w:rsidR="009F05F8" w:rsidRDefault="00000000">
            <w:pPr>
              <w:spacing w:before="40" w:after="40" w:line="300" w:lineRule="auto"/>
            </w:pPr>
            <w:r>
              <w:rPr>
                <w:b/>
                <w:bCs/>
                <w:sz w:val="22"/>
                <w:szCs w:val="22"/>
              </w:rPr>
              <w:t>Item</w:t>
            </w:r>
          </w:p>
        </w:tc>
        <w:tc>
          <w:tcPr>
            <w:tcW w:w="750" w:type="pct"/>
            <w:tcBorders>
              <w:top w:val="single" w:sz="1" w:space="0" w:color="000000"/>
              <w:left w:val="single" w:sz="1" w:space="0" w:color="000000"/>
              <w:bottom w:val="single" w:sz="1" w:space="0" w:color="000000"/>
              <w:right w:val="single" w:sz="1" w:space="0" w:color="000000"/>
            </w:tcBorders>
            <w:shd w:val="clear" w:color="auto" w:fill="F5F7FA"/>
          </w:tcPr>
          <w:p w14:paraId="73A6A0A2" w14:textId="77777777" w:rsidR="009F05F8" w:rsidRDefault="00000000">
            <w:pPr>
              <w:spacing w:before="40" w:after="40" w:line="300" w:lineRule="auto"/>
            </w:pPr>
            <w:r>
              <w:rPr>
                <w:b/>
                <w:bCs/>
                <w:sz w:val="22"/>
                <w:szCs w:val="22"/>
              </w:rPr>
              <w:t>Quantidade</w:t>
            </w:r>
          </w:p>
        </w:tc>
        <w:tc>
          <w:tcPr>
            <w:tcW w:w="850" w:type="pct"/>
            <w:tcBorders>
              <w:top w:val="single" w:sz="1" w:space="0" w:color="000000"/>
              <w:left w:val="single" w:sz="1" w:space="0" w:color="000000"/>
              <w:bottom w:val="single" w:sz="1" w:space="0" w:color="000000"/>
              <w:right w:val="single" w:sz="1" w:space="0" w:color="000000"/>
            </w:tcBorders>
            <w:shd w:val="clear" w:color="auto" w:fill="F5F7FA"/>
          </w:tcPr>
          <w:p w14:paraId="5A6D4E07" w14:textId="77777777" w:rsidR="009F05F8" w:rsidRDefault="00000000">
            <w:pPr>
              <w:spacing w:before="40" w:after="40" w:line="300" w:lineRule="auto"/>
            </w:pPr>
            <w:r>
              <w:rPr>
                <w:b/>
                <w:bCs/>
                <w:sz w:val="22"/>
                <w:szCs w:val="22"/>
              </w:rPr>
              <w:t>Valor unitário (R$)</w:t>
            </w:r>
          </w:p>
        </w:tc>
        <w:tc>
          <w:tcPr>
            <w:tcW w:w="900" w:type="pct"/>
            <w:tcBorders>
              <w:top w:val="single" w:sz="1" w:space="0" w:color="000000"/>
              <w:left w:val="single" w:sz="1" w:space="0" w:color="000000"/>
              <w:bottom w:val="single" w:sz="1" w:space="0" w:color="000000"/>
              <w:right w:val="single" w:sz="1" w:space="0" w:color="000000"/>
            </w:tcBorders>
            <w:shd w:val="clear" w:color="auto" w:fill="F5F7FA"/>
          </w:tcPr>
          <w:p w14:paraId="2E574C91" w14:textId="77777777" w:rsidR="009F05F8" w:rsidRDefault="00000000">
            <w:pPr>
              <w:spacing w:before="40" w:after="40" w:line="300" w:lineRule="auto"/>
            </w:pPr>
            <w:r>
              <w:rPr>
                <w:b/>
                <w:bCs/>
                <w:sz w:val="22"/>
                <w:szCs w:val="22"/>
              </w:rPr>
              <w:t>Valor total (R$)</w:t>
            </w:r>
          </w:p>
        </w:tc>
      </w:tr>
      <w:tr w:rsidR="009F05F8" w14:paraId="63D3AF2D"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226EA834" w14:textId="77777777" w:rsidR="009F05F8" w:rsidRDefault="00000000">
            <w:pPr>
              <w:spacing w:before="40" w:after="40" w:line="300" w:lineRule="auto"/>
            </w:pPr>
            <w:r>
              <w:rPr>
                <w:sz w:val="22"/>
                <w:szCs w:val="22"/>
              </w:rPr>
              <w:t>Esfigmomanômetro digital com Bluetooth (ANVISA)</w:t>
            </w:r>
          </w:p>
        </w:tc>
        <w:tc>
          <w:tcPr>
            <w:tcW w:w="750" w:type="pct"/>
            <w:tcBorders>
              <w:top w:val="single" w:sz="1" w:space="0" w:color="000000"/>
              <w:left w:val="single" w:sz="1" w:space="0" w:color="000000"/>
              <w:bottom w:val="single" w:sz="1" w:space="0" w:color="000000"/>
              <w:right w:val="single" w:sz="1" w:space="0" w:color="000000"/>
            </w:tcBorders>
          </w:tcPr>
          <w:p w14:paraId="0A37A551" w14:textId="022C8474"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13CDC069" w14:textId="500DE570"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575B4785" w14:textId="07E0A45B" w:rsidR="009F05F8" w:rsidRDefault="009F05F8">
            <w:pPr>
              <w:spacing w:before="40" w:after="40" w:line="300" w:lineRule="auto"/>
            </w:pPr>
          </w:p>
        </w:tc>
      </w:tr>
      <w:tr w:rsidR="009F05F8" w14:paraId="1AE2500C"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4AF446D6" w14:textId="77777777" w:rsidR="009F05F8" w:rsidRDefault="00000000">
            <w:pPr>
              <w:spacing w:before="40" w:after="40" w:line="300" w:lineRule="auto"/>
            </w:pPr>
            <w:r>
              <w:rPr>
                <w:sz w:val="22"/>
                <w:szCs w:val="22"/>
              </w:rPr>
              <w:t>Glicosímetro digital com Bluetooth (ANVISA)</w:t>
            </w:r>
          </w:p>
        </w:tc>
        <w:tc>
          <w:tcPr>
            <w:tcW w:w="750" w:type="pct"/>
            <w:tcBorders>
              <w:top w:val="single" w:sz="1" w:space="0" w:color="000000"/>
              <w:left w:val="single" w:sz="1" w:space="0" w:color="000000"/>
              <w:bottom w:val="single" w:sz="1" w:space="0" w:color="000000"/>
              <w:right w:val="single" w:sz="1" w:space="0" w:color="000000"/>
            </w:tcBorders>
          </w:tcPr>
          <w:p w14:paraId="184E5264" w14:textId="00E20473"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0FBB8738" w14:textId="556BB6E0"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283F2E5C" w14:textId="4027E43C" w:rsidR="009F05F8" w:rsidRDefault="009F05F8">
            <w:pPr>
              <w:spacing w:before="40" w:after="40" w:line="300" w:lineRule="auto"/>
            </w:pPr>
          </w:p>
        </w:tc>
      </w:tr>
      <w:tr w:rsidR="009F05F8" w14:paraId="3C6D5A31"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7725A0EA" w14:textId="77777777" w:rsidR="009F05F8" w:rsidRDefault="00000000">
            <w:pPr>
              <w:spacing w:before="40" w:after="40" w:line="300" w:lineRule="auto"/>
            </w:pPr>
            <w:r>
              <w:rPr>
                <w:sz w:val="22"/>
                <w:szCs w:val="22"/>
              </w:rPr>
              <w:t>Balança digital com Bluetooth (ANVISA)</w:t>
            </w:r>
          </w:p>
        </w:tc>
        <w:tc>
          <w:tcPr>
            <w:tcW w:w="750" w:type="pct"/>
            <w:tcBorders>
              <w:top w:val="single" w:sz="1" w:space="0" w:color="000000"/>
              <w:left w:val="single" w:sz="1" w:space="0" w:color="000000"/>
              <w:bottom w:val="single" w:sz="1" w:space="0" w:color="000000"/>
              <w:right w:val="single" w:sz="1" w:space="0" w:color="000000"/>
            </w:tcBorders>
          </w:tcPr>
          <w:p w14:paraId="799B38ED" w14:textId="79D16CFE"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52E3C91E" w14:textId="3FF4B274"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07A768D5" w14:textId="20538A7D" w:rsidR="009F05F8" w:rsidRDefault="009F05F8">
            <w:pPr>
              <w:spacing w:before="40" w:after="40" w:line="300" w:lineRule="auto"/>
            </w:pPr>
          </w:p>
        </w:tc>
      </w:tr>
      <w:tr w:rsidR="009F05F8" w14:paraId="5E84D690"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4A29E716" w14:textId="77777777" w:rsidR="009F05F8" w:rsidRDefault="00000000">
            <w:pPr>
              <w:spacing w:before="40" w:after="40" w:line="300" w:lineRule="auto"/>
            </w:pPr>
            <w:proofErr w:type="spellStart"/>
            <w:r>
              <w:rPr>
                <w:sz w:val="22"/>
                <w:szCs w:val="22"/>
              </w:rPr>
              <w:t>Estadiômetro</w:t>
            </w:r>
            <w:proofErr w:type="spellEnd"/>
          </w:p>
        </w:tc>
        <w:tc>
          <w:tcPr>
            <w:tcW w:w="750" w:type="pct"/>
            <w:tcBorders>
              <w:top w:val="single" w:sz="1" w:space="0" w:color="000000"/>
              <w:left w:val="single" w:sz="1" w:space="0" w:color="000000"/>
              <w:bottom w:val="single" w:sz="1" w:space="0" w:color="000000"/>
              <w:right w:val="single" w:sz="1" w:space="0" w:color="000000"/>
            </w:tcBorders>
          </w:tcPr>
          <w:p w14:paraId="4493164D" w14:textId="724F4C78"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59CB639C" w14:textId="1F683520"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6AB93721" w14:textId="296EEC33" w:rsidR="009F05F8" w:rsidRDefault="009F05F8">
            <w:pPr>
              <w:spacing w:before="40" w:after="40" w:line="300" w:lineRule="auto"/>
            </w:pPr>
          </w:p>
        </w:tc>
      </w:tr>
      <w:tr w:rsidR="009F05F8" w14:paraId="3C4699B3"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29282988" w14:textId="77777777" w:rsidR="009F05F8" w:rsidRDefault="00000000">
            <w:pPr>
              <w:spacing w:before="40" w:after="40" w:line="300" w:lineRule="auto"/>
            </w:pPr>
            <w:r>
              <w:rPr>
                <w:sz w:val="22"/>
                <w:szCs w:val="22"/>
              </w:rPr>
              <w:t>Fita métrica (circunferência da cintura)</w:t>
            </w:r>
          </w:p>
        </w:tc>
        <w:tc>
          <w:tcPr>
            <w:tcW w:w="750" w:type="pct"/>
            <w:tcBorders>
              <w:top w:val="single" w:sz="1" w:space="0" w:color="000000"/>
              <w:left w:val="single" w:sz="1" w:space="0" w:color="000000"/>
              <w:bottom w:val="single" w:sz="1" w:space="0" w:color="000000"/>
              <w:right w:val="single" w:sz="1" w:space="0" w:color="000000"/>
            </w:tcBorders>
          </w:tcPr>
          <w:p w14:paraId="04CE0A5F" w14:textId="67357C85"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6F708852" w14:textId="2CA2D255"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4B2A9944" w14:textId="7BCAC2DF" w:rsidR="009F05F8" w:rsidRDefault="009F05F8">
            <w:pPr>
              <w:spacing w:before="40" w:after="40" w:line="300" w:lineRule="auto"/>
            </w:pPr>
          </w:p>
        </w:tc>
      </w:tr>
      <w:tr w:rsidR="009F05F8" w14:paraId="2282A3C0"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7B833341" w14:textId="77777777" w:rsidR="009F05F8" w:rsidRDefault="00000000">
            <w:pPr>
              <w:spacing w:before="40" w:after="40" w:line="300" w:lineRule="auto"/>
            </w:pPr>
            <w:r>
              <w:rPr>
                <w:sz w:val="22"/>
                <w:szCs w:val="22"/>
              </w:rPr>
              <w:t>Tablets para coleta de dados</w:t>
            </w:r>
          </w:p>
        </w:tc>
        <w:tc>
          <w:tcPr>
            <w:tcW w:w="750" w:type="pct"/>
            <w:tcBorders>
              <w:top w:val="single" w:sz="1" w:space="0" w:color="000000"/>
              <w:left w:val="single" w:sz="1" w:space="0" w:color="000000"/>
              <w:bottom w:val="single" w:sz="1" w:space="0" w:color="000000"/>
              <w:right w:val="single" w:sz="1" w:space="0" w:color="000000"/>
            </w:tcBorders>
          </w:tcPr>
          <w:p w14:paraId="73522C89" w14:textId="09F6EDEF"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32838193" w14:textId="2EAFC37B"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7A0EBD57" w14:textId="7D6BE150" w:rsidR="009F05F8" w:rsidRDefault="009F05F8">
            <w:pPr>
              <w:spacing w:before="40" w:after="40" w:line="300" w:lineRule="auto"/>
            </w:pPr>
          </w:p>
        </w:tc>
      </w:tr>
      <w:tr w:rsidR="009F05F8" w14:paraId="1854A930"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08D0BB05" w14:textId="77777777" w:rsidR="009F05F8" w:rsidRDefault="00000000">
            <w:pPr>
              <w:spacing w:before="40" w:after="40" w:line="300" w:lineRule="auto"/>
            </w:pPr>
            <w:r>
              <w:rPr>
                <w:sz w:val="22"/>
                <w:szCs w:val="22"/>
              </w:rPr>
              <w:t>Impressão de TCLE e formulários</w:t>
            </w:r>
          </w:p>
        </w:tc>
        <w:tc>
          <w:tcPr>
            <w:tcW w:w="750" w:type="pct"/>
            <w:tcBorders>
              <w:top w:val="single" w:sz="1" w:space="0" w:color="000000"/>
              <w:left w:val="single" w:sz="1" w:space="0" w:color="000000"/>
              <w:bottom w:val="single" w:sz="1" w:space="0" w:color="000000"/>
              <w:right w:val="single" w:sz="1" w:space="0" w:color="000000"/>
            </w:tcBorders>
          </w:tcPr>
          <w:p w14:paraId="4AA3601E" w14:textId="6112A7B7"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78AB4CAA" w14:textId="02E8A090"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5EA919EE" w14:textId="27EB249F" w:rsidR="009F05F8" w:rsidRDefault="009F05F8">
            <w:pPr>
              <w:spacing w:before="40" w:after="40" w:line="300" w:lineRule="auto"/>
            </w:pPr>
          </w:p>
        </w:tc>
      </w:tr>
      <w:tr w:rsidR="009F05F8" w14:paraId="3BBA4DC1"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02EB553B" w14:textId="77777777" w:rsidR="009F05F8" w:rsidRDefault="00000000">
            <w:pPr>
              <w:spacing w:before="40" w:after="40" w:line="300" w:lineRule="auto"/>
            </w:pPr>
            <w:r>
              <w:rPr>
                <w:sz w:val="22"/>
                <w:szCs w:val="22"/>
              </w:rPr>
              <w:t>Material de escritório</w:t>
            </w:r>
          </w:p>
        </w:tc>
        <w:tc>
          <w:tcPr>
            <w:tcW w:w="750" w:type="pct"/>
            <w:tcBorders>
              <w:top w:val="single" w:sz="1" w:space="0" w:color="000000"/>
              <w:left w:val="single" w:sz="1" w:space="0" w:color="000000"/>
              <w:bottom w:val="single" w:sz="1" w:space="0" w:color="000000"/>
              <w:right w:val="single" w:sz="1" w:space="0" w:color="000000"/>
            </w:tcBorders>
          </w:tcPr>
          <w:p w14:paraId="19317427" w14:textId="23B8F2AC"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1941CD18" w14:textId="721CD701"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0C65E2CB" w14:textId="31645BA7" w:rsidR="009F05F8" w:rsidRDefault="009F05F8">
            <w:pPr>
              <w:spacing w:before="40" w:after="40" w:line="300" w:lineRule="auto"/>
            </w:pPr>
          </w:p>
        </w:tc>
      </w:tr>
      <w:tr w:rsidR="009F05F8" w14:paraId="3440D108"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7545ADF1" w14:textId="77777777" w:rsidR="009F05F8" w:rsidRDefault="00000000">
            <w:pPr>
              <w:spacing w:before="40" w:after="40" w:line="300" w:lineRule="auto"/>
            </w:pPr>
            <w:r>
              <w:rPr>
                <w:sz w:val="22"/>
                <w:szCs w:val="22"/>
              </w:rPr>
              <w:t>Tratamento estatístico dos dados</w:t>
            </w:r>
          </w:p>
        </w:tc>
        <w:tc>
          <w:tcPr>
            <w:tcW w:w="750" w:type="pct"/>
            <w:tcBorders>
              <w:top w:val="single" w:sz="1" w:space="0" w:color="000000"/>
              <w:left w:val="single" w:sz="1" w:space="0" w:color="000000"/>
              <w:bottom w:val="single" w:sz="1" w:space="0" w:color="000000"/>
              <w:right w:val="single" w:sz="1" w:space="0" w:color="000000"/>
            </w:tcBorders>
          </w:tcPr>
          <w:p w14:paraId="0D2EE5AC" w14:textId="09426623"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5B2DB958" w14:textId="2EDECA25"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042C5836" w14:textId="57714131" w:rsidR="009F05F8" w:rsidRDefault="009F05F8">
            <w:pPr>
              <w:spacing w:before="40" w:after="40" w:line="300" w:lineRule="auto"/>
            </w:pPr>
          </w:p>
        </w:tc>
      </w:tr>
      <w:tr w:rsidR="009F05F8" w14:paraId="1932CED3"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359FE956" w14:textId="77777777" w:rsidR="009F05F8" w:rsidRDefault="00000000">
            <w:pPr>
              <w:spacing w:before="40" w:after="40" w:line="300" w:lineRule="auto"/>
            </w:pPr>
            <w:r>
              <w:rPr>
                <w:sz w:val="22"/>
                <w:szCs w:val="22"/>
              </w:rPr>
              <w:t>Encadernações e documentação</w:t>
            </w:r>
          </w:p>
        </w:tc>
        <w:tc>
          <w:tcPr>
            <w:tcW w:w="750" w:type="pct"/>
            <w:tcBorders>
              <w:top w:val="single" w:sz="1" w:space="0" w:color="000000"/>
              <w:left w:val="single" w:sz="1" w:space="0" w:color="000000"/>
              <w:bottom w:val="single" w:sz="1" w:space="0" w:color="000000"/>
              <w:right w:val="single" w:sz="1" w:space="0" w:color="000000"/>
            </w:tcBorders>
          </w:tcPr>
          <w:p w14:paraId="52C76261" w14:textId="5355024A"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461610C9" w14:textId="292F0E34"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578EB7EC" w14:textId="33FDC303" w:rsidR="009F05F8" w:rsidRDefault="009F05F8">
            <w:pPr>
              <w:spacing w:before="40" w:after="40" w:line="300" w:lineRule="auto"/>
            </w:pPr>
          </w:p>
        </w:tc>
      </w:tr>
      <w:tr w:rsidR="009F05F8" w14:paraId="3DF1C2D3" w14:textId="77777777">
        <w:tblPrEx>
          <w:tblCellMar>
            <w:top w:w="0" w:type="dxa"/>
            <w:bottom w:w="0" w:type="dxa"/>
          </w:tblCellMar>
        </w:tblPrEx>
        <w:trPr>
          <w:cantSplit/>
        </w:trPr>
        <w:tc>
          <w:tcPr>
            <w:tcW w:w="2500" w:type="pct"/>
            <w:tcBorders>
              <w:top w:val="single" w:sz="1" w:space="0" w:color="000000"/>
              <w:left w:val="single" w:sz="1" w:space="0" w:color="000000"/>
              <w:bottom w:val="single" w:sz="1" w:space="0" w:color="000000"/>
              <w:right w:val="single" w:sz="1" w:space="0" w:color="000000"/>
            </w:tcBorders>
          </w:tcPr>
          <w:p w14:paraId="4D353251" w14:textId="77777777" w:rsidR="009F05F8" w:rsidRDefault="00000000">
            <w:pPr>
              <w:spacing w:before="40" w:after="40" w:line="300" w:lineRule="auto"/>
            </w:pPr>
            <w:r>
              <w:rPr>
                <w:b/>
                <w:bCs/>
                <w:sz w:val="22"/>
                <w:szCs w:val="22"/>
              </w:rPr>
              <w:t>TOTAL</w:t>
            </w:r>
          </w:p>
        </w:tc>
        <w:tc>
          <w:tcPr>
            <w:tcW w:w="750" w:type="pct"/>
            <w:tcBorders>
              <w:top w:val="single" w:sz="1" w:space="0" w:color="000000"/>
              <w:left w:val="single" w:sz="1" w:space="0" w:color="000000"/>
              <w:bottom w:val="single" w:sz="1" w:space="0" w:color="000000"/>
              <w:right w:val="single" w:sz="1" w:space="0" w:color="000000"/>
            </w:tcBorders>
          </w:tcPr>
          <w:p w14:paraId="0CD83A13" w14:textId="77777777" w:rsidR="009F05F8" w:rsidRDefault="009F05F8">
            <w:pPr>
              <w:spacing w:before="40" w:after="40" w:line="300" w:lineRule="auto"/>
            </w:pPr>
          </w:p>
        </w:tc>
        <w:tc>
          <w:tcPr>
            <w:tcW w:w="850" w:type="pct"/>
            <w:tcBorders>
              <w:top w:val="single" w:sz="1" w:space="0" w:color="000000"/>
              <w:left w:val="single" w:sz="1" w:space="0" w:color="000000"/>
              <w:bottom w:val="single" w:sz="1" w:space="0" w:color="000000"/>
              <w:right w:val="single" w:sz="1" w:space="0" w:color="000000"/>
            </w:tcBorders>
          </w:tcPr>
          <w:p w14:paraId="5E38ACEA" w14:textId="77777777" w:rsidR="009F05F8" w:rsidRDefault="009F05F8">
            <w:pPr>
              <w:spacing w:before="40" w:after="40" w:line="300" w:lineRule="auto"/>
            </w:pPr>
          </w:p>
        </w:tc>
        <w:tc>
          <w:tcPr>
            <w:tcW w:w="900" w:type="pct"/>
            <w:tcBorders>
              <w:top w:val="single" w:sz="1" w:space="0" w:color="000000"/>
              <w:left w:val="single" w:sz="1" w:space="0" w:color="000000"/>
              <w:bottom w:val="single" w:sz="1" w:space="0" w:color="000000"/>
              <w:right w:val="single" w:sz="1" w:space="0" w:color="000000"/>
            </w:tcBorders>
          </w:tcPr>
          <w:p w14:paraId="3F4E67D2" w14:textId="0D4098A4" w:rsidR="009F05F8" w:rsidRDefault="009F05F8">
            <w:pPr>
              <w:spacing w:before="40" w:after="40" w:line="300" w:lineRule="auto"/>
            </w:pPr>
          </w:p>
        </w:tc>
      </w:tr>
    </w:tbl>
    <w:p w14:paraId="7ECBE2D4" w14:textId="77777777" w:rsidR="006043ED" w:rsidRDefault="006043ED"/>
    <w:sectPr w:rsidR="006043ED">
      <w:headerReference w:type="default" r:id="rId7"/>
      <w:footerReference w:type="default" r:id="rId8"/>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5822D" w14:textId="77777777" w:rsidR="006043ED" w:rsidRDefault="006043ED">
      <w:pPr>
        <w:spacing w:line="240" w:lineRule="auto"/>
      </w:pPr>
      <w:r>
        <w:separator/>
      </w:r>
    </w:p>
  </w:endnote>
  <w:endnote w:type="continuationSeparator" w:id="0">
    <w:p w14:paraId="7570DD33" w14:textId="77777777" w:rsidR="006043ED" w:rsidRDefault="00604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CD60" w14:textId="77777777" w:rsidR="009F05F8" w:rsidRDefault="00000000">
    <w:pPr>
      <w:jc w:val="center"/>
    </w:pPr>
    <w:r>
      <w:rPr>
        <w:sz w:val="21"/>
        <w:szCs w:val="21"/>
      </w:rPr>
      <w:fldChar w:fldCharType="begin"/>
    </w:r>
    <w:r>
      <w:rPr>
        <w:sz w:val="21"/>
        <w:szCs w:val="21"/>
      </w:rPr>
      <w:instrText>PAGE</w:instrText>
    </w:r>
    <w:r>
      <w:rPr>
        <w:sz w:val="21"/>
        <w:szCs w:val="21"/>
      </w:rPr>
      <w:fldChar w:fldCharType="separate"/>
    </w:r>
    <w:r w:rsidR="004A6EE4">
      <w:rPr>
        <w:noProof/>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7332" w14:textId="77777777" w:rsidR="006043ED" w:rsidRDefault="006043ED">
      <w:pPr>
        <w:spacing w:line="240" w:lineRule="auto"/>
      </w:pPr>
      <w:r>
        <w:separator/>
      </w:r>
    </w:p>
  </w:footnote>
  <w:footnote w:type="continuationSeparator" w:id="0">
    <w:p w14:paraId="2B348BCB" w14:textId="77777777" w:rsidR="006043ED" w:rsidRDefault="006043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42F4" w14:textId="77777777" w:rsidR="009F05F8" w:rsidRDefault="00000000">
    <w:pPr>
      <w:pBdr>
        <w:bottom w:val="single" w:sz="1" w:space="0" w:color="000000"/>
      </w:pBdr>
      <w:jc w:val="center"/>
    </w:pPr>
    <w:proofErr w:type="spellStart"/>
    <w:r>
      <w:rPr>
        <w:color w:val="333333"/>
        <w:sz w:val="18"/>
        <w:szCs w:val="18"/>
      </w:rPr>
      <w:t>CardioRemoto</w:t>
    </w:r>
    <w:proofErr w:type="spellEnd"/>
    <w:r>
      <w:rPr>
        <w:color w:val="333333"/>
        <w:sz w:val="18"/>
        <w:szCs w:val="18"/>
      </w:rPr>
      <w:t xml:space="preserve"> — Metodologia (HULW/UFPB) — Plataforma </w:t>
    </w:r>
    <w:proofErr w:type="spellStart"/>
    <w:r>
      <w:rPr>
        <w:color w:val="333333"/>
        <w:sz w:val="18"/>
        <w:szCs w:val="18"/>
      </w:rPr>
      <w:t>mareIA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E36"/>
    <w:multiLevelType w:val="hybridMultilevel"/>
    <w:tmpl w:val="E02C8FA4"/>
    <w:lvl w:ilvl="0" w:tplc="280CA2FA">
      <w:start w:val="1"/>
      <w:numFmt w:val="bullet"/>
      <w:lvlText w:val="●"/>
      <w:lvlJc w:val="left"/>
      <w:pPr>
        <w:ind w:left="720" w:hanging="360"/>
      </w:pPr>
    </w:lvl>
    <w:lvl w:ilvl="1" w:tplc="E390B2FC">
      <w:start w:val="1"/>
      <w:numFmt w:val="bullet"/>
      <w:lvlText w:val="○"/>
      <w:lvlJc w:val="left"/>
      <w:pPr>
        <w:ind w:left="1440" w:hanging="360"/>
      </w:pPr>
    </w:lvl>
    <w:lvl w:ilvl="2" w:tplc="13502820">
      <w:start w:val="1"/>
      <w:numFmt w:val="bullet"/>
      <w:lvlText w:val="■"/>
      <w:lvlJc w:val="left"/>
      <w:pPr>
        <w:ind w:left="2160" w:hanging="360"/>
      </w:pPr>
    </w:lvl>
    <w:lvl w:ilvl="3" w:tplc="BB6A4268">
      <w:start w:val="1"/>
      <w:numFmt w:val="bullet"/>
      <w:lvlText w:val="●"/>
      <w:lvlJc w:val="left"/>
      <w:pPr>
        <w:ind w:left="2880" w:hanging="360"/>
      </w:pPr>
    </w:lvl>
    <w:lvl w:ilvl="4" w:tplc="FC5638CC">
      <w:start w:val="1"/>
      <w:numFmt w:val="bullet"/>
      <w:lvlText w:val="○"/>
      <w:lvlJc w:val="left"/>
      <w:pPr>
        <w:ind w:left="3600" w:hanging="360"/>
      </w:pPr>
    </w:lvl>
    <w:lvl w:ilvl="5" w:tplc="4EE2CA50">
      <w:start w:val="1"/>
      <w:numFmt w:val="bullet"/>
      <w:lvlText w:val="■"/>
      <w:lvlJc w:val="left"/>
      <w:pPr>
        <w:ind w:left="4320" w:hanging="360"/>
      </w:pPr>
    </w:lvl>
    <w:lvl w:ilvl="6" w:tplc="FD16EDF0">
      <w:start w:val="1"/>
      <w:numFmt w:val="bullet"/>
      <w:lvlText w:val="●"/>
      <w:lvlJc w:val="left"/>
      <w:pPr>
        <w:ind w:left="5040" w:hanging="360"/>
      </w:pPr>
    </w:lvl>
    <w:lvl w:ilvl="7" w:tplc="A4A008FA">
      <w:start w:val="1"/>
      <w:numFmt w:val="bullet"/>
      <w:lvlText w:val="●"/>
      <w:lvlJc w:val="left"/>
      <w:pPr>
        <w:ind w:left="5760" w:hanging="360"/>
      </w:pPr>
    </w:lvl>
    <w:lvl w:ilvl="8" w:tplc="A2320598">
      <w:start w:val="1"/>
      <w:numFmt w:val="bullet"/>
      <w:lvlText w:val="●"/>
      <w:lvlJc w:val="left"/>
      <w:pPr>
        <w:ind w:left="6480" w:hanging="360"/>
      </w:pPr>
    </w:lvl>
  </w:abstractNum>
  <w:num w:numId="1" w16cid:durableId="1723476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5F8"/>
    <w:rsid w:val="001D56D9"/>
    <w:rsid w:val="0032597F"/>
    <w:rsid w:val="004A6EE4"/>
    <w:rsid w:val="0052195F"/>
    <w:rsid w:val="006043ED"/>
    <w:rsid w:val="009F05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6BD4"/>
  <w15:docId w15:val="{05EC3228-9417-43A8-9EC2-73819B78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32"/>
      <w:szCs w:val="32"/>
    </w:rPr>
  </w:style>
  <w:style w:type="paragraph" w:styleId="Ttulo2">
    <w:name w:val="heading 2"/>
    <w:uiPriority w:val="9"/>
    <w:unhideWhenUsed/>
    <w:qFormat/>
    <w:pPr>
      <w:spacing w:before="360" w:after="180"/>
      <w:outlineLvl w:val="1"/>
    </w:pPr>
    <w:rPr>
      <w:b/>
      <w:bCs/>
      <w:sz w:val="30"/>
      <w:szCs w:val="30"/>
    </w:rPr>
  </w:style>
  <w:style w:type="paragraph" w:styleId="Ttulo3">
    <w:name w:val="heading 3"/>
    <w:uiPriority w:val="9"/>
    <w:unhideWhenUsed/>
    <w:qFormat/>
    <w:pPr>
      <w:spacing w:before="240" w:after="12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3933</Words>
  <Characters>21239</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Gedson Rodrigues De Morais Lima</cp:lastModifiedBy>
  <cp:revision>2</cp:revision>
  <dcterms:created xsi:type="dcterms:W3CDTF">2026-07-01T15:32:00Z</dcterms:created>
  <dcterms:modified xsi:type="dcterms:W3CDTF">2026-07-01T22:29:00Z</dcterms:modified>
</cp:coreProperties>
</file>