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736D" w14:textId="77777777" w:rsidR="00B35E8A" w:rsidRPr="00B35E8A" w:rsidRDefault="00B35E8A" w:rsidP="00B35E8A">
      <w:pPr>
        <w:rPr>
          <w:b/>
          <w:bCs/>
        </w:rPr>
      </w:pPr>
      <w:r w:rsidRPr="00B35E8A">
        <w:rPr>
          <w:b/>
          <w:bCs/>
        </w:rPr>
        <w:t xml:space="preserve">7.6.3 </w:t>
      </w:r>
      <w:proofErr w:type="spellStart"/>
      <w:r w:rsidRPr="00B35E8A">
        <w:rPr>
          <w:b/>
          <w:bCs/>
        </w:rPr>
        <w:t>CardioRemoto</w:t>
      </w:r>
      <w:proofErr w:type="spellEnd"/>
      <w:r w:rsidRPr="00B35E8A">
        <w:rPr>
          <w:b/>
          <w:bCs/>
        </w:rPr>
        <w:t> </w:t>
      </w:r>
    </w:p>
    <w:p w14:paraId="4E63C702" w14:textId="77777777" w:rsidR="00B35E8A" w:rsidRPr="00B35E8A" w:rsidRDefault="00B35E8A" w:rsidP="00B35E8A"/>
    <w:p w14:paraId="64D66A38" w14:textId="5E53BE75" w:rsidR="00B35E8A" w:rsidRPr="00B35E8A" w:rsidRDefault="00B35E8A" w:rsidP="00B35E8A">
      <w:r w:rsidRPr="00B35E8A">
        <w:t xml:space="preserve">Os instrumentos do cenário </w:t>
      </w:r>
      <w:proofErr w:type="spellStart"/>
      <w:r w:rsidRPr="00B35E8A">
        <w:t>CardioRemoto</w:t>
      </w:r>
      <w:proofErr w:type="spellEnd"/>
      <w:r w:rsidRPr="00B35E8A">
        <w:t xml:space="preserve"> serão aplicados no contexto das </w:t>
      </w:r>
      <w:r w:rsidRPr="001D6BAC">
        <w:rPr>
          <w:color w:val="000000" w:themeColor="text1"/>
        </w:rPr>
        <w:t>teleconsultas</w:t>
      </w:r>
      <w:r w:rsidRPr="00B35E8A">
        <w:rPr>
          <w:color w:val="EE0000"/>
        </w:rPr>
        <w:t xml:space="preserve"> </w:t>
      </w:r>
      <w:r w:rsidRPr="00B35E8A">
        <w:rPr>
          <w:color w:val="EE0000"/>
          <w:highlight w:val="yellow"/>
        </w:rPr>
        <w:t>e das visitas presenciais ao Ambulatório de Telessaúde da Endocrinologia do HULW</w:t>
      </w:r>
      <w:r>
        <w:rPr>
          <w:color w:val="EE0000"/>
        </w:rPr>
        <w:t xml:space="preserve"> </w:t>
      </w:r>
      <w:r w:rsidRPr="00B35E8A">
        <w:rPr>
          <w:color w:val="EE0000"/>
        </w:rPr>
        <w:t>(</w:t>
      </w:r>
      <w:r w:rsidRPr="00795A22">
        <w:rPr>
          <w:color w:val="000000" w:themeColor="text1"/>
          <w:highlight w:val="green"/>
        </w:rPr>
        <w:t>e das vistas presenciais ao laboratório do HULW para coleta de exames</w:t>
      </w:r>
      <w:r w:rsidRPr="00795A22">
        <w:rPr>
          <w:color w:val="000000" w:themeColor="text1"/>
        </w:rPr>
        <w:t>)</w:t>
      </w:r>
      <w:r w:rsidRPr="00795A22">
        <w:rPr>
          <w:color w:val="000000" w:themeColor="text1"/>
        </w:rPr>
        <w:t xml:space="preserve">, </w:t>
      </w:r>
      <w:r w:rsidRPr="00B35E8A">
        <w:t xml:space="preserve">conforme detalhado a seguir. Todos os dados serão registrados diretamente na plataforma </w:t>
      </w:r>
      <w:proofErr w:type="spellStart"/>
      <w:r w:rsidRPr="00B35E8A">
        <w:t>mareIA</w:t>
      </w:r>
      <w:proofErr w:type="spellEnd"/>
      <w:r w:rsidRPr="00B35E8A">
        <w:t>, em conformidade com a LGPD.</w:t>
      </w:r>
    </w:p>
    <w:p w14:paraId="10B5E606" w14:textId="77777777" w:rsidR="00B35E8A" w:rsidRPr="00B35E8A" w:rsidRDefault="00B35E8A" w:rsidP="00B35E8A">
      <w:pPr>
        <w:rPr>
          <w:b/>
          <w:bCs/>
        </w:rPr>
      </w:pPr>
      <w:r w:rsidRPr="00B35E8A">
        <w:rPr>
          <w:b/>
          <w:bCs/>
        </w:rPr>
        <w:t>7.6.3.1 Dados cadastrais e demográficos</w:t>
      </w:r>
    </w:p>
    <w:p w14:paraId="2D463B70" w14:textId="77777777" w:rsidR="00B35E8A" w:rsidRPr="00B35E8A" w:rsidRDefault="00B35E8A" w:rsidP="00B35E8A">
      <w:r w:rsidRPr="00B35E8A">
        <w:t xml:space="preserve">Coletados via aplicativo </w:t>
      </w:r>
      <w:proofErr w:type="spellStart"/>
      <w:r w:rsidRPr="00B35E8A">
        <w:t>mareIA</w:t>
      </w:r>
      <w:proofErr w:type="spellEnd"/>
      <w:r w:rsidRPr="00B35E8A">
        <w:t>: nome, data de nascimento (idade calculada automaticamente), cidade, estado, CEP, bairro, cor/raça (conforme categorias oficiais), gênero, diagnóstico prévio de diabetes (sim/não), diagnóstico prévio de hipertensão arterial (sim/não), histórico de evento cardiovascular (infarto, AVC isquêmico, doença arterial periférica — sim/não), uso de anti-hipertensivo (sim/não), uso de estatina (sim/não), tabagismo (sim/não/</w:t>
      </w:r>
      <w:proofErr w:type="spellStart"/>
      <w:r w:rsidRPr="00B35E8A">
        <w:t>ex-tabagista</w:t>
      </w:r>
      <w:proofErr w:type="spellEnd"/>
      <w:r w:rsidRPr="00B35E8A">
        <w:t>) e prática de atividade física (sim/não).</w:t>
      </w:r>
    </w:p>
    <w:p w14:paraId="7A63078F" w14:textId="77777777" w:rsidR="00B35E8A" w:rsidRPr="00B35E8A" w:rsidRDefault="00B35E8A" w:rsidP="00B35E8A">
      <w:pPr>
        <w:rPr>
          <w:b/>
          <w:bCs/>
        </w:rPr>
      </w:pPr>
      <w:r w:rsidRPr="00B35E8A">
        <w:rPr>
          <w:b/>
          <w:bCs/>
        </w:rPr>
        <w:t>7.6.3.2 Dados antropométricos coletados por dispositivos IoT</w:t>
      </w:r>
    </w:p>
    <w:p w14:paraId="4425EAEA" w14:textId="77777777" w:rsidR="00B35E8A" w:rsidRPr="00B35E8A" w:rsidRDefault="00B35E8A" w:rsidP="00B35E8A">
      <w:r w:rsidRPr="00B35E8A">
        <w:t>Peso (balança digital com conectividade Bluetooth, certificada pela ANVISA), altura (</w:t>
      </w:r>
      <w:proofErr w:type="spellStart"/>
      <w:r w:rsidRPr="00B35E8A">
        <w:t>estadiômetro</w:t>
      </w:r>
      <w:proofErr w:type="spellEnd"/>
      <w:r w:rsidRPr="00B35E8A">
        <w:t>), circunferência da cintura (fita métrica). O Índice de Massa Corporal (IMC) e a relação cintura/altura serão calculados automaticamente pela plataforma.</w:t>
      </w:r>
    </w:p>
    <w:p w14:paraId="7DB1F77C" w14:textId="77777777" w:rsidR="00B35E8A" w:rsidRPr="00B35E8A" w:rsidRDefault="00B35E8A" w:rsidP="00B35E8A">
      <w:pPr>
        <w:rPr>
          <w:b/>
          <w:bCs/>
        </w:rPr>
      </w:pPr>
      <w:r w:rsidRPr="00B35E8A">
        <w:rPr>
          <w:b/>
          <w:bCs/>
        </w:rPr>
        <w:t>7.6.3.3 Sinais vitais coletados por dispositivos IoT</w:t>
      </w:r>
    </w:p>
    <w:p w14:paraId="2F704024" w14:textId="77777777" w:rsidR="00B35E8A" w:rsidRPr="00B35E8A" w:rsidRDefault="00B35E8A" w:rsidP="00B35E8A">
      <w:r w:rsidRPr="00B35E8A">
        <w:t>Pressão arterial sistólica e diastólica (esfigmomanômetro digital com conectividade Bluetooth, certificado pela ANVISA), frequência cardíaca (bpm), glicemia capilar (glicosímetro digital com conectividade Bluetooth, certificado pela ANVISA). O protocolo de aferição da pressão arterial segue recomendações padronizadas: paciente sentado, com 5 minutos de repouso prévio, realizadas duas medidas com intervalo de 1 minuto, adotando-se a média das duas aferições.</w:t>
      </w:r>
    </w:p>
    <w:p w14:paraId="005974BB" w14:textId="77777777" w:rsidR="00B35E8A" w:rsidRPr="00B35E8A" w:rsidRDefault="00B35E8A" w:rsidP="00B35E8A">
      <w:pPr>
        <w:rPr>
          <w:b/>
          <w:bCs/>
        </w:rPr>
      </w:pPr>
      <w:r w:rsidRPr="00B35E8A">
        <w:rPr>
          <w:b/>
          <w:bCs/>
        </w:rPr>
        <w:t>7.6.3.4 Exames laboratoriais</w:t>
      </w:r>
    </w:p>
    <w:p w14:paraId="02DFE0A3" w14:textId="22083678" w:rsidR="00B35E8A" w:rsidRDefault="00B35E8A" w:rsidP="00B35E8A">
      <w:r w:rsidRPr="00B35E8A">
        <w:rPr>
          <w:color w:val="EE0000"/>
          <w:highlight w:val="yellow"/>
        </w:rPr>
        <w:t xml:space="preserve">Coleta marcada no dia da </w:t>
      </w:r>
      <w:r w:rsidRPr="00FD040C">
        <w:rPr>
          <w:color w:val="EE0000"/>
          <w:highlight w:val="yellow"/>
        </w:rPr>
        <w:t>teleconsulta</w:t>
      </w:r>
      <w:r w:rsidRPr="00FD040C">
        <w:rPr>
          <w:color w:val="EE0000"/>
          <w:highlight w:val="yellow"/>
        </w:rPr>
        <w:t xml:space="preserve"> (</w:t>
      </w:r>
      <w:proofErr w:type="spellStart"/>
      <w:r w:rsidRPr="00FD040C">
        <w:rPr>
          <w:color w:val="EE0000"/>
          <w:highlight w:val="yellow"/>
        </w:rPr>
        <w:t>obs</w:t>
      </w:r>
      <w:proofErr w:type="spellEnd"/>
      <w:r w:rsidRPr="00FD040C">
        <w:rPr>
          <w:color w:val="EE0000"/>
          <w:highlight w:val="yellow"/>
        </w:rPr>
        <w:t xml:space="preserve">: a consulta não </w:t>
      </w:r>
      <w:r w:rsidR="000B412C" w:rsidRPr="00FD040C">
        <w:rPr>
          <w:color w:val="EE0000"/>
          <w:highlight w:val="yellow"/>
        </w:rPr>
        <w:t xml:space="preserve">tem como ser no mesmo dia dos exames, pois é preciso </w:t>
      </w:r>
      <w:proofErr w:type="gramStart"/>
      <w:r w:rsidR="000B412C" w:rsidRPr="00FD040C">
        <w:rPr>
          <w:color w:val="EE0000"/>
          <w:highlight w:val="yellow"/>
        </w:rPr>
        <w:t>dos</w:t>
      </w:r>
      <w:proofErr w:type="gramEnd"/>
      <w:r w:rsidR="000B412C" w:rsidRPr="00FD040C">
        <w:rPr>
          <w:color w:val="EE0000"/>
          <w:highlight w:val="yellow"/>
        </w:rPr>
        <w:t xml:space="preserve"> resultados dos exames para o paciente ser avaliado em consulta</w:t>
      </w:r>
      <w:r w:rsidR="000B412C">
        <w:rPr>
          <w:color w:val="EE0000"/>
        </w:rPr>
        <w:t>)</w:t>
      </w:r>
      <w:r w:rsidR="00795A22">
        <w:rPr>
          <w:color w:val="EE0000"/>
        </w:rPr>
        <w:t>.</w:t>
      </w:r>
      <w:r>
        <w:rPr>
          <w:color w:val="EE0000"/>
        </w:rPr>
        <w:t xml:space="preserve"> </w:t>
      </w:r>
      <w:r w:rsidR="00FD040C" w:rsidRPr="00795A22">
        <w:rPr>
          <w:color w:val="000000" w:themeColor="text1"/>
          <w:highlight w:val="green"/>
        </w:rPr>
        <w:t>A</w:t>
      </w:r>
      <w:r w:rsidRPr="00795A22">
        <w:rPr>
          <w:color w:val="000000" w:themeColor="text1"/>
          <w:highlight w:val="green"/>
        </w:rPr>
        <w:t xml:space="preserve"> coleta de dados (preenchimento inicial da plataforma com dados clínicos e medidas antropométricas</w:t>
      </w:r>
      <w:r w:rsidR="00FD040C" w:rsidRPr="00795A22">
        <w:rPr>
          <w:color w:val="000000" w:themeColor="text1"/>
          <w:highlight w:val="green"/>
        </w:rPr>
        <w:t xml:space="preserve"> dos pacientes)</w:t>
      </w:r>
      <w:r w:rsidRPr="00795A22">
        <w:rPr>
          <w:color w:val="000000" w:themeColor="text1"/>
          <w:highlight w:val="green"/>
        </w:rPr>
        <w:t xml:space="preserve"> ocorrerá no mesmo </w:t>
      </w:r>
      <w:r w:rsidR="00FD040C" w:rsidRPr="00795A22">
        <w:rPr>
          <w:color w:val="000000" w:themeColor="text1"/>
          <w:highlight w:val="green"/>
        </w:rPr>
        <w:t>dia em que o paciente comparecer ao HULW para coleta d</w:t>
      </w:r>
      <w:r w:rsidR="00795A22" w:rsidRPr="00795A22">
        <w:rPr>
          <w:color w:val="000000" w:themeColor="text1"/>
          <w:highlight w:val="green"/>
        </w:rPr>
        <w:t>os seguintes</w:t>
      </w:r>
      <w:r w:rsidR="00FD040C" w:rsidRPr="00795A22">
        <w:rPr>
          <w:color w:val="000000" w:themeColor="text1"/>
          <w:highlight w:val="green"/>
        </w:rPr>
        <w:t xml:space="preserve"> exames</w:t>
      </w:r>
      <w:r w:rsidRPr="00795A22">
        <w:rPr>
          <w:color w:val="000000" w:themeColor="text1"/>
        </w:rPr>
        <w:t xml:space="preserve">: </w:t>
      </w:r>
      <w:r w:rsidRPr="00B35E8A">
        <w:t xml:space="preserve">glicemia de jejum, hemoglobina glicada (HbA1c), colesterol total, HDL-colesterol, LDL-colesterol, triglicerídeos, creatinina, ureia, TSH, TGO, TGP, CPK, hemograma (hemoglobina, </w:t>
      </w:r>
      <w:proofErr w:type="spellStart"/>
      <w:r w:rsidRPr="00B35E8A">
        <w:t>hematrócrito</w:t>
      </w:r>
      <w:proofErr w:type="spellEnd"/>
      <w:r w:rsidRPr="00B35E8A">
        <w:t>, leucócitos, plaquetas) e relação albumina/creatinina urinária. A taxa de filtração glomerular (TFG) e o não-HDL serão calculados automaticamente pela plataforma (TFG pela equação CKD-EPI; não-HDL = colesterol total − HDL).</w:t>
      </w:r>
    </w:p>
    <w:p w14:paraId="1533E378" w14:textId="77777777" w:rsidR="000B412C" w:rsidRDefault="000B412C" w:rsidP="00B35E8A"/>
    <w:p w14:paraId="495E4CB7" w14:textId="197C74AC" w:rsidR="000B412C" w:rsidRPr="00FD040C" w:rsidRDefault="000B412C" w:rsidP="00B35E8A">
      <w:pPr>
        <w:rPr>
          <w:color w:val="215E99" w:themeColor="text2" w:themeTint="BF"/>
        </w:rPr>
      </w:pPr>
      <w:r w:rsidRPr="00FD040C">
        <w:rPr>
          <w:color w:val="215E99" w:themeColor="text2" w:themeTint="BF"/>
        </w:rPr>
        <w:t>SUGESTÃO DE FLUXO PARA A PESQUISA:</w:t>
      </w:r>
    </w:p>
    <w:p w14:paraId="5FA2EC74" w14:textId="5857D207" w:rsidR="000B412C" w:rsidRPr="00FD040C" w:rsidRDefault="000B412C" w:rsidP="000B412C">
      <w:pPr>
        <w:pStyle w:val="PargrafodaLista"/>
        <w:numPr>
          <w:ilvl w:val="0"/>
          <w:numId w:val="1"/>
        </w:numPr>
        <w:rPr>
          <w:color w:val="215E99" w:themeColor="text2" w:themeTint="BF"/>
        </w:rPr>
      </w:pPr>
      <w:r w:rsidRPr="00FD040C">
        <w:rPr>
          <w:color w:val="215E99" w:themeColor="text2" w:themeTint="BF"/>
        </w:rPr>
        <w:t>Chamamento de pacientes com diabetes e/ou HAS para a pesquisa através de cartazes colados próximo ao setor de marcação de consultas</w:t>
      </w:r>
      <w:r w:rsidR="00795A22">
        <w:rPr>
          <w:color w:val="215E99" w:themeColor="text2" w:themeTint="BF"/>
        </w:rPr>
        <w:t xml:space="preserve"> e</w:t>
      </w:r>
      <w:r w:rsidRPr="00FD040C">
        <w:rPr>
          <w:color w:val="215E99" w:themeColor="text2" w:themeTint="BF"/>
        </w:rPr>
        <w:t xml:space="preserve"> no Serviço de Endocrinologia</w:t>
      </w:r>
      <w:r w:rsidR="00795A22">
        <w:rPr>
          <w:color w:val="215E99" w:themeColor="text2" w:themeTint="BF"/>
        </w:rPr>
        <w:t xml:space="preserve">, informando os pacientes dos benefícios da realização da </w:t>
      </w:r>
      <w:r w:rsidR="00795A22">
        <w:rPr>
          <w:color w:val="215E99" w:themeColor="text2" w:themeTint="BF"/>
        </w:rPr>
        <w:lastRenderedPageBreak/>
        <w:t>pesquisa (</w:t>
      </w:r>
      <w:r w:rsidR="00795A22" w:rsidRPr="00795A22">
        <w:rPr>
          <w:color w:val="EE0000"/>
        </w:rPr>
        <w:t>facilidade para realização dos exames laboratoriais listados na pesquisa e acompanhamento com médica endocrinologista em teleconsulta durante a pesquisa</w:t>
      </w:r>
      <w:r w:rsidR="00795A22">
        <w:rPr>
          <w:color w:val="EE0000"/>
        </w:rPr>
        <w:t xml:space="preserve"> – ver a questão dos agendamentos de teleconsulta para priorizarem os pacientes da pesquisa</w:t>
      </w:r>
      <w:r w:rsidR="00795A22">
        <w:rPr>
          <w:color w:val="215E99" w:themeColor="text2" w:themeTint="BF"/>
        </w:rPr>
        <w:t>)</w:t>
      </w:r>
      <w:r w:rsidRPr="00FD040C">
        <w:rPr>
          <w:color w:val="215E99" w:themeColor="text2" w:themeTint="BF"/>
        </w:rPr>
        <w:t>. Deixando número de telefone para quem estiver interessado entrar em contato.</w:t>
      </w:r>
    </w:p>
    <w:p w14:paraId="57A44F86" w14:textId="4E4E74F6" w:rsidR="000B412C" w:rsidRPr="00FD040C" w:rsidRDefault="000B412C" w:rsidP="000B412C">
      <w:pPr>
        <w:pStyle w:val="PargrafodaLista"/>
        <w:numPr>
          <w:ilvl w:val="0"/>
          <w:numId w:val="1"/>
        </w:numPr>
        <w:rPr>
          <w:color w:val="215E99" w:themeColor="text2" w:themeTint="BF"/>
        </w:rPr>
      </w:pPr>
      <w:r w:rsidRPr="00FD040C">
        <w:rPr>
          <w:color w:val="215E99" w:themeColor="text2" w:themeTint="BF"/>
        </w:rPr>
        <w:t>O paciente interessado entrará em contato e será agendado a coleta de exames no HULW (</w:t>
      </w:r>
      <w:r w:rsidRPr="00795A22">
        <w:rPr>
          <w:color w:val="EE0000"/>
        </w:rPr>
        <w:t xml:space="preserve">dúvida: Como será acertado com o laboratório o fluxo </w:t>
      </w:r>
      <w:proofErr w:type="gramStart"/>
      <w:r w:rsidRPr="00795A22">
        <w:rPr>
          <w:color w:val="EE0000"/>
        </w:rPr>
        <w:t>desses paciente</w:t>
      </w:r>
      <w:proofErr w:type="gramEnd"/>
      <w:r w:rsidRPr="00795A22">
        <w:rPr>
          <w:color w:val="EE0000"/>
        </w:rPr>
        <w:t>?</w:t>
      </w:r>
      <w:r w:rsidRPr="00FD040C">
        <w:rPr>
          <w:color w:val="215E99" w:themeColor="text2" w:themeTint="BF"/>
        </w:rPr>
        <w:t xml:space="preserve">). Os exames a serem realizados são o da lista da pesquisa. </w:t>
      </w:r>
    </w:p>
    <w:p w14:paraId="70CAFADD" w14:textId="4EB10744" w:rsidR="000B412C" w:rsidRPr="00FD040C" w:rsidRDefault="000B412C" w:rsidP="000B412C">
      <w:pPr>
        <w:pStyle w:val="PargrafodaLista"/>
        <w:numPr>
          <w:ilvl w:val="0"/>
          <w:numId w:val="1"/>
        </w:numPr>
        <w:rPr>
          <w:color w:val="215E99" w:themeColor="text2" w:themeTint="BF"/>
        </w:rPr>
      </w:pPr>
      <w:r w:rsidRPr="00FD040C">
        <w:rPr>
          <w:color w:val="215E99" w:themeColor="text2" w:themeTint="BF"/>
        </w:rPr>
        <w:t xml:space="preserve">No dia em que o paciente for fazer os exames, será preenchido dados de história clínica (idade, gênero, </w:t>
      </w:r>
      <w:proofErr w:type="gramStart"/>
      <w:r w:rsidRPr="00FD040C">
        <w:rPr>
          <w:color w:val="215E99" w:themeColor="text2" w:themeTint="BF"/>
        </w:rPr>
        <w:t xml:space="preserve">tabagismo  </w:t>
      </w:r>
      <w:proofErr w:type="spellStart"/>
      <w:r w:rsidRPr="00FD040C">
        <w:rPr>
          <w:color w:val="215E99" w:themeColor="text2" w:themeTint="BF"/>
        </w:rPr>
        <w:t>etc</w:t>
      </w:r>
      <w:proofErr w:type="spellEnd"/>
      <w:proofErr w:type="gramEnd"/>
      <w:r w:rsidRPr="00FD040C">
        <w:rPr>
          <w:color w:val="215E99" w:themeColor="text2" w:themeTint="BF"/>
        </w:rPr>
        <w:t>) e dados antropométricos (peso, altura e circunferência da cintura) no aplicativo. Em um segundo tempo, assim que os exames estiverem prontos (tem que ver com o lab</w:t>
      </w:r>
      <w:r w:rsidR="00FD040C" w:rsidRPr="00FD040C">
        <w:rPr>
          <w:color w:val="215E99" w:themeColor="text2" w:themeTint="BF"/>
        </w:rPr>
        <w:t>oratório</w:t>
      </w:r>
      <w:r w:rsidRPr="00FD040C">
        <w:rPr>
          <w:color w:val="215E99" w:themeColor="text2" w:themeTint="BF"/>
        </w:rPr>
        <w:t xml:space="preserve"> o prazo, mas geralmente esses exames ficam prontos em até 72h)</w:t>
      </w:r>
      <w:r w:rsidR="00FD040C" w:rsidRPr="00FD040C">
        <w:rPr>
          <w:color w:val="215E99" w:themeColor="text2" w:themeTint="BF"/>
        </w:rPr>
        <w:t>, os dados de exames laboratoriais do respectivo paciente serão preenchidos. Assim, se emitirá o alerta no aplicativo quan</w:t>
      </w:r>
      <w:r w:rsidR="00795A22">
        <w:rPr>
          <w:color w:val="215E99" w:themeColor="text2" w:themeTint="BF"/>
        </w:rPr>
        <w:t>t</w:t>
      </w:r>
      <w:r w:rsidR="00FD040C" w:rsidRPr="00FD040C">
        <w:rPr>
          <w:color w:val="215E99" w:themeColor="text2" w:themeTint="BF"/>
        </w:rPr>
        <w:t>o a prioridade de agendamento de consulta, sendo a teleconsulta agendada conforme a orientação do aplicativo.</w:t>
      </w:r>
    </w:p>
    <w:p w14:paraId="413DC04D" w14:textId="4D661685" w:rsidR="00FD040C" w:rsidRPr="00FD040C" w:rsidRDefault="00FD040C" w:rsidP="000B412C">
      <w:pPr>
        <w:pStyle w:val="PargrafodaLista"/>
        <w:numPr>
          <w:ilvl w:val="0"/>
          <w:numId w:val="1"/>
        </w:numPr>
        <w:rPr>
          <w:color w:val="215E99" w:themeColor="text2" w:themeTint="BF"/>
        </w:rPr>
      </w:pPr>
      <w:r w:rsidRPr="00FD040C">
        <w:rPr>
          <w:color w:val="215E99" w:themeColor="text2" w:themeTint="BF"/>
        </w:rPr>
        <w:t>Teleconsulta realizada, ajustes clínicos necessários realizados e agendamento de nova data de exames para reavaliação.</w:t>
      </w:r>
    </w:p>
    <w:p w14:paraId="6432BA1F" w14:textId="284729F5" w:rsidR="00FD040C" w:rsidRPr="00FD040C" w:rsidRDefault="00FD040C" w:rsidP="000B412C">
      <w:pPr>
        <w:pStyle w:val="PargrafodaLista"/>
        <w:numPr>
          <w:ilvl w:val="0"/>
          <w:numId w:val="1"/>
        </w:numPr>
        <w:rPr>
          <w:color w:val="215E99" w:themeColor="text2" w:themeTint="BF"/>
        </w:rPr>
      </w:pPr>
      <w:r w:rsidRPr="00FD040C">
        <w:rPr>
          <w:color w:val="215E99" w:themeColor="text2" w:themeTint="BF"/>
        </w:rPr>
        <w:t>Na data em que</w:t>
      </w:r>
      <w:r w:rsidR="00795A22">
        <w:rPr>
          <w:color w:val="215E99" w:themeColor="text2" w:themeTint="BF"/>
        </w:rPr>
        <w:t xml:space="preserve"> os exames forem agendados</w:t>
      </w:r>
      <w:r w:rsidRPr="00FD040C">
        <w:rPr>
          <w:color w:val="215E99" w:themeColor="text2" w:themeTint="BF"/>
        </w:rPr>
        <w:t xml:space="preserve"> para reavaliação: a servidora do HULW, repetirá os passos indicados no item 3 para o mesmo paciente (</w:t>
      </w:r>
      <w:r w:rsidRPr="00795A22">
        <w:rPr>
          <w:color w:val="EE0000"/>
        </w:rPr>
        <w:t>ver essa questão de histórico de preenchimento de dados dos pacientes na plataforma para seguimento</w:t>
      </w:r>
      <w:r w:rsidRPr="00FD040C">
        <w:rPr>
          <w:color w:val="215E99" w:themeColor="text2" w:themeTint="BF"/>
        </w:rPr>
        <w:t xml:space="preserve">) e a nova teleconsulta será agendada conforme orientação do aplicativo. E assim continua-se o ciclo de telemonitoramento contínuo do paciente. </w:t>
      </w:r>
    </w:p>
    <w:p w14:paraId="053B6D33" w14:textId="77777777" w:rsidR="000B412C" w:rsidRDefault="000B412C" w:rsidP="00B35E8A"/>
    <w:p w14:paraId="43F60CCB" w14:textId="77777777" w:rsidR="000B412C" w:rsidRPr="00B35E8A" w:rsidRDefault="000B412C" w:rsidP="00B35E8A"/>
    <w:p w14:paraId="61B97141" w14:textId="77777777" w:rsidR="00B35E8A" w:rsidRPr="00B35E8A" w:rsidRDefault="00B35E8A" w:rsidP="00B35E8A">
      <w:pPr>
        <w:rPr>
          <w:b/>
          <w:bCs/>
        </w:rPr>
      </w:pPr>
      <w:r w:rsidRPr="00B35E8A">
        <w:rPr>
          <w:b/>
          <w:bCs/>
        </w:rPr>
        <w:t>7.6.3.5 Fluxogramas clínicos de triagem integrados à plataforma</w:t>
      </w:r>
    </w:p>
    <w:p w14:paraId="223AC0FE" w14:textId="031224E2" w:rsidR="00B35E8A" w:rsidRPr="00B35E8A" w:rsidRDefault="00B35E8A" w:rsidP="00B35E8A">
      <w:r w:rsidRPr="00B35E8A">
        <w:t xml:space="preserve">A plataforma </w:t>
      </w:r>
      <w:proofErr w:type="spellStart"/>
      <w:r w:rsidRPr="00B35E8A">
        <w:t>mareIA</w:t>
      </w:r>
      <w:proofErr w:type="spellEnd"/>
      <w:r w:rsidRPr="00B35E8A">
        <w:t xml:space="preserve"> incorpora quatro fluxogramas clínicos de triagem, baseados em diretrizes brasileiras</w:t>
      </w:r>
      <w:r w:rsidR="00A02DC2">
        <w:t xml:space="preserve"> </w:t>
      </w:r>
      <w:r w:rsidR="00A02DC2" w:rsidRPr="00A02DC2">
        <w:rPr>
          <w:color w:val="EE0000"/>
          <w:highlight w:val="green"/>
        </w:rPr>
        <w:t>e internacionais</w:t>
      </w:r>
      <w:r w:rsidRPr="00B35E8A">
        <w:t>, que orientam o encaminhamento dos pacientes a partir dos dados coletados:</w:t>
      </w:r>
    </w:p>
    <w:p w14:paraId="430A8386" w14:textId="523377F6" w:rsidR="00B35E8A" w:rsidRPr="00B35E8A" w:rsidRDefault="00B35E8A" w:rsidP="00B35E8A">
      <w:r w:rsidRPr="00B35E8A">
        <w:t>• Fluxograma de Diabetes: baseado nos níveis de HbA1c, glicemia de jejum e glicemia aleatória (HGT). Classifica o controle glicêmico em faixas (HbA1c &lt; 7% controlado; 7–9% não controlado; ≥9% grave) com metas individualizadas para idosos (&lt; 7,5% ou 8%). Inclui protocolos de urgência para hiperglicemia severa (≥250 mg/</w:t>
      </w:r>
      <w:proofErr w:type="spellStart"/>
      <w:r w:rsidRPr="00B35E8A">
        <w:t>dL</w:t>
      </w:r>
      <w:proofErr w:type="spellEnd"/>
      <w:r w:rsidRPr="00B35E8A">
        <w:t>)</w:t>
      </w:r>
      <w:r w:rsidR="00A02DC2">
        <w:t xml:space="preserve"> </w:t>
      </w:r>
      <w:r w:rsidR="00A02DC2" w:rsidRPr="00A02DC2">
        <w:rPr>
          <w:highlight w:val="green"/>
        </w:rPr>
        <w:t>com sintomas associados</w:t>
      </w:r>
      <w:r w:rsidRPr="00B35E8A">
        <w:t xml:space="preserve"> e hipoglicemia (&lt; 70 mg/</w:t>
      </w:r>
      <w:proofErr w:type="spellStart"/>
      <w:r w:rsidRPr="00B35E8A">
        <w:t>dL</w:t>
      </w:r>
      <w:proofErr w:type="spellEnd"/>
      <w:r w:rsidRPr="00B35E8A">
        <w:t>).</w:t>
      </w:r>
    </w:p>
    <w:p w14:paraId="05648ED0" w14:textId="77777777" w:rsidR="00B35E8A" w:rsidRPr="00B35E8A" w:rsidRDefault="00B35E8A" w:rsidP="00B35E8A">
      <w:r w:rsidRPr="00B35E8A">
        <w:t xml:space="preserve">• Fluxograma de Hipertensão Arterial Sistêmica: baseado nos valores de pressão arterial, com metas diferenciadas para pacientes em uso de anti-hipertensivo (&lt; 130×80 mmHg) e sem uso (&lt; 120×80 mmHg). Identifica: controlado, não controlado (130×80 a 179×119 mmHg), </w:t>
      </w:r>
      <w:proofErr w:type="spellStart"/>
      <w:r w:rsidRPr="00B35E8A">
        <w:t>pré</w:t>
      </w:r>
      <w:proofErr w:type="spellEnd"/>
      <w:r w:rsidRPr="00B35E8A">
        <w:t>-hipertensão (120×80 a 139×89 mmHg), emergência (&gt; 180×120 mmHg) e hipotensão (&lt; 90×60 mmHg).</w:t>
      </w:r>
    </w:p>
    <w:p w14:paraId="7DC780F3" w14:textId="77777777" w:rsidR="00B35E8A" w:rsidRPr="00B35E8A" w:rsidRDefault="00B35E8A" w:rsidP="00B35E8A">
      <w:r w:rsidRPr="00B35E8A">
        <w:t>• Fluxograma de Dislipidemia: baseado nos níveis de LDL-colesterol e triglicerídeos. Estratifica em quatro faixas de LDL (&lt; 100, 100–159, 160–189 e ≥190 mg/</w:t>
      </w:r>
      <w:proofErr w:type="spellStart"/>
      <w:r w:rsidRPr="00B35E8A">
        <w:t>dL</w:t>
      </w:r>
      <w:proofErr w:type="spellEnd"/>
      <w:r w:rsidRPr="00B35E8A">
        <w:t>) e dois níveis críticos de triglicerídeos (&gt; 500 e &gt; 1000 mg/</w:t>
      </w:r>
      <w:proofErr w:type="spellStart"/>
      <w:r w:rsidRPr="00B35E8A">
        <w:t>dL</w:t>
      </w:r>
      <w:proofErr w:type="spellEnd"/>
      <w:r w:rsidRPr="00B35E8A">
        <w:t>, este último com risco de pancreatite aguda).</w:t>
      </w:r>
    </w:p>
    <w:p w14:paraId="69AADDBD" w14:textId="77777777" w:rsidR="00B35E8A" w:rsidRPr="00B35E8A" w:rsidRDefault="00B35E8A" w:rsidP="00B35E8A">
      <w:r w:rsidRPr="00B35E8A">
        <w:lastRenderedPageBreak/>
        <w:t>• Fluxograma de Evento Cardiovascular: de caráter exclusivamente de urgência. Qualquer sinal ou sintoma compatível com síndrome coronariana aguda ou acidente vascular cerebral (dor torácica, déficit neurológico agudo, dispneia, síncope, convulsões) gera encaminhamento imediato ao serviço de urgência/emergência.</w:t>
      </w:r>
    </w:p>
    <w:p w14:paraId="5B09986A" w14:textId="77777777" w:rsidR="00B35E8A" w:rsidRPr="00B35E8A" w:rsidRDefault="00B35E8A" w:rsidP="00B35E8A">
      <w:pPr>
        <w:rPr>
          <w:b/>
          <w:bCs/>
        </w:rPr>
      </w:pPr>
      <w:r w:rsidRPr="00B35E8A">
        <w:rPr>
          <w:b/>
          <w:bCs/>
        </w:rPr>
        <w:t>7.6.3.6 Instrumentos de usabilidade e avaliação (Etapa 1)</w:t>
      </w:r>
    </w:p>
    <w:p w14:paraId="1A2904E9" w14:textId="77777777" w:rsidR="00B35E8A" w:rsidRPr="00B35E8A" w:rsidRDefault="00B35E8A" w:rsidP="00B35E8A">
      <w:r w:rsidRPr="00B35E8A">
        <w:t xml:space="preserve">Na Etapa 1 (pesquisa formativa e usabilidade), serão aplicados instrumentos de usabilidade para os dois públicos-alvo: questionários padronizados de avalição de usabilidade (ex.: System </w:t>
      </w:r>
      <w:proofErr w:type="spellStart"/>
      <w:r w:rsidRPr="00B35E8A">
        <w:t>Usability</w:t>
      </w:r>
      <w:proofErr w:type="spellEnd"/>
      <w:r w:rsidRPr="00B35E8A">
        <w:t xml:space="preserve"> </w:t>
      </w:r>
      <w:proofErr w:type="spellStart"/>
      <w:r w:rsidRPr="00B35E8A">
        <w:t>Scale</w:t>
      </w:r>
      <w:proofErr w:type="spellEnd"/>
      <w:r w:rsidRPr="00B35E8A">
        <w:t xml:space="preserve"> — SUS), roteiros semiestruturados de entrevista e observação do uso da plataforma. Os instrumentos serão definidos em Anexo específico.</w:t>
      </w:r>
    </w:p>
    <w:p w14:paraId="32AE0F6D" w14:textId="77777777" w:rsidR="00B35E8A" w:rsidRPr="00B35E8A" w:rsidRDefault="00B35E8A" w:rsidP="00B35E8A">
      <w:pPr>
        <w:rPr>
          <w:b/>
          <w:bCs/>
        </w:rPr>
      </w:pPr>
      <w:r w:rsidRPr="00B35E8A">
        <w:rPr>
          <w:b/>
          <w:bCs/>
        </w:rPr>
        <w:t>7.6.3.7 Questionários de viabilidade e satisfação (Etapa 2)</w:t>
      </w:r>
    </w:p>
    <w:p w14:paraId="5A928597" w14:textId="77777777" w:rsidR="00B35E8A" w:rsidRPr="00B35E8A" w:rsidRDefault="00B35E8A" w:rsidP="00B35E8A">
      <w:r w:rsidRPr="00B35E8A">
        <w:t>Na Etapa 2 (pesquisa de viabilidade e aceitabilidade), serão aplicados questionários de satisfação e aceitabilidade para os dois públicos-alvo, além da coleta de indicadores de processo (taxa de cadastro, completude de coleta, taxa de sincronização offline, tempo de resposta a alertas). Os instrumentos serão definidos em Anexo específico.</w:t>
      </w:r>
    </w:p>
    <w:p w14:paraId="3961C225" w14:textId="77777777" w:rsidR="00151077" w:rsidRDefault="00151077"/>
    <w:sectPr w:rsidR="001510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42A5"/>
    <w:multiLevelType w:val="hybridMultilevel"/>
    <w:tmpl w:val="52285A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6350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8A"/>
    <w:rsid w:val="00097AAA"/>
    <w:rsid w:val="000B412C"/>
    <w:rsid w:val="00151077"/>
    <w:rsid w:val="001D6BAC"/>
    <w:rsid w:val="00795A22"/>
    <w:rsid w:val="00A02DC2"/>
    <w:rsid w:val="00B35E8A"/>
    <w:rsid w:val="00B75802"/>
    <w:rsid w:val="00D34BBC"/>
    <w:rsid w:val="00FD04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2658"/>
  <w15:chartTrackingRefBased/>
  <w15:docId w15:val="{BFEE7FF5-5648-4699-A640-20429F20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35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35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35E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35E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35E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35E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35E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35E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35E8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35E8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35E8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35E8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35E8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35E8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35E8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35E8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35E8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35E8A"/>
    <w:rPr>
      <w:rFonts w:eastAsiaTheme="majorEastAsia" w:cstheme="majorBidi"/>
      <w:color w:val="272727" w:themeColor="text1" w:themeTint="D8"/>
    </w:rPr>
  </w:style>
  <w:style w:type="paragraph" w:styleId="Ttulo">
    <w:name w:val="Title"/>
    <w:basedOn w:val="Normal"/>
    <w:next w:val="Normal"/>
    <w:link w:val="TtuloChar"/>
    <w:uiPriority w:val="10"/>
    <w:qFormat/>
    <w:rsid w:val="00B35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35E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35E8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35E8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35E8A"/>
    <w:pPr>
      <w:spacing w:before="160"/>
      <w:jc w:val="center"/>
    </w:pPr>
    <w:rPr>
      <w:i/>
      <w:iCs/>
      <w:color w:val="404040" w:themeColor="text1" w:themeTint="BF"/>
    </w:rPr>
  </w:style>
  <w:style w:type="character" w:customStyle="1" w:styleId="CitaoChar">
    <w:name w:val="Citação Char"/>
    <w:basedOn w:val="Fontepargpadro"/>
    <w:link w:val="Citao"/>
    <w:uiPriority w:val="29"/>
    <w:rsid w:val="00B35E8A"/>
    <w:rPr>
      <w:i/>
      <w:iCs/>
      <w:color w:val="404040" w:themeColor="text1" w:themeTint="BF"/>
    </w:rPr>
  </w:style>
  <w:style w:type="paragraph" w:styleId="PargrafodaLista">
    <w:name w:val="List Paragraph"/>
    <w:basedOn w:val="Normal"/>
    <w:uiPriority w:val="34"/>
    <w:qFormat/>
    <w:rsid w:val="00B35E8A"/>
    <w:pPr>
      <w:ind w:left="720"/>
      <w:contextualSpacing/>
    </w:pPr>
  </w:style>
  <w:style w:type="character" w:styleId="nfaseIntensa">
    <w:name w:val="Intense Emphasis"/>
    <w:basedOn w:val="Fontepargpadro"/>
    <w:uiPriority w:val="21"/>
    <w:qFormat/>
    <w:rsid w:val="00B35E8A"/>
    <w:rPr>
      <w:i/>
      <w:iCs/>
      <w:color w:val="0F4761" w:themeColor="accent1" w:themeShade="BF"/>
    </w:rPr>
  </w:style>
  <w:style w:type="paragraph" w:styleId="CitaoIntensa">
    <w:name w:val="Intense Quote"/>
    <w:basedOn w:val="Normal"/>
    <w:next w:val="Normal"/>
    <w:link w:val="CitaoIntensaChar"/>
    <w:uiPriority w:val="30"/>
    <w:qFormat/>
    <w:rsid w:val="00B35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35E8A"/>
    <w:rPr>
      <w:i/>
      <w:iCs/>
      <w:color w:val="0F4761" w:themeColor="accent1" w:themeShade="BF"/>
    </w:rPr>
  </w:style>
  <w:style w:type="character" w:styleId="RefernciaIntensa">
    <w:name w:val="Intense Reference"/>
    <w:basedOn w:val="Fontepargpadro"/>
    <w:uiPriority w:val="32"/>
    <w:qFormat/>
    <w:rsid w:val="00B35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801</Words>
  <Characters>6063</Characters>
  <Application>Microsoft Office Word</Application>
  <DocSecurity>0</DocSecurity>
  <Lines>101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Cássio Besarria</dc:creator>
  <cp:keywords/>
  <dc:description/>
  <cp:lastModifiedBy>Cássio Besarria</cp:lastModifiedBy>
  <cp:revision>2</cp:revision>
  <dcterms:created xsi:type="dcterms:W3CDTF">2026-07-16T12:01:00Z</dcterms:created>
  <dcterms:modified xsi:type="dcterms:W3CDTF">2026-07-16T12:57:00Z</dcterms:modified>
</cp:coreProperties>
</file>