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rn3c5pj7ybb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 계획서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작성자: 양승민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idtijv7iehuy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소스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i6muvm27nq99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 위치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https://www.data.go.kr/data/15013109/standard.do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wnk6wmopukg3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유형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정형 데이터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o5c8rqkt6wgv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om1amw9l4d2q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담당자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제공 기관명 : 공공데이터활용지원센터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fx90yf8kgtay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협약 내용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공공데이터법 제 1조, 제 3조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qzgdltcpoplj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 주기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w4l03wuipal4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주기 설정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일회성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lq3b5d5n0qpc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데이터량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799KB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c7l01pqtzto2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트래픽량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799KB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40eck411xe6e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 방법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e0qx48kgj12q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적용 기술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fupvkl6qgqz2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사전 처리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사전 처리 없음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yr1oa1ulsx8r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사후 처리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제공기관 코드 등 불필요한 정보의 column 삭제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missing value 처리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ata.go.kr/data/15013109/standard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