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notes"/>
      <w:r>
        <w:t xml:space="preserve">Notes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Feb 18, 2021: I have only run models assuming between-cluster variance of about 10%. I am guessing that this is a high estimate. Also, I have assumed that we will have all 300 participants in both arms with the outcome variable not missing. Future analyses should consider other estimates of between-cluster variance and should evaluate the potential impact of attrition.</w:t>
      </w:r>
    </w:p>
    <w:p>
      <w:pPr>
        <w:pStyle w:val="Compact"/>
        <w:numPr>
          <w:numId w:val="1001"/>
          <w:ilvl w:val="0"/>
        </w:numPr>
      </w:pPr>
      <w:r>
        <w:t xml:space="preserve">Feb 21, 2021: I added a simulation estimating power for the GEE model in which reSET-O yields a reduction in the OR of 40% with only 5% of the total variance between cluster (as opposed to the 10% I had assumed before). With a 5% between-cluster variance, we could expect to detect a 40% reduction in odds with approximately</w:t>
      </w:r>
      <w:r>
        <w:t xml:space="preserve"> </w:t>
      </w:r>
      <m:oMath>
        <m:r>
          <m:t>1</m:t>
        </m:r>
        <m:r>
          <m:t>−</m:t>
        </m:r>
        <m:r>
          <m:t>β</m:t>
        </m:r>
        <m:r>
          <m:t>=</m:t>
        </m:r>
        <m:r>
          <m:t>.80</m:t>
        </m:r>
      </m:oMath>
      <w:r>
        <w:t xml:space="preserve">, the target power.</w:t>
      </w:r>
    </w:p>
    <w:p>
      <w:pPr>
        <w:pStyle w:val="Heading1"/>
      </w:pPr>
      <w:bookmarkStart w:id="21" w:name="prepare-workspace"/>
      <w:r>
        <w:t xml:space="preserve">Prepare workspace</w:t>
      </w:r>
      <w:bookmarkEnd w:id="21"/>
    </w:p>
    <w:p>
      <w:pPr>
        <w:pStyle w:val="FirstParagraph"/>
      </w:pPr>
      <w:r>
        <w:t xml:space="preserve">Load the required packages.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 clusterPower 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 powerSurvEpi )</w:t>
      </w:r>
    </w:p>
    <w:p>
      <w:pPr>
        <w:pStyle w:val="Heading1"/>
      </w:pPr>
      <w:bookmarkStart w:id="22" w:name="gee-models"/>
      <w:r>
        <w:t xml:space="preserve">GEE Models</w:t>
      </w:r>
      <w:bookmarkEnd w:id="22"/>
    </w:p>
    <w:p>
      <w:pPr>
        <w:pStyle w:val="Heading2"/>
      </w:pPr>
      <w:bookmarkStart w:id="23" w:name="between-cluster-variance"/>
      <w:r>
        <w:t xml:space="preserve">10% Between-Cluster Variance</w:t>
      </w:r>
      <w:bookmarkEnd w:id="23"/>
    </w:p>
    <w:p>
      <w:pPr>
        <w:pStyle w:val="FirstParagraph"/>
      </w:pPr>
      <w:r>
        <w:t xml:space="preserve">Each of the models in this section assume that the between-cluster variance accounts for 10% of the total variance within both the reSET-O and TAU groups.</w:t>
      </w:r>
    </w:p>
    <w:p>
      <w:pPr>
        <w:pStyle w:val="Heading3"/>
      </w:pPr>
      <w:bookmarkStart w:id="24" w:name="gee-model-assuming-or0.50"/>
      <w:r>
        <w:t xml:space="preserve">GEE Model Assuming OR=0.50</w:t>
      </w:r>
      <w:bookmarkEnd w:id="24"/>
    </w:p>
    <w:p>
      <w:pPr>
        <w:pStyle w:val="FirstParagraph"/>
      </w:pPr>
      <w:r>
        <w:t xml:space="preserve">Estimate power for rejecting the null hypothesis that difference in the odds of non-abstinence (0=abstinent; 1=used drugs) across the reSET-O and treatment as usual care (TAU) conditions is 0 at weeks 9-12 of the study. The model assumes the following:</w:t>
      </w:r>
    </w:p>
    <w:p>
      <w:pPr>
        <w:pStyle w:val="Compact"/>
        <w:numPr>
          <w:numId w:val="1002"/>
          <w:ilvl w:val="0"/>
        </w:numPr>
      </w:pPr>
      <w:r>
        <w:t xml:space="preserve">Random allocation of half the total cluster (k=6) to reSET-O and half (k=6) to TAU</w:t>
      </w:r>
    </w:p>
    <w:p>
      <w:pPr>
        <w:pStyle w:val="Compact"/>
        <w:numPr>
          <w:numId w:val="1002"/>
          <w:ilvl w:val="0"/>
        </w:numPr>
      </w:pPr>
      <w:r>
        <w:t xml:space="preserve">Equal cluster sizes of 50 patients (300 patients in each group)</w:t>
      </w:r>
    </w:p>
    <w:p>
      <w:pPr>
        <w:pStyle w:val="Compact"/>
        <w:numPr>
          <w:numId w:val="1002"/>
          <w:ilvl w:val="0"/>
        </w:numPr>
      </w:pPr>
      <w:r>
        <w:t xml:space="preserve">Probability of non-abstinence in TAU assumed to be 40% based on</w:t>
      </w:r>
      <w:r>
        <w:t xml:space="preserve"> </w:t>
      </w:r>
      <w:hyperlink r:id="rId25">
        <w:r>
          <w:rPr>
            <w:rStyle w:val="Hyperlink"/>
          </w:rPr>
          <w:t xml:space="preserve">Maricich et al., 2020</w:t>
        </w:r>
      </w:hyperlink>
    </w:p>
    <w:p>
      <w:pPr>
        <w:pStyle w:val="Compact"/>
        <w:numPr>
          <w:numId w:val="1002"/>
          <w:ilvl w:val="0"/>
        </w:numPr>
      </w:pPr>
      <w:r>
        <w:t xml:space="preserve">Probability of non-abstinence in reSET-O assumed to be 25% based on</w:t>
      </w:r>
      <w:r>
        <w:t xml:space="preserve"> </w:t>
      </w:r>
      <w:hyperlink r:id="rId25">
        <w:r>
          <w:rPr>
            <w:rStyle w:val="Hyperlink"/>
          </w:rPr>
          <w:t xml:space="preserve">Maricich et al., 2020</w:t>
        </w:r>
      </w:hyperlink>
    </w:p>
    <w:p>
      <w:pPr>
        <w:pStyle w:val="Compact"/>
        <w:numPr>
          <w:numId w:val="1002"/>
          <w:ilvl w:val="0"/>
        </w:numPr>
      </w:pPr>
      <w:r>
        <w:t xml:space="preserve">This comes to an assumed odds ratio (OR) = 0.5, a 50% reduction in odds.</w:t>
      </w:r>
    </w:p>
    <w:p>
      <w:pPr>
        <w:pStyle w:val="SourceCode"/>
      </w:pPr>
      <w:r>
        <w:rPr>
          <w:rStyle w:val="CommentTok"/>
        </w:rPr>
        <w:t xml:space="preserve"># geesim1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p2=.25, # 25% non-abstinence rate in reSET-0 group in Maricich et al. (2020)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sigma_b_sq2=0.019, # variance = p(1-p)=0.1875;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'geesim1.RData'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geesim1[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                     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0.956   0.9413796   0.9678505  0.05 0.044      1000      1000</w:t>
      </w:r>
    </w:p>
    <w:p>
      <w:pPr>
        <w:pStyle w:val="FirstParagraph"/>
      </w:pPr>
      <w:r>
        <w:t xml:space="preserve">This simulation suggests that our power would be between 0.94-0.97 – i.e., well powered.</w:t>
      </w:r>
    </w:p>
    <w:p>
      <w:pPr>
        <w:pStyle w:val="Heading3"/>
      </w:pPr>
      <w:bookmarkStart w:id="26" w:name="gee-model-assuming-or0.55"/>
      <w:r>
        <w:t xml:space="preserve">GEE Model Assuming OR=0.55</w:t>
      </w:r>
      <w:bookmarkEnd w:id="26"/>
    </w:p>
    <w:p>
      <w:pPr>
        <w:pStyle w:val="FirstParagraph"/>
      </w:pPr>
      <w:r>
        <w:t xml:space="preserve">Next, we will calculate power using a simulation assuming an in-between effect where reSET-O results in a ~45% reduction in the odds.</w:t>
      </w:r>
    </w:p>
    <w:p>
      <w:pPr>
        <w:pStyle w:val="Compact"/>
        <w:numPr>
          <w:numId w:val="1003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3"/>
          <w:ilvl w:val="0"/>
        </w:numPr>
      </w:pPr>
      <w:r>
        <w:t xml:space="preserve">Assume a 27% non-abstinence rate in reSET-O</w:t>
      </w:r>
    </w:p>
    <w:p>
      <w:pPr>
        <w:pStyle w:val="Compact"/>
        <w:numPr>
          <w:numId w:val="1003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geesim5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p2=.27, # 27% non-abstinence rate in reSET-0 group 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sigma_b_sq2=0.022, # variance = p(1-p)=0.21;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'geesim5.RData'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geesim5[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0.875    0.852893   0.8948702  0.05 0.125      1000      1000</w:t>
      </w:r>
    </w:p>
    <w:p>
      <w:pPr>
        <w:pStyle w:val="FirstParagraph"/>
      </w:pPr>
      <w:r>
        <w:t xml:space="preserve">This simulation suggests that our power would be well-powered 0.85-0.89 to detect an OR=0.55.</w:t>
      </w:r>
    </w:p>
    <w:p>
      <w:pPr>
        <w:pStyle w:val="Heading3"/>
      </w:pPr>
      <w:bookmarkStart w:id="27" w:name="gee-model-assuming-or0.60"/>
      <w:r>
        <w:t xml:space="preserve">GEE Model Assuming OR=0.60</w:t>
      </w:r>
      <w:bookmarkEnd w:id="27"/>
    </w:p>
    <w:p>
      <w:pPr>
        <w:pStyle w:val="FirstParagraph"/>
      </w:pPr>
      <w:r>
        <w:t xml:space="preserve">Next, we will calculate power using a simulation assuming an in-between effect where reSET-O results in a ~40% reduction in the odds.</w:t>
      </w:r>
    </w:p>
    <w:p>
      <w:pPr>
        <w:pStyle w:val="Compact"/>
        <w:numPr>
          <w:numId w:val="1004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4"/>
          <w:ilvl w:val="0"/>
        </w:numPr>
      </w:pPr>
      <w:r>
        <w:t xml:space="preserve">Assume a 29% non-abstinence rate in reSET-O</w:t>
      </w:r>
    </w:p>
    <w:p>
      <w:pPr>
        <w:pStyle w:val="Compact"/>
        <w:numPr>
          <w:numId w:val="1004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geesim4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p2=.29, # 29% non-abstinence rate 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sigma_b_sq2=0.021, # variance = p(1-p)=0.21;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'geesim4.RData'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geesim4[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0.763   0.7353915   0.7890505  0.05 0.237      1000      1000</w:t>
      </w:r>
    </w:p>
    <w:p>
      <w:pPr>
        <w:pStyle w:val="FirstParagraph"/>
      </w:pPr>
      <w:r>
        <w:t xml:space="preserve">This simulation suggests that our power would be between 0.74-0.79 – i.e., approaching the goal of 0.80.</w:t>
      </w:r>
    </w:p>
    <w:p>
      <w:pPr>
        <w:pStyle w:val="Heading3"/>
      </w:pPr>
      <w:bookmarkStart w:id="28" w:name="gee-model-assuming-or0.65"/>
      <w:r>
        <w:t xml:space="preserve">GEE Model Assuming OR=0.65</w:t>
      </w:r>
      <w:bookmarkEnd w:id="28"/>
    </w:p>
    <w:p>
      <w:pPr>
        <w:pStyle w:val="FirstParagraph"/>
      </w:pPr>
      <w:r>
        <w:t xml:space="preserve">Now we will calculate power using a simulation assuming an in-between effect where reSET-O results in a ~35% reduction in the odds.</w:t>
      </w:r>
    </w:p>
    <w:p>
      <w:pPr>
        <w:pStyle w:val="Compact"/>
        <w:numPr>
          <w:numId w:val="1005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5"/>
          <w:ilvl w:val="0"/>
        </w:numPr>
      </w:pPr>
      <w:r>
        <w:t xml:space="preserve">Assume a 30% non-abstinence rate in reSET-O</w:t>
      </w:r>
    </w:p>
    <w:p>
      <w:pPr>
        <w:pStyle w:val="Compact"/>
        <w:numPr>
          <w:numId w:val="1005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geesim3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p2=.30, # 30% non-abstinence rate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sigma_b_sq2=0.021, # variance = p(1-p)=0.21;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'geesim3.RData'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geesim3[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         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0.688   0.6582616   0.7166268  0.05 0.312      1000      1000</w:t>
      </w:r>
    </w:p>
    <w:p>
      <w:pPr>
        <w:pStyle w:val="FirstParagraph"/>
      </w:pPr>
      <w:r>
        <w:t xml:space="preserve">This simulation suggests that our power would be between 0.66-0.71 – i.e., moderately powered.</w:t>
      </w:r>
    </w:p>
    <w:p>
      <w:pPr>
        <w:pStyle w:val="Heading3"/>
      </w:pPr>
      <w:bookmarkStart w:id="29" w:name="gee-model-assuming-or0.80"/>
      <w:r>
        <w:t xml:space="preserve">GEE Model Assuming OR=0.80</w:t>
      </w:r>
      <w:bookmarkEnd w:id="29"/>
    </w:p>
    <w:p>
      <w:pPr>
        <w:pStyle w:val="FirstParagraph"/>
      </w:pPr>
      <w:r>
        <w:t xml:space="preserve">Now we will calculate power using a simulation assuming a more modest effect where reSET-O results in a 20% reduction in the odds.</w:t>
      </w:r>
    </w:p>
    <w:p>
      <w:pPr>
        <w:pStyle w:val="Compact"/>
        <w:numPr>
          <w:numId w:val="1006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6"/>
          <w:ilvl w:val="0"/>
        </w:numPr>
      </w:pPr>
      <w:r>
        <w:t xml:space="preserve">Assume a 35% non-abstinence rate in reSET-O</w:t>
      </w:r>
    </w:p>
    <w:p>
      <w:pPr>
        <w:pStyle w:val="Compact"/>
        <w:numPr>
          <w:numId w:val="1006"/>
          <w:ilvl w:val="0"/>
        </w:numPr>
      </w:pPr>
      <w:r>
        <w:t xml:space="preserve">Keep all of the rest of the assumptions the same as in the previous simulation</w:t>
      </w:r>
    </w:p>
    <w:p>
      <w:pPr>
        <w:pStyle w:val="SourceCode"/>
      </w:pPr>
      <w:r>
        <w:rPr>
          <w:rStyle w:val="CommentTok"/>
        </w:rPr>
        <w:t xml:space="preserve"># geesim2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p2=.35, # 35% non-abstinence rate </w:t>
      </w:r>
      <w:r>
        <w:br/>
      </w:r>
      <w:r>
        <w:rPr>
          <w:rStyle w:val="CommentTok"/>
        </w:rPr>
        <w:t xml:space="preserve">#                        sigma_b_sq=0.024, # variance = p(1-p)=0.24; assume 10% variance is between)</w:t>
      </w:r>
      <w:r>
        <w:br/>
      </w:r>
      <w:r>
        <w:rPr>
          <w:rStyle w:val="CommentTok"/>
        </w:rPr>
        <w:t xml:space="preserve">#                        sigma_b_sq2=0.023, # variance = p(1-p)=0.2275; assume 10%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seed=0218211,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'geesim2.RData'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geesim2[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                    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0.263   0.2359435   0.2914594  0.05 0.737      1000      1000</w:t>
      </w:r>
    </w:p>
    <w:p>
      <w:pPr>
        <w:pStyle w:val="FirstParagraph"/>
      </w:pPr>
      <w:r>
        <w:t xml:space="preserve">This simulation suggests that our power would be between 0.23-0.29 – i.e., poorly powered.</w:t>
      </w:r>
    </w:p>
    <w:p>
      <w:pPr>
        <w:pStyle w:val="Heading2"/>
      </w:pPr>
      <w:bookmarkStart w:id="30" w:name="between-cluster-variance-1"/>
      <w:r>
        <w:t xml:space="preserve">5% Between-Cluster Variance</w:t>
      </w:r>
      <w:bookmarkEnd w:id="30"/>
    </w:p>
    <w:p>
      <w:pPr>
        <w:pStyle w:val="FirstParagraph"/>
      </w:pPr>
      <w:r>
        <w:t xml:space="preserve">In this section, we rerun the simulation models that fell short of the desired power (</w:t>
      </w:r>
      <m:oMath>
        <m:r>
          <m:t>β</m:t>
        </m:r>
        <m:r>
          <m:t>−</m:t>
        </m:r>
        <m:r>
          <m:t>1</m:t>
        </m:r>
        <m:r>
          <m:t>=</m:t>
        </m:r>
        <m:r>
          <m:t>.80</m:t>
        </m:r>
      </m:oMath>
      <w:r>
        <w:t xml:space="preserve">) with 10% between-cluster variability assuming just 5% between-cluster variability, which seems more probably given the design.</w:t>
      </w:r>
    </w:p>
    <w:p>
      <w:pPr>
        <w:pStyle w:val="Heading3"/>
      </w:pPr>
      <w:bookmarkStart w:id="31" w:name="section"/>
      <w:bookmarkEnd w:id="31"/>
    </w:p>
    <w:p>
      <w:pPr>
        <w:pStyle w:val="FirstParagraph"/>
      </w:pPr>
      <w:r>
        <w:t xml:space="preserve">Rerun geesim4, which assumes a ~40% reduction in the odds but with only 5% of the total variance between clusters. The geesim4 model assuming 10% between-cluter variance yielded a power estimate (0.74-0.79) that fell just short of the goal.</w:t>
      </w:r>
    </w:p>
    <w:p>
      <w:pPr>
        <w:pStyle w:val="Compact"/>
        <w:numPr>
          <w:numId w:val="1007"/>
          <w:ilvl w:val="0"/>
        </w:numPr>
      </w:pPr>
      <w:r>
        <w:t xml:space="preserve">Assume a 40% non-abstinence rate in TAU</w:t>
      </w:r>
    </w:p>
    <w:p>
      <w:pPr>
        <w:pStyle w:val="Compact"/>
        <w:numPr>
          <w:numId w:val="1007"/>
          <w:ilvl w:val="0"/>
        </w:numPr>
      </w:pPr>
      <w:r>
        <w:t xml:space="preserve">Assume a 29% non-abstinence rate in reSET-O</w:t>
      </w:r>
    </w:p>
    <w:p>
      <w:pPr>
        <w:pStyle w:val="SourceCode"/>
      </w:pPr>
      <w:r>
        <w:rPr>
          <w:rStyle w:val="CommentTok"/>
        </w:rPr>
        <w:t xml:space="preserve"># geesim6 &lt;- cps.binary( nsim = 1000,</w:t>
      </w:r>
      <w:r>
        <w:br/>
      </w:r>
      <w:r>
        <w:rPr>
          <w:rStyle w:val="CommentTok"/>
        </w:rPr>
        <w:t xml:space="preserve">#                        nsubjects = 50, # 50 participants per cluster assuming equal sizes</w:t>
      </w:r>
      <w:r>
        <w:br/>
      </w:r>
      <w:r>
        <w:rPr>
          <w:rStyle w:val="CommentTok"/>
        </w:rPr>
        <w:t xml:space="preserve">#                        nclusters = 6, # 6 clusters per treatment arm</w:t>
      </w:r>
      <w:r>
        <w:br/>
      </w:r>
      <w:r>
        <w:rPr>
          <w:rStyle w:val="CommentTok"/>
        </w:rPr>
        <w:t xml:space="preserve">#                        p1=.40, # 40% non-abstinence rate in TAU in Maricich et al. (2020)</w:t>
      </w:r>
      <w:r>
        <w:br/>
      </w:r>
      <w:r>
        <w:rPr>
          <w:rStyle w:val="CommentTok"/>
        </w:rPr>
        <w:t xml:space="preserve">#                        p2=.29, # 29% non-abstinence rate in reSET-0</w:t>
      </w:r>
      <w:r>
        <w:br/>
      </w:r>
      <w:r>
        <w:rPr>
          <w:rStyle w:val="CommentTok"/>
        </w:rPr>
        <w:t xml:space="preserve">#                        sigma_b_sq=0.012, # variance = p(1-p)=0.24; assume 5% variance is between)</w:t>
      </w:r>
      <w:r>
        <w:br/>
      </w:r>
      <w:r>
        <w:rPr>
          <w:rStyle w:val="CommentTok"/>
        </w:rPr>
        <w:t xml:space="preserve">#                        sigma_b_sq2=0.010, # variance = p(1-p)=0.21; assume 5% variance is between)</w:t>
      </w:r>
      <w:r>
        <w:br/>
      </w:r>
      <w:r>
        <w:rPr>
          <w:rStyle w:val="CommentTok"/>
        </w:rPr>
        <w:t xml:space="preserve">#                        alpha=.05,</w:t>
      </w:r>
      <w:r>
        <w:br/>
      </w:r>
      <w:r>
        <w:rPr>
          <w:rStyle w:val="CommentTok"/>
        </w:rPr>
        <w:t xml:space="preserve">#                        method='gee',</w:t>
      </w:r>
      <w:r>
        <w:br/>
      </w:r>
      <w:r>
        <w:rPr>
          <w:rStyle w:val="CommentTok"/>
        </w:rPr>
        <w:t xml:space="preserve">#                        quiet=F,</w:t>
      </w:r>
      <w:r>
        <w:br/>
      </w:r>
      <w:r>
        <w:rPr>
          <w:rStyle w:val="CommentTok"/>
        </w:rPr>
        <w:t xml:space="preserve">#                        seed=0221211,</w:t>
      </w:r>
      <w:r>
        <w:br/>
      </w:r>
      <w:r>
        <w:rPr>
          <w:rStyle w:val="CommentTok"/>
        </w:rPr>
        <w:t xml:space="preserve">#                        lowPowerOverride = TRUE 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'geesim6.RData'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geesim6[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      Power Lower.95.CI Upper.95.CI Alpha  Beta Converged Requested</w:t>
      </w:r>
      <w:r>
        <w:br/>
      </w:r>
      <w:r>
        <w:rPr>
          <w:rStyle w:val="VerbatimChar"/>
        </w:rPr>
        <w:t xml:space="preserve">## Arm.2 0.806   0.7801051   0.8300789  0.05 0.194      1000      1000</w:t>
      </w:r>
    </w:p>
    <w:p>
      <w:pPr>
        <w:pStyle w:val="FirstParagraph"/>
      </w:pPr>
      <w:r>
        <w:t xml:space="preserve">This simulation suggests that our power would be between 0.74-0.79 – i.e., approaching the goal of 0.80.</w:t>
      </w:r>
    </w:p>
    <w:p>
      <w:pPr>
        <w:pStyle w:val="Heading1"/>
      </w:pPr>
      <w:bookmarkStart w:id="32" w:name="cox-propotional-hazards-model"/>
      <w:r>
        <w:t xml:space="preserve">Cox Propotional Hazards Model</w:t>
      </w:r>
      <w:bookmarkEnd w:id="32"/>
    </w:p>
    <w:p>
      <w:pPr>
        <w:pStyle w:val="FirstParagraph"/>
      </w:pPr>
      <w:r>
        <w:t xml:space="preserve">These models should be taken with a</w:t>
      </w:r>
      <w:r>
        <w:t xml:space="preserve"> </w:t>
      </w:r>
      <w:r>
        <w:rPr>
          <w:b/>
        </w:rPr>
        <w:t xml:space="preserve">big</w:t>
      </w:r>
      <w:r>
        <w:t xml:space="preserve"> </w:t>
      </w:r>
      <w:r>
        <w:t xml:space="preserve">grain of salt. Power analysis for a proportional hazards model with individuals clustered within groups is a bit beyond my capabilities. I believe this would require simulations that are beyond my expertise. I ran a number of quick-and-dirty models varying the probability of an event (drug use) over the full follow-up period in the reSET-O group and the assumed hazard ratio. For all models, I assumed that 40% of TAU participants would have an event over the full follow-up. As with the previous examples, I am assuming 300 participants per treatment arm (</w:t>
      </w:r>
      <m:oMath>
        <m:r>
          <m:t>N</m:t>
        </m:r>
        <m:r>
          <m:t>=</m:t>
        </m:r>
        <m:r>
          <m:t>600</m:t>
        </m:r>
      </m:oMath>
      <w:r>
        <w:t xml:space="preserve">).</w:t>
      </w:r>
    </w:p>
    <w:p>
      <w:pPr>
        <w:pStyle w:val="BodyText"/>
      </w:pPr>
      <w:r>
        <w:t xml:space="preserve">The consequence of failing to account for clustering is having too small standard error estimates. I used a conservative</w:t>
      </w:r>
      <w:r>
        <w:t xml:space="preserve"> </w:t>
      </w:r>
      <m:oMath>
        <m:r>
          <m:t>α</m:t>
        </m:r>
        <m:r>
          <m:t>=</m:t>
        </m:r>
        <m:r>
          <m:t>.025</m:t>
        </m:r>
      </m:oMath>
      <w:r>
        <w:t xml:space="preserve"> </w:t>
      </w:r>
      <w:r>
        <w:t xml:space="preserve">to try to counteract this – a terribly unsophisticated approach. The</w:t>
      </w:r>
      <w:r>
        <w:t xml:space="preserve"> </w:t>
      </w:r>
      <w:hyperlink r:id="rId33">
        <w:r>
          <w:rPr>
            <w:rStyle w:val="Hyperlink"/>
          </w:rPr>
          <w:t xml:space="preserve">powerSurvEpi package</w:t>
        </w:r>
      </w:hyperlink>
      <w:r>
        <w:t xml:space="preserve"> </w:t>
      </w:r>
      <w:r>
        <w:t xml:space="preserve">was used to obtain these estimates.</w:t>
      </w:r>
    </w:p>
    <w:p>
      <w:pPr>
        <w:pStyle w:val="SourceCode"/>
      </w:pPr>
      <w:r>
        <w:rPr>
          <w:rStyle w:val="NormalTok"/>
        </w:rPr>
        <w:t xml:space="preserve">surv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powerCT.default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surv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powerCT.default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surv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powerCT.default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surv</w:t>
      </w:r>
      <w:r>
        <w:rPr>
          <w:rStyle w:val="FloatTok"/>
        </w:rPr>
        <w:t xml:space="preserve">.65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powerCT.default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surv</w:t>
      </w:r>
      <w:r>
        <w:rPr>
          <w:rStyle w:val="FloatTok"/>
        </w:rPr>
        <w:t xml:space="preserve">.60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powerCT.default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 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(surv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surv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surv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surv</w:t>
      </w:r>
      <w:r>
        <w:rPr>
          <w:rStyle w:val="FloatTok"/>
        </w:rPr>
        <w:t xml:space="preserve">.65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surv</w:t>
      </w:r>
      <w:r>
        <w:rPr>
          <w:rStyle w:val="FloatTok"/>
        </w:rPr>
        <w:t xml:space="preserve">.60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'Estimated Power'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'Hazard Ratio'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'Proportional Hazards Model'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'40% Probability of Event in Control over Full Time Period (2-tailed alpha=.025)'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font.lab=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w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 in the plot above, these very unsophisticated power estimates suggest that we could detect a hazard ratio of approximately</w:t>
      </w:r>
      <w:r>
        <w:t xml:space="preserve"> </w:t>
      </w:r>
      <m:oMath>
        <m:r>
          <m:t>.65</m:t>
        </m:r>
        <m:r>
          <m:t>−</m:t>
        </m:r>
        <m:r>
          <m:t>.60</m:t>
        </m:r>
      </m:oMath>
      <w:r>
        <w:t xml:space="preserve"> </w:t>
      </w:r>
      <w:r>
        <w:t xml:space="preserve">to achieve</w:t>
      </w:r>
      <w:r>
        <w:t xml:space="preserve"> </w:t>
      </w:r>
      <m:oMath>
        <m:r>
          <m:t>1</m:t>
        </m:r>
        <m:r>
          <m:t>−</m:t>
        </m:r>
        <m:r>
          <m:t>β</m:t>
        </m:r>
        <m:r>
          <m:t>=</m:t>
        </m:r>
        <m:r>
          <m:t>.80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33" Target="https://cran.r-project.org/web/packages/powerSurvEpi/powerSurvEpi.pdf" TargetMode="External" /><Relationship Type="http://schemas.openxmlformats.org/officeDocument/2006/relationships/hyperlink" Id="rId25" Target="https://www.tandfonline.com/doi/full/10.1080/03007995.2020.1846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web/packages/powerSurvEpi/powerSurvEpi.pdf" TargetMode="External" /><Relationship Type="http://schemas.openxmlformats.org/officeDocument/2006/relationships/hyperlink" Id="rId25" Target="https://www.tandfonline.com/doi/full/10.1080/03007995.2020.1846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Analysis</dc:title>
  <dc:creator/>
  <cp:keywords/>
  <dcterms:created xsi:type="dcterms:W3CDTF">2021-02-21T21:15:15Z</dcterms:created>
  <dcterms:modified xsi:type="dcterms:W3CDTF">2021-02-21T21:15:15Z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