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</w:pPr>
      <w:r>
        <w:rPr>
          <w:rFonts w:ascii="Aptos" w:hAnsi="Aptos" w:eastAsia="Aptos"/>
          <w:b/>
          <w:color w:val="0E9AA7"/>
          <w:sz w:val="20"/>
        </w:rPr>
        <w:t>EXÉCUTION AI-FIRST</w:t>
      </w:r>
    </w:p>
    <w:p>
      <w:pPr>
        <w:pStyle w:val="Title"/>
      </w:pPr>
      <w:r>
        <w:t>ROADMAP D’EXÉCUTION</w:t>
        <w:br/>
        <w:t>MVP → MARKETING → 100K ARR</w:t>
      </w:r>
    </w:p>
    <w:p>
      <w:pPr>
        <w:spacing w:after="100"/>
        <w:pBdr>
          <w:bottom w:val="single" w:sz="8" w:space="1" w:color="0E9AA7"/>
        </w:pBdr>
      </w:pPr>
    </w:p>
    <w:p>
      <w:r>
        <w:rPr>
          <w:rFonts w:ascii="Aptos" w:hAnsi="Aptos" w:eastAsia="Aptos"/>
          <w:color w:val="667784"/>
          <w:sz w:val="28"/>
        </w:rPr>
        <w:t>Construire vite, valider les signaux, puis industrialiser l’acquisition.</w:t>
      </w:r>
    </w:p>
    <w:p>
      <w:r>
        <w:rPr>
          <w:rFonts w:ascii="Aptos" w:hAnsi="Aptos" w:eastAsia="Aptos"/>
          <w:i/>
          <w:color w:val="667784"/>
          <w:sz w:val="17"/>
        </w:rPr>
        <w:t>Nom de marque à définir • Roadmap pivot v2.0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12"/>
      </w:tblGrid>
      <w:tr>
        <w:trPr>
          <w:cantSplit/>
        </w:trPr>
        <w:tc>
          <w:tcPr>
            <w:tcW w:type="dxa" w:w="10312"/>
            <w:shd w:fill="EAF5F6"/>
            <w:tcBorders>
              <w:top w:val="nil"/>
              <w:left w:val="single" w:sz="24" w:color="0E9AA7"/>
              <w:bottom w:val="nil"/>
              <w:right w:val="nil"/>
            </w:tcBorders>
          </w:tcPr>
          <w:p>
            <w:pPr>
              <w:spacing w:after="20"/>
            </w:pPr>
            <w:r>
              <w:rPr>
                <w:rFonts w:ascii="Aptos" w:hAnsi="Aptos" w:eastAsia="Aptos"/>
                <w:b/>
                <w:color w:val="0E9AA7"/>
                <w:sz w:val="15"/>
              </w:rPr>
              <w:t>PRINCIPE DIRECTEUR</w:t>
            </w:r>
          </w:p>
          <w:p>
            <w:pPr>
              <w:spacing w:after="20"/>
            </w:pPr>
            <w:r>
              <w:rPr>
                <w:rFonts w:ascii="Aptos" w:hAnsi="Aptos" w:eastAsia="Aptos"/>
                <w:b/>
                <w:color w:val="0D2A3F"/>
                <w:sz w:val="24"/>
              </w:rPr>
              <w:t>Le logiciel peut être codé vite ; le produit ne passe au marketing que lorsque des signaux ont déclenché de vraies actions commerciales.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rPr>
          <w:tblHeader w:val="true"/>
        </w:trPr>
        <w:tc>
          <w:tcPr>
            <w:tcW w:type="dxa" w:w="5156"/>
            <w:shd w:fill="0D2A3F"/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b/>
                <w:color w:val="FFFFFF"/>
                <w:sz w:val="16"/>
              </w:rPr>
              <w:t>Track</w:t>
            </w:r>
          </w:p>
        </w:tc>
        <w:tc>
          <w:tcPr>
            <w:tcW w:type="dxa" w:w="5156"/>
            <w:shd w:fill="0D2A3F"/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b/>
                <w:color w:val="FFFFFF"/>
                <w:sz w:val="16"/>
              </w:rPr>
              <w:t>Rôle</w:t>
            </w:r>
          </w:p>
        </w:tc>
      </w:tr>
      <w:tr>
        <w:tc>
          <w:tcPr>
            <w:tcW w:type="dxa" w:w="5156"/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sz w:val="16"/>
              </w:rPr>
              <w:t>A — Data</w:t>
            </w:r>
          </w:p>
        </w:tc>
        <w:tc>
          <w:tcPr>
            <w:tcW w:type="dxa" w:w="5156"/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sz w:val="16"/>
              </w:rPr>
              <w:t>SIMAP + TED → adjudications propres et dédupliquées</w:t>
            </w:r>
          </w:p>
        </w:tc>
      </w:tr>
      <w:tr>
        <w:tc>
          <w:tcPr>
            <w:tcW w:type="dxa" w:w="5156"/>
            <w:vAlign w:val="center"/>
            <w:shd w:fill="F4F7F9"/>
          </w:tcPr>
          <w:p>
            <w:pPr>
              <w:spacing w:after="0"/>
            </w:pPr>
            <w:r>
              <w:rPr>
                <w:rFonts w:ascii="Aptos" w:hAnsi="Aptos" w:eastAsia="Aptos"/>
                <w:sz w:val="16"/>
              </w:rPr>
              <w:t>B — Signal Engine</w:t>
            </w:r>
          </w:p>
        </w:tc>
        <w:tc>
          <w:tcPr>
            <w:tcW w:type="dxa" w:w="5156"/>
            <w:vAlign w:val="center"/>
            <w:shd w:fill="F4F7F9"/>
          </w:tcPr>
          <w:p>
            <w:pPr>
              <w:spacing w:after="0"/>
            </w:pPr>
            <w:r>
              <w:rPr>
                <w:rFonts w:ascii="Aptos" w:hAnsi="Aptos" w:eastAsia="Aptos"/>
                <w:sz w:val="16"/>
              </w:rPr>
              <w:t>Compréhension contrat → Need Graph → timing → score</w:t>
            </w:r>
          </w:p>
        </w:tc>
      </w:tr>
      <w:tr>
        <w:tc>
          <w:tcPr>
            <w:tcW w:type="dxa" w:w="5156"/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sz w:val="16"/>
              </w:rPr>
              <w:t>C — Validation</w:t>
            </w:r>
          </w:p>
        </w:tc>
        <w:tc>
          <w:tcPr>
            <w:tcW w:type="dxa" w:w="5156"/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sz w:val="16"/>
              </w:rPr>
              <w:t>Professionnels → actions → paiements → répétition</w:t>
            </w:r>
          </w:p>
        </w:tc>
      </w:tr>
      <w:tr>
        <w:tc>
          <w:tcPr>
            <w:tcW w:type="dxa" w:w="5156"/>
            <w:vAlign w:val="center"/>
            <w:shd w:fill="F4F7F9"/>
          </w:tcPr>
          <w:p>
            <w:pPr>
              <w:spacing w:after="0"/>
            </w:pPr>
            <w:r>
              <w:rPr>
                <w:rFonts w:ascii="Aptos" w:hAnsi="Aptos" w:eastAsia="Aptos"/>
                <w:sz w:val="16"/>
              </w:rPr>
              <w:t>D — Marketing</w:t>
            </w:r>
          </w:p>
        </w:tc>
        <w:tc>
          <w:tcPr>
            <w:tcW w:type="dxa" w:w="5156"/>
            <w:vAlign w:val="center"/>
            <w:shd w:fill="F4F7F9"/>
          </w:tcPr>
          <w:p>
            <w:pPr>
              <w:spacing w:after="0"/>
            </w:pPr>
            <w:r>
              <w:rPr>
                <w:rFonts w:ascii="Aptos" w:hAnsi="Aptos" w:eastAsia="Aptos"/>
                <w:sz w:val="16"/>
              </w:rPr>
              <w:t>Seulement après G7 : acquisition reproductible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12"/>
      </w:tblGrid>
      <w:tr>
        <w:trPr>
          <w:cantSplit/>
        </w:trPr>
        <w:tc>
          <w:tcPr>
            <w:tcW w:type="dxa" w:w="10312"/>
            <w:shd w:fill="ECF7F1"/>
            <w:tcBorders>
              <w:top w:val="nil"/>
              <w:left w:val="single" w:sz="24" w:color="0B7A53"/>
              <w:bottom w:val="nil"/>
              <w:right w:val="nil"/>
            </w:tcBorders>
          </w:tcPr>
          <w:p>
            <w:pPr>
              <w:spacing w:after="20"/>
            </w:pPr>
            <w:r>
              <w:rPr>
                <w:rFonts w:ascii="Aptos" w:hAnsi="Aptos" w:eastAsia="Aptos"/>
                <w:b/>
                <w:color w:val="0B7A53"/>
                <w:sz w:val="15"/>
              </w:rPr>
              <w:t>OBJECTIF</w:t>
            </w:r>
          </w:p>
          <w:p>
            <w:pPr>
              <w:spacing w:after="20"/>
            </w:pPr>
            <w:r>
              <w:rPr>
                <w:rFonts w:ascii="Aptos" w:hAnsi="Aptos" w:eastAsia="Aptos"/>
                <w:b/>
                <w:color w:val="0D2A3F"/>
                <w:sz w:val="24"/>
              </w:rPr>
              <w:t>Atteindre ≈ 8 333 CHF MRR, soit ≈ 100 000 CHF ARR, sans diluer le MVP dans d’autres modules d’intelligence.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pBdr>
          <w:bottom w:val="single" w:sz="10" w:space="4" w:color="0E9AA7"/>
        </w:pBdr>
      </w:pPr>
      <w:r>
        <w:t>1. Cadre d’exécution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473"/>
        <w:gridCol w:w="1473"/>
        <w:gridCol w:w="1473"/>
        <w:gridCol w:w="1473"/>
        <w:gridCol w:w="1473"/>
        <w:gridCol w:w="1473"/>
        <w:gridCol w:w="1473"/>
      </w:tblGrid>
      <w:tr>
        <w:tc>
          <w:tcPr>
            <w:tcW w:type="dxa" w:w="1473"/>
            <w:shd w:fill="EAF5F6"/>
            <w:tcBorders>
              <w:top w:val="single" w:sz="8" w:color="D7E4E8"/>
              <w:left w:val="single" w:sz="8" w:color="D7E4E8"/>
              <w:bottom w:val="single" w:sz="8" w:color="D7E4E8"/>
              <w:right w:val="single" w:sz="8" w:color="D7E4E8"/>
            </w:tcBorders>
          </w:tcPr>
          <w:p>
            <w:pPr>
              <w:spacing w:after="0"/>
              <w:jc w:val="center"/>
            </w:pPr>
            <w:r>
              <w:rPr>
                <w:rFonts w:ascii="Aptos" w:hAnsi="Aptos" w:eastAsia="Aptos"/>
                <w:b/>
                <w:color w:val="0D2A3F"/>
                <w:sz w:val="16"/>
              </w:rPr>
              <w:t>SPEC</w:t>
            </w:r>
          </w:p>
        </w:tc>
        <w:tc>
          <w:tcPr>
            <w:tcW w:type="dxa" w:w="1473"/>
            <w:shd w:fill="F3FBFB"/>
            <w:tcBorders>
              <w:top w:val="single" w:sz="8" w:color="D7E4E8"/>
              <w:left w:val="single" w:sz="8" w:color="D7E4E8"/>
              <w:bottom w:val="single" w:sz="8" w:color="D7E4E8"/>
              <w:right w:val="single" w:sz="8" w:color="D7E4E8"/>
            </w:tcBorders>
          </w:tcPr>
          <w:p>
            <w:pPr>
              <w:spacing w:after="0"/>
              <w:jc w:val="center"/>
            </w:pPr>
            <w:r>
              <w:rPr>
                <w:rFonts w:ascii="Aptos" w:hAnsi="Aptos" w:eastAsia="Aptos"/>
                <w:b/>
                <w:color w:val="0D2A3F"/>
                <w:sz w:val="16"/>
              </w:rPr>
              <w:t>CODE IA</w:t>
            </w:r>
          </w:p>
        </w:tc>
        <w:tc>
          <w:tcPr>
            <w:tcW w:type="dxa" w:w="1473"/>
            <w:shd w:fill="EAF5F6"/>
            <w:tcBorders>
              <w:top w:val="single" w:sz="8" w:color="D7E4E8"/>
              <w:left w:val="single" w:sz="8" w:color="D7E4E8"/>
              <w:bottom w:val="single" w:sz="8" w:color="D7E4E8"/>
              <w:right w:val="single" w:sz="8" w:color="D7E4E8"/>
            </w:tcBorders>
          </w:tcPr>
          <w:p>
            <w:pPr>
              <w:spacing w:after="0"/>
              <w:jc w:val="center"/>
            </w:pPr>
            <w:r>
              <w:rPr>
                <w:rFonts w:ascii="Aptos" w:hAnsi="Aptos" w:eastAsia="Aptos"/>
                <w:b/>
                <w:color w:val="0D2A3F"/>
                <w:sz w:val="16"/>
              </w:rPr>
              <w:t>TESTS</w:t>
            </w:r>
          </w:p>
        </w:tc>
        <w:tc>
          <w:tcPr>
            <w:tcW w:type="dxa" w:w="1473"/>
            <w:shd w:fill="F3FBFB"/>
            <w:tcBorders>
              <w:top w:val="single" w:sz="8" w:color="D7E4E8"/>
              <w:left w:val="single" w:sz="8" w:color="D7E4E8"/>
              <w:bottom w:val="single" w:sz="8" w:color="D7E4E8"/>
              <w:right w:val="single" w:sz="8" w:color="D7E4E8"/>
            </w:tcBorders>
          </w:tcPr>
          <w:p>
            <w:pPr>
              <w:spacing w:after="0"/>
              <w:jc w:val="center"/>
            </w:pPr>
            <w:r>
              <w:rPr>
                <w:rFonts w:ascii="Aptos" w:hAnsi="Aptos" w:eastAsia="Aptos"/>
                <w:b/>
                <w:color w:val="0D2A3F"/>
                <w:sz w:val="16"/>
              </w:rPr>
              <w:t>DONNÉES RÉELLES</w:t>
            </w:r>
          </w:p>
        </w:tc>
        <w:tc>
          <w:tcPr>
            <w:tcW w:type="dxa" w:w="1473"/>
            <w:shd w:fill="EAF5F6"/>
            <w:tcBorders>
              <w:top w:val="single" w:sz="8" w:color="D7E4E8"/>
              <w:left w:val="single" w:sz="8" w:color="D7E4E8"/>
              <w:bottom w:val="single" w:sz="8" w:color="D7E4E8"/>
              <w:right w:val="single" w:sz="8" w:color="D7E4E8"/>
            </w:tcBorders>
          </w:tcPr>
          <w:p>
            <w:pPr>
              <w:spacing w:after="0"/>
              <w:jc w:val="center"/>
            </w:pPr>
            <w:r>
              <w:rPr>
                <w:rFonts w:ascii="Aptos" w:hAnsi="Aptos" w:eastAsia="Aptos"/>
                <w:b/>
                <w:color w:val="0D2A3F"/>
                <w:sz w:val="16"/>
              </w:rPr>
              <w:t>REVUE HUMAINE</w:t>
            </w:r>
          </w:p>
        </w:tc>
        <w:tc>
          <w:tcPr>
            <w:tcW w:type="dxa" w:w="1473"/>
            <w:shd w:fill="F3FBFB"/>
            <w:tcBorders>
              <w:top w:val="single" w:sz="8" w:color="D7E4E8"/>
              <w:left w:val="single" w:sz="8" w:color="D7E4E8"/>
              <w:bottom w:val="single" w:sz="8" w:color="D7E4E8"/>
              <w:right w:val="single" w:sz="8" w:color="D7E4E8"/>
            </w:tcBorders>
          </w:tcPr>
          <w:p>
            <w:pPr>
              <w:spacing w:after="0"/>
              <w:jc w:val="center"/>
            </w:pPr>
            <w:r>
              <w:rPr>
                <w:rFonts w:ascii="Aptos" w:hAnsi="Aptos" w:eastAsia="Aptos"/>
                <w:b/>
                <w:color w:val="0D2A3F"/>
                <w:sz w:val="16"/>
              </w:rPr>
              <w:t>EVAL</w:t>
            </w:r>
          </w:p>
        </w:tc>
        <w:tc>
          <w:tcPr>
            <w:tcW w:type="dxa" w:w="1473"/>
            <w:shd w:fill="EAF5F6"/>
            <w:tcBorders>
              <w:top w:val="single" w:sz="8" w:color="D7E4E8"/>
              <w:left w:val="single" w:sz="8" w:color="D7E4E8"/>
              <w:bottom w:val="single" w:sz="8" w:color="D7E4E8"/>
              <w:right w:val="single" w:sz="8" w:color="D7E4E8"/>
            </w:tcBorders>
          </w:tcPr>
          <w:p>
            <w:pPr>
              <w:spacing w:after="0"/>
              <w:jc w:val="center"/>
            </w:pPr>
            <w:r>
              <w:rPr>
                <w:rFonts w:ascii="Aptos" w:hAnsi="Aptos" w:eastAsia="Aptos"/>
                <w:b/>
                <w:color w:val="0D2A3F"/>
                <w:sz w:val="16"/>
              </w:rPr>
              <w:t>GATE</w:t>
            </w:r>
          </w:p>
        </w:tc>
      </w:tr>
    </w:tbl>
    <w:p>
      <w:pPr>
        <w:spacing w:after="20"/>
      </w:pPr>
    </w:p>
    <w:p>
      <w:r>
        <w:rPr>
          <w:rFonts w:ascii="Aptos" w:hAnsi="Aptos" w:eastAsia="Aptos"/>
        </w:rPr>
        <w:t>Le code n’est pas le principal risque. Les risques sont : qualité des adjudications, résolution correcte du gagnant, faux besoins inférés, timing commercial, pertinence ICP et absence d’action réelle chez le client.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rPr>
          <w:tblHeader w:val="true"/>
        </w:trPr>
        <w:tc>
          <w:tcPr>
            <w:tcW w:type="dxa" w:w="5156"/>
            <w:shd w:fill="0D2A3F"/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b/>
                <w:color w:val="FFFFFF"/>
                <w:sz w:val="16"/>
              </w:rPr>
              <w:t>Risque</w:t>
            </w:r>
          </w:p>
        </w:tc>
        <w:tc>
          <w:tcPr>
            <w:tcW w:type="dxa" w:w="5156"/>
            <w:shd w:fill="0D2A3F"/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b/>
                <w:color w:val="FFFFFF"/>
                <w:sz w:val="16"/>
              </w:rPr>
              <w:t>Protection</w:t>
            </w:r>
          </w:p>
        </w:tc>
      </w:tr>
      <w:tr>
        <w:tc>
          <w:tcPr>
            <w:tcW w:type="dxa" w:w="5156"/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sz w:val="16"/>
              </w:rPr>
              <w:t>Donnée incomplète</w:t>
            </w:r>
          </w:p>
        </w:tc>
        <w:tc>
          <w:tcPr>
            <w:tcW w:type="dxa" w:w="5156"/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sz w:val="16"/>
              </w:rPr>
              <w:t>Confiance + preuve + fallback manuel</w:t>
            </w:r>
          </w:p>
        </w:tc>
      </w:tr>
      <w:tr>
        <w:tc>
          <w:tcPr>
            <w:tcW w:type="dxa" w:w="5156"/>
            <w:vAlign w:val="center"/>
            <w:shd w:fill="F4F7F9"/>
          </w:tcPr>
          <w:p>
            <w:pPr>
              <w:spacing w:after="0"/>
            </w:pPr>
            <w:r>
              <w:rPr>
                <w:rFonts w:ascii="Aptos" w:hAnsi="Aptos" w:eastAsia="Aptos"/>
                <w:sz w:val="16"/>
              </w:rPr>
              <w:t>Mauvais gagnant</w:t>
            </w:r>
          </w:p>
        </w:tc>
        <w:tc>
          <w:tcPr>
            <w:tcW w:type="dxa" w:w="5156"/>
            <w:vAlign w:val="center"/>
            <w:shd w:fill="F4F7F9"/>
          </w:tcPr>
          <w:p>
            <w:pPr>
              <w:spacing w:after="0"/>
            </w:pPr>
            <w:r>
              <w:rPr>
                <w:rFonts w:ascii="Aptos" w:hAnsi="Aptos" w:eastAsia="Aptos"/>
                <w:sz w:val="16"/>
              </w:rPr>
              <w:t>Entity resolution + identifiants + contrôles</w:t>
            </w:r>
          </w:p>
        </w:tc>
      </w:tr>
      <w:tr>
        <w:tc>
          <w:tcPr>
            <w:tcW w:type="dxa" w:w="5156"/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sz w:val="16"/>
              </w:rPr>
              <w:t>Besoin inventé</w:t>
            </w:r>
          </w:p>
        </w:tc>
        <w:tc>
          <w:tcPr>
            <w:tcW w:type="dxa" w:w="5156"/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sz w:val="16"/>
              </w:rPr>
              <w:t>Need Graph explicable + limites de confiance</w:t>
            </w:r>
          </w:p>
        </w:tc>
      </w:tr>
      <w:tr>
        <w:tc>
          <w:tcPr>
            <w:tcW w:type="dxa" w:w="5156"/>
            <w:vAlign w:val="center"/>
            <w:shd w:fill="F4F7F9"/>
          </w:tcPr>
          <w:p>
            <w:pPr>
              <w:spacing w:after="0"/>
            </w:pPr>
            <w:r>
              <w:rPr>
                <w:rFonts w:ascii="Aptos" w:hAnsi="Aptos" w:eastAsia="Aptos"/>
                <w:sz w:val="16"/>
              </w:rPr>
              <w:t>Signal trop tardif</w:t>
            </w:r>
          </w:p>
        </w:tc>
        <w:tc>
          <w:tcPr>
            <w:tcW w:type="dxa" w:w="5156"/>
            <w:vAlign w:val="center"/>
            <w:shd w:fill="F4F7F9"/>
          </w:tcPr>
          <w:p>
            <w:pPr>
              <w:spacing w:after="0"/>
            </w:pPr>
            <w:r>
              <w:rPr>
                <w:rFonts w:ascii="Aptos" w:hAnsi="Aptos" w:eastAsia="Aptos"/>
                <w:sz w:val="16"/>
              </w:rPr>
              <w:t>Score de fraîcheur + ingestion fréquente</w:t>
            </w:r>
          </w:p>
        </w:tc>
      </w:tr>
      <w:tr>
        <w:tc>
          <w:tcPr>
            <w:tcW w:type="dxa" w:w="5156"/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sz w:val="16"/>
              </w:rPr>
              <w:t>Trop de bruit</w:t>
            </w:r>
          </w:p>
        </w:tc>
        <w:tc>
          <w:tcPr>
            <w:tcW w:type="dxa" w:w="5156"/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sz w:val="16"/>
              </w:rPr>
              <w:t>Seuil minimum + ICP strict + feedback</w:t>
            </w:r>
          </w:p>
        </w:tc>
      </w:tr>
      <w:tr>
        <w:tc>
          <w:tcPr>
            <w:tcW w:type="dxa" w:w="5156"/>
            <w:vAlign w:val="center"/>
            <w:shd w:fill="F4F7F9"/>
          </w:tcPr>
          <w:p>
            <w:pPr>
              <w:spacing w:after="0"/>
            </w:pPr>
            <w:r>
              <w:rPr>
                <w:rFonts w:ascii="Aptos" w:hAnsi="Aptos" w:eastAsia="Aptos"/>
                <w:sz w:val="16"/>
              </w:rPr>
              <w:t>Beau produit sans ventes</w:t>
            </w:r>
          </w:p>
        </w:tc>
        <w:tc>
          <w:tcPr>
            <w:tcW w:type="dxa" w:w="5156"/>
            <w:vAlign w:val="center"/>
            <w:shd w:fill="F4F7F9"/>
          </w:tcPr>
          <w:p>
            <w:pPr>
              <w:spacing w:after="0"/>
            </w:pPr>
            <w:r>
              <w:rPr>
                <w:rFonts w:ascii="Aptos" w:hAnsi="Aptos" w:eastAsia="Aptos"/>
                <w:sz w:val="16"/>
              </w:rPr>
              <w:t>Gate d’action et de paiement avant marketing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12"/>
      </w:tblGrid>
      <w:tr>
        <w:trPr>
          <w:cantSplit/>
        </w:trPr>
        <w:tc>
          <w:tcPr>
            <w:tcW w:type="dxa" w:w="10312"/>
            <w:shd w:fill="EAF5F6"/>
            <w:tcBorders>
              <w:top w:val="nil"/>
              <w:left w:val="single" w:sz="24" w:color="0E9AA7"/>
              <w:bottom w:val="nil"/>
              <w:right w:val="nil"/>
            </w:tcBorders>
          </w:tcPr>
          <w:p>
            <w:pPr>
              <w:spacing w:after="20"/>
            </w:pPr>
            <w:r>
              <w:rPr>
                <w:rFonts w:ascii="Aptos" w:hAnsi="Aptos" w:eastAsia="Aptos"/>
                <w:b/>
                <w:color w:val="0E9AA7"/>
                <w:sz w:val="15"/>
              </w:rPr>
              <w:t>ORDRE NON NÉGOCIABLE</w:t>
            </w:r>
          </w:p>
          <w:p>
            <w:pPr>
              <w:spacing w:after="20"/>
            </w:pPr>
            <w:r>
              <w:rPr>
                <w:rFonts w:ascii="Aptos" w:hAnsi="Aptos" w:eastAsia="Aptos"/>
                <w:b/>
                <w:color w:val="0D2A3F"/>
                <w:sz w:val="24"/>
              </w:rPr>
              <w:t>MVP data → Signal Engine → 100 signaux → utilisateurs pilotes → premier paiement → répétition → marketing → scale.</w:t>
            </w:r>
          </w:p>
        </w:tc>
      </w:tr>
    </w:tbl>
    <w:p>
      <w:pPr>
        <w:spacing w:after="0"/>
      </w:pPr>
    </w:p>
    <w:p>
      <w:pPr>
        <w:pStyle w:val="Heading1"/>
        <w:pBdr>
          <w:bottom w:val="single" w:sz="10" w:space="4" w:color="0E9AA7"/>
        </w:pBdr>
      </w:pPr>
      <w:r>
        <w:t>2. Sprint 0 — Pivot et fondation technique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12"/>
      </w:tblGrid>
      <w:tr>
        <w:trPr>
          <w:cantSplit/>
        </w:trPr>
        <w:tc>
          <w:tcPr>
            <w:tcW w:type="dxa" w:w="10312"/>
            <w:shd w:fill="EAF5F6"/>
            <w:tcBorders>
              <w:top w:val="nil"/>
              <w:left w:val="single" w:sz="24" w:color="0E9AA7"/>
              <w:bottom w:val="nil"/>
              <w:right w:val="nil"/>
            </w:tcBorders>
          </w:tcPr>
          <w:p>
            <w:pPr>
              <w:spacing w:after="20"/>
            </w:pPr>
            <w:r>
              <w:rPr>
                <w:rFonts w:ascii="Aptos" w:hAnsi="Aptos" w:eastAsia="Aptos"/>
                <w:b/>
                <w:color w:val="0E9AA7"/>
                <w:sz w:val="15"/>
              </w:rPr>
              <w:t>DURÉE CIBLE</w:t>
            </w:r>
          </w:p>
          <w:p>
            <w:pPr>
              <w:spacing w:after="20"/>
            </w:pPr>
            <w:r>
              <w:rPr>
                <w:rFonts w:ascii="Aptos" w:hAnsi="Aptos" w:eastAsia="Aptos"/>
                <w:b/>
                <w:color w:val="0D2A3F"/>
                <w:sz w:val="24"/>
              </w:rPr>
              <w:t>1 à 2 jours</w:t>
            </w:r>
          </w:p>
        </w:tc>
      </w:tr>
    </w:tbl>
    <w:p>
      <w:pPr>
        <w:spacing w:after="0"/>
      </w:pPr>
    </w:p>
    <w:p>
      <w:pPr>
        <w:pStyle w:val="ListBullet"/>
        <w:spacing w:after="40"/>
        <w:ind w:left="255" w:hanging="113"/>
      </w:pPr>
      <w:r>
        <w:rPr>
          <w:rFonts w:ascii="Aptos" w:hAnsi="Aptos" w:eastAsia="Aptos"/>
          <w:sz w:val="18"/>
        </w:rPr>
        <w:t>Créer/reprendre le repository et supprimer les dépendances produit liées au Go/No-Go du chemin critique.</w:t>
      </w:r>
    </w:p>
    <w:p>
      <w:pPr>
        <w:pStyle w:val="ListBullet"/>
        <w:spacing w:after="40"/>
        <w:ind w:left="255" w:hanging="113"/>
      </w:pPr>
      <w:r>
        <w:rPr>
          <w:rFonts w:ascii="Aptos" w:hAnsi="Aptos" w:eastAsia="Aptos"/>
          <w:sz w:val="18"/>
        </w:rPr>
        <w:t>Stabiliser les schémas : PublicEvent, Company, Buyer, ContractAward, Evidence, Signal, TargetICP, Feedback.</w:t>
      </w:r>
    </w:p>
    <w:p>
      <w:pPr>
        <w:pStyle w:val="ListBullet"/>
        <w:spacing w:after="40"/>
        <w:ind w:left="255" w:hanging="113"/>
      </w:pPr>
      <w:r>
        <w:rPr>
          <w:rFonts w:ascii="Aptos" w:hAnsi="Aptos" w:eastAsia="Aptos"/>
          <w:sz w:val="18"/>
        </w:rPr>
        <w:t>Prévoir source_system et source_country dès le départ.</w:t>
      </w:r>
    </w:p>
    <w:p>
      <w:pPr>
        <w:pStyle w:val="ListBullet"/>
        <w:spacing w:after="40"/>
        <w:ind w:left="255" w:hanging="113"/>
      </w:pPr>
      <w:r>
        <w:rPr>
          <w:rFonts w:ascii="Aptos" w:hAnsi="Aptos" w:eastAsia="Aptos"/>
          <w:sz w:val="18"/>
        </w:rPr>
        <w:t>Mettre en place migrations, tests, logging, staging et feature flags.</w:t>
      </w:r>
    </w:p>
    <w:p>
      <w:pPr>
        <w:pStyle w:val="ListBullet"/>
        <w:spacing w:after="40"/>
        <w:ind w:left="255" w:hanging="113"/>
      </w:pPr>
      <w:r>
        <w:rPr>
          <w:rFonts w:ascii="Aptos" w:hAnsi="Aptos" w:eastAsia="Aptos"/>
          <w:sz w:val="18"/>
        </w:rPr>
        <w:t>Conserver GoSimap comme branche/actif secondaire ; ne pas le supprimer.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rPr>
          <w:tblHeader w:val="true"/>
        </w:trPr>
        <w:tc>
          <w:tcPr>
            <w:tcW w:type="dxa" w:w="5156"/>
            <w:shd w:fill="0D2A3F"/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b/>
                <w:color w:val="FFFFFF"/>
                <w:sz w:val="16"/>
              </w:rPr>
              <w:t>Gate G0</w:t>
            </w:r>
          </w:p>
        </w:tc>
        <w:tc>
          <w:tcPr>
            <w:tcW w:type="dxa" w:w="5156"/>
            <w:shd w:fill="0D2A3F"/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b/>
                <w:color w:val="FFFFFF"/>
                <w:sz w:val="16"/>
              </w:rPr>
              <w:t>Attendu</w:t>
            </w:r>
          </w:p>
        </w:tc>
      </w:tr>
      <w:tr>
        <w:tc>
          <w:tcPr>
            <w:tcW w:type="dxa" w:w="5156"/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sz w:val="16"/>
              </w:rPr>
              <w:t>Schémas</w:t>
            </w:r>
          </w:p>
        </w:tc>
        <w:tc>
          <w:tcPr>
            <w:tcW w:type="dxa" w:w="5156"/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sz w:val="16"/>
              </w:rPr>
              <w:t>Modèle source-agnostique stable</w:t>
            </w:r>
          </w:p>
        </w:tc>
      </w:tr>
      <w:tr>
        <w:tc>
          <w:tcPr>
            <w:tcW w:type="dxa" w:w="5156"/>
            <w:vAlign w:val="center"/>
            <w:shd w:fill="F4F7F9"/>
          </w:tcPr>
          <w:p>
            <w:pPr>
              <w:spacing w:after="0"/>
            </w:pPr>
            <w:r>
              <w:rPr>
                <w:rFonts w:ascii="Aptos" w:hAnsi="Aptos" w:eastAsia="Aptos"/>
                <w:sz w:val="16"/>
              </w:rPr>
              <w:t>Tests</w:t>
            </w:r>
          </w:p>
        </w:tc>
        <w:tc>
          <w:tcPr>
            <w:tcW w:type="dxa" w:w="5156"/>
            <w:vAlign w:val="center"/>
            <w:shd w:fill="F4F7F9"/>
          </w:tcPr>
          <w:p>
            <w:pPr>
              <w:spacing w:after="0"/>
            </w:pPr>
            <w:r>
              <w:rPr>
                <w:rFonts w:ascii="Aptos" w:hAnsi="Aptos" w:eastAsia="Aptos"/>
                <w:sz w:val="16"/>
              </w:rPr>
              <w:t>Pipeline vert</w:t>
            </w:r>
          </w:p>
        </w:tc>
      </w:tr>
      <w:tr>
        <w:tc>
          <w:tcPr>
            <w:tcW w:type="dxa" w:w="5156"/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sz w:val="16"/>
              </w:rPr>
              <w:t>Traçabilité</w:t>
            </w:r>
          </w:p>
        </w:tc>
        <w:tc>
          <w:tcPr>
            <w:tcW w:type="dxa" w:w="5156"/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sz w:val="16"/>
              </w:rPr>
              <w:t>Chaque donnée dérivée conserve source et version moteur</w:t>
            </w:r>
          </w:p>
        </w:tc>
      </w:tr>
    </w:tbl>
    <w:p>
      <w:pPr>
        <w:spacing w:after="20"/>
      </w:pPr>
    </w:p>
    <w:p>
      <w:pPr>
        <w:pStyle w:val="Heading1"/>
        <w:pBdr>
          <w:bottom w:val="single" w:sz="10" w:space="4" w:color="0E9AA7"/>
        </w:pBdr>
      </w:pPr>
      <w:r>
        <w:t>3. Sprint 1 — Ingestion Awards SIMAP + TED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12"/>
      </w:tblGrid>
      <w:tr>
        <w:trPr>
          <w:cantSplit/>
        </w:trPr>
        <w:tc>
          <w:tcPr>
            <w:tcW w:type="dxa" w:w="10312"/>
            <w:shd w:fill="EAF5F6"/>
            <w:tcBorders>
              <w:top w:val="nil"/>
              <w:left w:val="single" w:sz="24" w:color="0E9AA7"/>
              <w:bottom w:val="nil"/>
              <w:right w:val="nil"/>
            </w:tcBorders>
          </w:tcPr>
          <w:p>
            <w:pPr>
              <w:spacing w:after="20"/>
            </w:pPr>
            <w:r>
              <w:rPr>
                <w:rFonts w:ascii="Aptos" w:hAnsi="Aptos" w:eastAsia="Aptos"/>
                <w:b/>
                <w:color w:val="0E9AA7"/>
                <w:sz w:val="15"/>
              </w:rPr>
              <w:t>DURÉE CIBLE</w:t>
            </w:r>
          </w:p>
          <w:p>
            <w:pPr>
              <w:spacing w:after="20"/>
            </w:pPr>
            <w:r>
              <w:rPr>
                <w:rFonts w:ascii="Aptos" w:hAnsi="Aptos" w:eastAsia="Aptos"/>
                <w:b/>
                <w:color w:val="0D2A3F"/>
                <w:sz w:val="24"/>
              </w:rPr>
              <w:t>3 à 5 jours — dépendance data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719"/>
        <w:gridCol w:w="1719"/>
        <w:gridCol w:w="1719"/>
        <w:gridCol w:w="1719"/>
        <w:gridCol w:w="1719"/>
        <w:gridCol w:w="1719"/>
      </w:tblGrid>
      <w:tr>
        <w:tc>
          <w:tcPr>
            <w:tcW w:type="dxa" w:w="1719"/>
            <w:shd w:fill="EAF5F6"/>
            <w:tcBorders>
              <w:top w:val="single" w:sz="8" w:color="D7E4E8"/>
              <w:left w:val="single" w:sz="8" w:color="D7E4E8"/>
              <w:bottom w:val="single" w:sz="8" w:color="D7E4E8"/>
              <w:right w:val="single" w:sz="8" w:color="D7E4E8"/>
            </w:tcBorders>
          </w:tcPr>
          <w:p>
            <w:pPr>
              <w:spacing w:after="0"/>
              <w:jc w:val="center"/>
            </w:pPr>
            <w:r>
              <w:rPr>
                <w:rFonts w:ascii="Aptos" w:hAnsi="Aptos" w:eastAsia="Aptos"/>
                <w:b/>
                <w:color w:val="0D2A3F"/>
                <w:sz w:val="16"/>
              </w:rPr>
              <w:t>SOURCE</w:t>
            </w:r>
          </w:p>
        </w:tc>
        <w:tc>
          <w:tcPr>
            <w:tcW w:type="dxa" w:w="1719"/>
            <w:shd w:fill="F3FBFB"/>
            <w:tcBorders>
              <w:top w:val="single" w:sz="8" w:color="D7E4E8"/>
              <w:left w:val="single" w:sz="8" w:color="D7E4E8"/>
              <w:bottom w:val="single" w:sz="8" w:color="D7E4E8"/>
              <w:right w:val="single" w:sz="8" w:color="D7E4E8"/>
            </w:tcBorders>
          </w:tcPr>
          <w:p>
            <w:pPr>
              <w:spacing w:after="0"/>
              <w:jc w:val="center"/>
            </w:pPr>
            <w:r>
              <w:rPr>
                <w:rFonts w:ascii="Aptos" w:hAnsi="Aptos" w:eastAsia="Aptos"/>
                <w:b/>
                <w:color w:val="0D2A3F"/>
                <w:sz w:val="16"/>
              </w:rPr>
              <w:t>RAW NOTICE</w:t>
            </w:r>
          </w:p>
        </w:tc>
        <w:tc>
          <w:tcPr>
            <w:tcW w:type="dxa" w:w="1719"/>
            <w:shd w:fill="EAF5F6"/>
            <w:tcBorders>
              <w:top w:val="single" w:sz="8" w:color="D7E4E8"/>
              <w:left w:val="single" w:sz="8" w:color="D7E4E8"/>
              <w:bottom w:val="single" w:sz="8" w:color="D7E4E8"/>
              <w:right w:val="single" w:sz="8" w:color="D7E4E8"/>
            </w:tcBorders>
          </w:tcPr>
          <w:p>
            <w:pPr>
              <w:spacing w:after="0"/>
              <w:jc w:val="center"/>
            </w:pPr>
            <w:r>
              <w:rPr>
                <w:rFonts w:ascii="Aptos" w:hAnsi="Aptos" w:eastAsia="Aptos"/>
                <w:b/>
                <w:color w:val="0D2A3F"/>
                <w:sz w:val="16"/>
              </w:rPr>
              <w:t>VALIDATION</w:t>
            </w:r>
          </w:p>
        </w:tc>
        <w:tc>
          <w:tcPr>
            <w:tcW w:type="dxa" w:w="1719"/>
            <w:shd w:fill="F3FBFB"/>
            <w:tcBorders>
              <w:top w:val="single" w:sz="8" w:color="D7E4E8"/>
              <w:left w:val="single" w:sz="8" w:color="D7E4E8"/>
              <w:bottom w:val="single" w:sz="8" w:color="D7E4E8"/>
              <w:right w:val="single" w:sz="8" w:color="D7E4E8"/>
            </w:tcBorders>
          </w:tcPr>
          <w:p>
            <w:pPr>
              <w:spacing w:after="0"/>
              <w:jc w:val="center"/>
            </w:pPr>
            <w:r>
              <w:rPr>
                <w:rFonts w:ascii="Aptos" w:hAnsi="Aptos" w:eastAsia="Aptos"/>
                <w:b/>
                <w:color w:val="0D2A3F"/>
                <w:sz w:val="16"/>
              </w:rPr>
              <w:t>NORMALISATION</w:t>
            </w:r>
          </w:p>
        </w:tc>
        <w:tc>
          <w:tcPr>
            <w:tcW w:type="dxa" w:w="1719"/>
            <w:shd w:fill="EAF5F6"/>
            <w:tcBorders>
              <w:top w:val="single" w:sz="8" w:color="D7E4E8"/>
              <w:left w:val="single" w:sz="8" w:color="D7E4E8"/>
              <w:bottom w:val="single" w:sz="8" w:color="D7E4E8"/>
              <w:right w:val="single" w:sz="8" w:color="D7E4E8"/>
            </w:tcBorders>
          </w:tcPr>
          <w:p>
            <w:pPr>
              <w:spacing w:after="0"/>
              <w:jc w:val="center"/>
            </w:pPr>
            <w:r>
              <w:rPr>
                <w:rFonts w:ascii="Aptos" w:hAnsi="Aptos" w:eastAsia="Aptos"/>
                <w:b/>
                <w:color w:val="0D2A3F"/>
                <w:sz w:val="16"/>
              </w:rPr>
              <w:t>AWARD</w:t>
            </w:r>
          </w:p>
        </w:tc>
        <w:tc>
          <w:tcPr>
            <w:tcW w:type="dxa" w:w="1719"/>
            <w:shd w:fill="F3FBFB"/>
            <w:tcBorders>
              <w:top w:val="single" w:sz="8" w:color="D7E4E8"/>
              <w:left w:val="single" w:sz="8" w:color="D7E4E8"/>
              <w:bottom w:val="single" w:sz="8" w:color="D7E4E8"/>
              <w:right w:val="single" w:sz="8" w:color="D7E4E8"/>
            </w:tcBorders>
          </w:tcPr>
          <w:p>
            <w:pPr>
              <w:spacing w:after="0"/>
              <w:jc w:val="center"/>
            </w:pPr>
            <w:r>
              <w:rPr>
                <w:rFonts w:ascii="Aptos" w:hAnsi="Aptos" w:eastAsia="Aptos"/>
                <w:b/>
                <w:color w:val="0D2A3F"/>
                <w:sz w:val="16"/>
              </w:rPr>
              <w:t>DB</w:t>
            </w:r>
          </w:p>
        </w:tc>
      </w:tr>
    </w:tbl>
    <w:p>
      <w:pPr>
        <w:spacing w:after="20"/>
      </w:pPr>
    </w:p>
    <w:p>
      <w:pPr>
        <w:pStyle w:val="ListBullet"/>
        <w:spacing w:after="40"/>
        <w:ind w:left="255" w:hanging="113"/>
      </w:pPr>
      <w:r>
        <w:rPr>
          <w:rFonts w:ascii="Aptos" w:hAnsi="Aptos" w:eastAsia="Aptos"/>
          <w:sz w:val="18"/>
        </w:rPr>
        <w:t>Importer uniquement les avis utiles au MVP : résultats/adjudications et lots attribués.</w:t>
      </w:r>
    </w:p>
    <w:p>
      <w:pPr>
        <w:pStyle w:val="ListBullet"/>
        <w:spacing w:after="40"/>
        <w:ind w:left="255" w:hanging="113"/>
      </w:pPr>
      <w:r>
        <w:rPr>
          <w:rFonts w:ascii="Aptos" w:hAnsi="Aptos" w:eastAsia="Aptos"/>
          <w:sz w:val="18"/>
        </w:rPr>
        <w:t>Extraire : buyer, winner, title, description, lot, CPV, value, currency, place, publication date, contract date/duration si disponible.</w:t>
      </w:r>
    </w:p>
    <w:p>
      <w:pPr>
        <w:pStyle w:val="ListBullet"/>
        <w:spacing w:after="40"/>
        <w:ind w:left="255" w:hanging="113"/>
      </w:pPr>
      <w:r>
        <w:rPr>
          <w:rFonts w:ascii="Aptos" w:hAnsi="Aptos" w:eastAsia="Aptos"/>
          <w:sz w:val="18"/>
        </w:rPr>
        <w:t>Gérer corrections, doublons, plusieurs lots, plusieurs gagnants et montants absents.</w:t>
      </w:r>
    </w:p>
    <w:p>
      <w:pPr>
        <w:pStyle w:val="ListBullet"/>
        <w:spacing w:after="40"/>
        <w:ind w:left="255" w:hanging="113"/>
      </w:pPr>
      <w:r>
        <w:rPr>
          <w:rFonts w:ascii="Aptos" w:hAnsi="Aptos" w:eastAsia="Aptos"/>
          <w:sz w:val="18"/>
        </w:rPr>
        <w:t>Stocker le lien / identifiant de source original.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rPr>
          <w:tblHeader w:val="true"/>
        </w:trPr>
        <w:tc>
          <w:tcPr>
            <w:tcW w:type="dxa" w:w="5156"/>
            <w:shd w:fill="0D2A3F"/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b/>
                <w:color w:val="FFFFFF"/>
                <w:sz w:val="16"/>
              </w:rPr>
              <w:t>Gate G1</w:t>
            </w:r>
          </w:p>
        </w:tc>
        <w:tc>
          <w:tcPr>
            <w:tcW w:type="dxa" w:w="5156"/>
            <w:shd w:fill="0D2A3F"/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b/>
                <w:color w:val="FFFFFF"/>
                <w:sz w:val="16"/>
              </w:rPr>
              <w:t>Cible</w:t>
            </w:r>
          </w:p>
        </w:tc>
      </w:tr>
      <w:tr>
        <w:tc>
          <w:tcPr>
            <w:tcW w:type="dxa" w:w="5156"/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sz w:val="16"/>
              </w:rPr>
              <w:t>Awards propres</w:t>
            </w:r>
          </w:p>
        </w:tc>
        <w:tc>
          <w:tcPr>
            <w:tcW w:type="dxa" w:w="5156"/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sz w:val="16"/>
              </w:rPr>
              <w:t>100 adjudications récentes correctement reconstruites</w:t>
            </w:r>
          </w:p>
        </w:tc>
      </w:tr>
      <w:tr>
        <w:tc>
          <w:tcPr>
            <w:tcW w:type="dxa" w:w="5156"/>
            <w:vAlign w:val="center"/>
            <w:shd w:fill="F4F7F9"/>
          </w:tcPr>
          <w:p>
            <w:pPr>
              <w:spacing w:after="0"/>
            </w:pPr>
            <w:r>
              <w:rPr>
                <w:rFonts w:ascii="Aptos" w:hAnsi="Aptos" w:eastAsia="Aptos"/>
                <w:sz w:val="16"/>
              </w:rPr>
              <w:t>Sources</w:t>
            </w:r>
          </w:p>
        </w:tc>
        <w:tc>
          <w:tcPr>
            <w:tcW w:type="dxa" w:w="5156"/>
            <w:vAlign w:val="center"/>
            <w:shd w:fill="F4F7F9"/>
          </w:tcPr>
          <w:p>
            <w:pPr>
              <w:spacing w:after="0"/>
            </w:pPr>
            <w:r>
              <w:rPr>
                <w:rFonts w:ascii="Aptos" w:hAnsi="Aptos" w:eastAsia="Aptos"/>
                <w:sz w:val="16"/>
              </w:rPr>
              <w:t>Mix Suisse + UE</w:t>
            </w:r>
          </w:p>
        </w:tc>
      </w:tr>
      <w:tr>
        <w:tc>
          <w:tcPr>
            <w:tcW w:type="dxa" w:w="5156"/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sz w:val="16"/>
              </w:rPr>
              <w:t>Duplication</w:t>
            </w:r>
          </w:p>
        </w:tc>
        <w:tc>
          <w:tcPr>
            <w:tcW w:type="dxa" w:w="5156"/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sz w:val="16"/>
              </w:rPr>
              <w:t>0 doublon critique connu</w:t>
            </w:r>
          </w:p>
        </w:tc>
      </w:tr>
    </w:tbl>
    <w:p>
      <w:pPr>
        <w:spacing w:after="20"/>
      </w:pPr>
    </w:p>
    <w:p>
      <w:pPr>
        <w:pStyle w:val="Heading1"/>
        <w:pBdr>
          <w:bottom w:val="single" w:sz="10" w:space="4" w:color="0E9AA7"/>
        </w:pBdr>
      </w:pPr>
      <w:r>
        <w:t>4. Sprint 2 — Winner Resolution &amp; Contract Understanding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12"/>
      </w:tblGrid>
      <w:tr>
        <w:trPr>
          <w:cantSplit/>
        </w:trPr>
        <w:tc>
          <w:tcPr>
            <w:tcW w:type="dxa" w:w="10312"/>
            <w:shd w:fill="EAF5F6"/>
            <w:tcBorders>
              <w:top w:val="nil"/>
              <w:left w:val="single" w:sz="24" w:color="0E9AA7"/>
              <w:bottom w:val="nil"/>
              <w:right w:val="nil"/>
            </w:tcBorders>
          </w:tcPr>
          <w:p>
            <w:pPr>
              <w:spacing w:after="20"/>
            </w:pPr>
            <w:r>
              <w:rPr>
                <w:rFonts w:ascii="Aptos" w:hAnsi="Aptos" w:eastAsia="Aptos"/>
                <w:b/>
                <w:color w:val="0E9AA7"/>
                <w:sz w:val="15"/>
              </w:rPr>
              <w:t>DURÉE CIBLE</w:t>
            </w:r>
          </w:p>
          <w:p>
            <w:pPr>
              <w:spacing w:after="20"/>
            </w:pPr>
            <w:r>
              <w:rPr>
                <w:rFonts w:ascii="Aptos" w:hAnsi="Aptos" w:eastAsia="Aptos"/>
                <w:b/>
                <w:color w:val="0D2A3F"/>
                <w:sz w:val="24"/>
              </w:rPr>
              <w:t>2 à 4 jours</w:t>
            </w:r>
          </w:p>
        </w:tc>
      </w:tr>
    </w:tbl>
    <w:p>
      <w:pPr>
        <w:spacing w:after="0"/>
      </w:pPr>
    </w:p>
    <w:p>
      <w:pPr>
        <w:pStyle w:val="ListBullet"/>
        <w:spacing w:after="40"/>
        <w:ind w:left="255" w:hanging="113"/>
      </w:pPr>
      <w:r>
        <w:rPr>
          <w:rFonts w:ascii="Aptos" w:hAnsi="Aptos" w:eastAsia="Aptos"/>
          <w:sz w:val="18"/>
        </w:rPr>
        <w:t>Normaliser le nom légal du gagnant et ses identifiants disponibles.</w:t>
      </w:r>
    </w:p>
    <w:p>
      <w:pPr>
        <w:pStyle w:val="ListBullet"/>
        <w:spacing w:after="40"/>
        <w:ind w:left="255" w:hanging="113"/>
      </w:pPr>
      <w:r>
        <w:rPr>
          <w:rFonts w:ascii="Aptos" w:hAnsi="Aptos" w:eastAsia="Aptos"/>
          <w:sz w:val="18"/>
        </w:rPr>
        <w:t>Dédupliquer les variantes de nom et distinguer les consortiums.</w:t>
      </w:r>
    </w:p>
    <w:p>
      <w:pPr>
        <w:pStyle w:val="ListBullet"/>
        <w:spacing w:after="40"/>
        <w:ind w:left="255" w:hanging="113"/>
      </w:pPr>
      <w:r>
        <w:rPr>
          <w:rFonts w:ascii="Aptos" w:hAnsi="Aptos" w:eastAsia="Aptos"/>
          <w:sz w:val="18"/>
        </w:rPr>
        <w:t>Structurer le contrat : type de projet, secteur, intensité opérationnelle, lieu, taille, durée et contraintes visibles.</w:t>
      </w:r>
    </w:p>
    <w:p>
      <w:pPr>
        <w:pStyle w:val="ListBullet"/>
        <w:spacing w:after="40"/>
        <w:ind w:left="255" w:hanging="113"/>
      </w:pPr>
      <w:r>
        <w:rPr>
          <w:rFonts w:ascii="Aptos" w:hAnsi="Aptos" w:eastAsia="Aptos"/>
          <w:sz w:val="18"/>
        </w:rPr>
        <w:t>Produire un résumé court, vérifiable et non promotionnel.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rPr>
          <w:tblHeader w:val="true"/>
        </w:trPr>
        <w:tc>
          <w:tcPr>
            <w:tcW w:type="dxa" w:w="5156"/>
            <w:shd w:fill="0D2A3F"/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b/>
                <w:color w:val="FFFFFF"/>
                <w:sz w:val="16"/>
              </w:rPr>
              <w:t>EVAL-A</w:t>
            </w:r>
          </w:p>
        </w:tc>
        <w:tc>
          <w:tcPr>
            <w:tcW w:type="dxa" w:w="5156"/>
            <w:shd w:fill="0D2A3F"/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b/>
                <w:color w:val="FFFFFF"/>
                <w:sz w:val="16"/>
              </w:rPr>
              <w:t>Mesure</w:t>
            </w:r>
          </w:p>
        </w:tc>
      </w:tr>
      <w:tr>
        <w:tc>
          <w:tcPr>
            <w:tcW w:type="dxa" w:w="5156"/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sz w:val="16"/>
              </w:rPr>
              <w:t>Winner accuracy</w:t>
            </w:r>
          </w:p>
        </w:tc>
        <w:tc>
          <w:tcPr>
            <w:tcW w:type="dxa" w:w="5156"/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sz w:val="16"/>
              </w:rPr>
              <w:t>Le bon gagnant est relié au bon lot</w:t>
            </w:r>
          </w:p>
        </w:tc>
      </w:tr>
      <w:tr>
        <w:tc>
          <w:tcPr>
            <w:tcW w:type="dxa" w:w="5156"/>
            <w:vAlign w:val="center"/>
            <w:shd w:fill="F4F7F9"/>
          </w:tcPr>
          <w:p>
            <w:pPr>
              <w:spacing w:after="0"/>
            </w:pPr>
            <w:r>
              <w:rPr>
                <w:rFonts w:ascii="Aptos" w:hAnsi="Aptos" w:eastAsia="Aptos"/>
                <w:sz w:val="16"/>
              </w:rPr>
              <w:t>Contract type</w:t>
            </w:r>
          </w:p>
        </w:tc>
        <w:tc>
          <w:tcPr>
            <w:tcW w:type="dxa" w:w="5156"/>
            <w:vAlign w:val="center"/>
            <w:shd w:fill="F4F7F9"/>
          </w:tcPr>
          <w:p>
            <w:pPr>
              <w:spacing w:after="0"/>
            </w:pPr>
            <w:r>
              <w:rPr>
                <w:rFonts w:ascii="Aptos" w:hAnsi="Aptos" w:eastAsia="Aptos"/>
                <w:sz w:val="16"/>
              </w:rPr>
              <w:t>Le type de projet est correctement compris</w:t>
            </w:r>
          </w:p>
        </w:tc>
      </w:tr>
      <w:tr>
        <w:tc>
          <w:tcPr>
            <w:tcW w:type="dxa" w:w="5156"/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sz w:val="16"/>
              </w:rPr>
              <w:t>Value/date</w:t>
            </w:r>
          </w:p>
        </w:tc>
        <w:tc>
          <w:tcPr>
            <w:tcW w:type="dxa" w:w="5156"/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sz w:val="16"/>
              </w:rPr>
              <w:t>Montant et timing correctement capturés</w:t>
            </w:r>
          </w:p>
        </w:tc>
      </w:tr>
      <w:tr>
        <w:tc>
          <w:tcPr>
            <w:tcW w:type="dxa" w:w="5156"/>
            <w:vAlign w:val="center"/>
            <w:shd w:fill="F4F7F9"/>
          </w:tcPr>
          <w:p>
            <w:pPr>
              <w:spacing w:after="0"/>
            </w:pPr>
            <w:r>
              <w:rPr>
                <w:rFonts w:ascii="Aptos" w:hAnsi="Aptos" w:eastAsia="Aptos"/>
                <w:sz w:val="16"/>
              </w:rPr>
              <w:t>Evidence</w:t>
            </w:r>
          </w:p>
        </w:tc>
        <w:tc>
          <w:tcPr>
            <w:tcW w:type="dxa" w:w="5156"/>
            <w:vAlign w:val="center"/>
            <w:shd w:fill="F4F7F9"/>
          </w:tcPr>
          <w:p>
            <w:pPr>
              <w:spacing w:after="0"/>
            </w:pPr>
            <w:r>
              <w:rPr>
                <w:rFonts w:ascii="Aptos" w:hAnsi="Aptos" w:eastAsia="Aptos"/>
                <w:sz w:val="16"/>
              </w:rPr>
              <w:t>Chaque élément critique renvoie à sa source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12"/>
      </w:tblGrid>
      <w:tr>
        <w:trPr>
          <w:cantSplit/>
        </w:trPr>
        <w:tc>
          <w:tcPr>
            <w:tcW w:type="dxa" w:w="10312"/>
            <w:shd w:fill="EAF5F6"/>
            <w:tcBorders>
              <w:top w:val="nil"/>
              <w:left w:val="single" w:sz="24" w:color="0E9AA7"/>
              <w:bottom w:val="nil"/>
              <w:right w:val="nil"/>
            </w:tcBorders>
          </w:tcPr>
          <w:p>
            <w:pPr>
              <w:spacing w:after="20"/>
            </w:pPr>
            <w:r>
              <w:rPr>
                <w:rFonts w:ascii="Aptos" w:hAnsi="Aptos" w:eastAsia="Aptos"/>
                <w:b/>
                <w:color w:val="0E9AA7"/>
                <w:sz w:val="15"/>
              </w:rPr>
              <w:t>GATE G2</w:t>
            </w:r>
          </w:p>
          <w:p>
            <w:pPr>
              <w:spacing w:after="20"/>
            </w:pPr>
            <w:r>
              <w:rPr>
                <w:rFonts w:ascii="Aptos" w:hAnsi="Aptos" w:eastAsia="Aptos"/>
                <w:b/>
                <w:color w:val="0D2A3F"/>
                <w:sz w:val="24"/>
              </w:rPr>
              <w:t>≥ 95 % des 100 dossiers pilotes ont un gagnant et un événement correctement compris, ou sont explicitement marqués “à vérifier”.</w:t>
            </w:r>
          </w:p>
        </w:tc>
      </w:tr>
    </w:tbl>
    <w:p>
      <w:pPr>
        <w:spacing w:after="0"/>
      </w:pPr>
    </w:p>
    <w:p>
      <w:pPr>
        <w:pStyle w:val="Heading1"/>
        <w:pBdr>
          <w:bottom w:val="single" w:sz="10" w:space="4" w:color="0E9AA7"/>
        </w:pBdr>
      </w:pPr>
      <w:r>
        <w:t>5. Sprint 3 — Need Graph V0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12"/>
      </w:tblGrid>
      <w:tr>
        <w:trPr>
          <w:cantSplit/>
        </w:trPr>
        <w:tc>
          <w:tcPr>
            <w:tcW w:type="dxa" w:w="10312"/>
            <w:shd w:fill="EAF5F6"/>
            <w:tcBorders>
              <w:top w:val="nil"/>
              <w:left w:val="single" w:sz="24" w:color="0E9AA7"/>
              <w:bottom w:val="nil"/>
              <w:right w:val="nil"/>
            </w:tcBorders>
          </w:tcPr>
          <w:p>
            <w:pPr>
              <w:spacing w:after="20"/>
            </w:pPr>
            <w:r>
              <w:rPr>
                <w:rFonts w:ascii="Aptos" w:hAnsi="Aptos" w:eastAsia="Aptos"/>
                <w:b/>
                <w:color w:val="0E9AA7"/>
                <w:sz w:val="15"/>
              </w:rPr>
              <w:t>DURÉE CIBLE</w:t>
            </w:r>
          </w:p>
          <w:p>
            <w:pPr>
              <w:spacing w:after="20"/>
            </w:pPr>
            <w:r>
              <w:rPr>
                <w:rFonts w:ascii="Aptos" w:hAnsi="Aptos" w:eastAsia="Aptos"/>
                <w:b/>
                <w:color w:val="0D2A3F"/>
                <w:sz w:val="24"/>
              </w:rPr>
              <w:t>3 à 5 jours</w:t>
            </w:r>
          </w:p>
        </w:tc>
      </w:tr>
    </w:tbl>
    <w:p>
      <w:pPr>
        <w:spacing w:after="0"/>
      </w:pPr>
    </w:p>
    <w:p>
      <w:r>
        <w:rPr>
          <w:rFonts w:ascii="Aptos" w:hAnsi="Aptos" w:eastAsia="Aptos"/>
        </w:rPr>
        <w:t>Construire une première bibliothèque explicable de relations “type de contrat → besoins possibles”, limitée aux catégories qui peuvent être testées commercialement rapidement.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rPr>
          <w:tblHeader w:val="true"/>
        </w:trPr>
        <w:tc>
          <w:tcPr>
            <w:tcW w:type="dxa" w:w="5156"/>
            <w:shd w:fill="0D2A3F"/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b/>
                <w:color w:val="FFFFFF"/>
                <w:sz w:val="16"/>
              </w:rPr>
              <w:t>Type d’événement</w:t>
            </w:r>
          </w:p>
        </w:tc>
        <w:tc>
          <w:tcPr>
            <w:tcW w:type="dxa" w:w="5156"/>
            <w:shd w:fill="0D2A3F"/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b/>
                <w:color w:val="FFFFFF"/>
                <w:sz w:val="16"/>
              </w:rPr>
              <w:t>Besoins candidats — exemples</w:t>
            </w:r>
          </w:p>
        </w:tc>
      </w:tr>
      <w:tr>
        <w:tc>
          <w:tcPr>
            <w:tcW w:type="dxa" w:w="5156"/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sz w:val="16"/>
              </w:rPr>
              <w:t>Chantier important</w:t>
            </w:r>
          </w:p>
        </w:tc>
        <w:tc>
          <w:tcPr>
            <w:tcW w:type="dxa" w:w="5156"/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sz w:val="16"/>
              </w:rPr>
              <w:t>main-d’œuvre, location, EPI, transport, nettoyage, sous-traitance</w:t>
            </w:r>
          </w:p>
        </w:tc>
      </w:tr>
      <w:tr>
        <w:tc>
          <w:tcPr>
            <w:tcW w:type="dxa" w:w="5156"/>
            <w:vAlign w:val="center"/>
            <w:shd w:fill="F4F7F9"/>
          </w:tcPr>
          <w:p>
            <w:pPr>
              <w:spacing w:after="0"/>
            </w:pPr>
            <w:r>
              <w:rPr>
                <w:rFonts w:ascii="Aptos" w:hAnsi="Aptos" w:eastAsia="Aptos"/>
                <w:sz w:val="16"/>
              </w:rPr>
              <w:t>Transformation IT</w:t>
            </w:r>
          </w:p>
        </w:tc>
        <w:tc>
          <w:tcPr>
            <w:tcW w:type="dxa" w:w="5156"/>
            <w:vAlign w:val="center"/>
            <w:shd w:fill="F4F7F9"/>
          </w:tcPr>
          <w:p>
            <w:pPr>
              <w:spacing w:after="0"/>
            </w:pPr>
            <w:r>
              <w:rPr>
                <w:rFonts w:ascii="Aptos" w:hAnsi="Aptos" w:eastAsia="Aptos"/>
                <w:sz w:val="16"/>
              </w:rPr>
              <w:t>recrutement, cybersécurité, cloud, hardware, sous-traitance spécialisée</w:t>
            </w:r>
          </w:p>
        </w:tc>
      </w:tr>
      <w:tr>
        <w:tc>
          <w:tcPr>
            <w:tcW w:type="dxa" w:w="5156"/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sz w:val="16"/>
              </w:rPr>
              <w:t>Contrat industriel</w:t>
            </w:r>
          </w:p>
        </w:tc>
        <w:tc>
          <w:tcPr>
            <w:tcW w:type="dxa" w:w="5156"/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sz w:val="16"/>
              </w:rPr>
              <w:t>logistique, composants, maintenance, machines, recrutement</w:t>
            </w:r>
          </w:p>
        </w:tc>
      </w:tr>
    </w:tbl>
    <w:p>
      <w:pPr>
        <w:spacing w:after="20"/>
      </w:pPr>
    </w:p>
    <w:p>
      <w:pPr>
        <w:pStyle w:val="ListBullet"/>
        <w:spacing w:after="40"/>
        <w:ind w:left="255" w:hanging="113"/>
      </w:pPr>
      <w:r>
        <w:rPr>
          <w:rFonts w:ascii="Aptos" w:hAnsi="Aptos" w:eastAsia="Aptos"/>
          <w:sz w:val="18"/>
        </w:rPr>
        <w:t>Chaque relation porte un niveau de confiance et une justification.</w:t>
      </w:r>
    </w:p>
    <w:p>
      <w:pPr>
        <w:pStyle w:val="ListBullet"/>
        <w:spacing w:after="40"/>
        <w:ind w:left="255" w:hanging="113"/>
      </w:pPr>
      <w:r>
        <w:rPr>
          <w:rFonts w:ascii="Aptos" w:hAnsi="Aptos" w:eastAsia="Aptos"/>
          <w:sz w:val="18"/>
        </w:rPr>
        <w:t>Éviter les besoins trop génériques ou trop éloignés du contrat.</w:t>
      </w:r>
    </w:p>
    <w:p>
      <w:pPr>
        <w:pStyle w:val="ListBullet"/>
        <w:spacing w:after="40"/>
        <w:ind w:left="255" w:hanging="113"/>
      </w:pPr>
      <w:r>
        <w:rPr>
          <w:rFonts w:ascii="Aptos" w:hAnsi="Aptos" w:eastAsia="Aptos"/>
          <w:sz w:val="18"/>
        </w:rPr>
        <w:t>Ajouter un signal de timing : immédiat / semaines / mois / incertain.</w:t>
      </w:r>
    </w:p>
    <w:p>
      <w:pPr>
        <w:pStyle w:val="ListBullet"/>
        <w:spacing w:after="40"/>
        <w:ind w:left="255" w:hanging="113"/>
      </w:pPr>
      <w:r>
        <w:rPr>
          <w:rFonts w:ascii="Aptos" w:hAnsi="Aptos" w:eastAsia="Aptos"/>
          <w:sz w:val="18"/>
        </w:rPr>
        <w:t>Limiter la sortie à 1–5 besoins utiles, jamais une liste exhaustive.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12"/>
      </w:tblGrid>
      <w:tr>
        <w:trPr>
          <w:cantSplit/>
        </w:trPr>
        <w:tc>
          <w:tcPr>
            <w:tcW w:type="dxa" w:w="10312"/>
            <w:shd w:fill="EAF5F6"/>
            <w:tcBorders>
              <w:top w:val="nil"/>
              <w:left w:val="single" w:sz="24" w:color="0E9AA7"/>
              <w:bottom w:val="nil"/>
              <w:right w:val="nil"/>
            </w:tcBorders>
          </w:tcPr>
          <w:p>
            <w:pPr>
              <w:spacing w:after="20"/>
            </w:pPr>
            <w:r>
              <w:rPr>
                <w:rFonts w:ascii="Aptos" w:hAnsi="Aptos" w:eastAsia="Aptos"/>
                <w:b/>
                <w:color w:val="0E9AA7"/>
                <w:sz w:val="15"/>
              </w:rPr>
              <w:t>GATE G3</w:t>
            </w:r>
          </w:p>
          <w:p>
            <w:pPr>
              <w:spacing w:after="20"/>
            </w:pPr>
            <w:r>
              <w:rPr>
                <w:rFonts w:ascii="Aptos" w:hAnsi="Aptos" w:eastAsia="Aptos"/>
                <w:b/>
                <w:color w:val="0D2A3F"/>
                <w:sz w:val="24"/>
              </w:rPr>
              <w:t>Revue humaine : aucun besoin à forte confiance ne doit être absurde ou impossible à justifier à partir du type de contrat.</w:t>
            </w:r>
          </w:p>
        </w:tc>
      </w:tr>
    </w:tbl>
    <w:p>
      <w:pPr>
        <w:spacing w:after="0"/>
      </w:pPr>
    </w:p>
    <w:p>
      <w:pPr>
        <w:pStyle w:val="Heading1"/>
        <w:pBdr>
          <w:bottom w:val="single" w:sz="10" w:space="4" w:color="0E9AA7"/>
        </w:pBdr>
      </w:pPr>
      <w:r>
        <w:t>6. Sprint 4 — ICP Matching &amp; Signal Score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12"/>
      </w:tblGrid>
      <w:tr>
        <w:trPr>
          <w:cantSplit/>
        </w:trPr>
        <w:tc>
          <w:tcPr>
            <w:tcW w:type="dxa" w:w="10312"/>
            <w:shd w:fill="EAF5F6"/>
            <w:tcBorders>
              <w:top w:val="nil"/>
              <w:left w:val="single" w:sz="24" w:color="0E9AA7"/>
              <w:bottom w:val="nil"/>
              <w:right w:val="nil"/>
            </w:tcBorders>
          </w:tcPr>
          <w:p>
            <w:pPr>
              <w:spacing w:after="20"/>
            </w:pPr>
            <w:r>
              <w:rPr>
                <w:rFonts w:ascii="Aptos" w:hAnsi="Aptos" w:eastAsia="Aptos"/>
                <w:b/>
                <w:color w:val="0E9AA7"/>
                <w:sz w:val="15"/>
              </w:rPr>
              <w:t>DURÉE CIBLE</w:t>
            </w:r>
          </w:p>
          <w:p>
            <w:pPr>
              <w:spacing w:after="20"/>
            </w:pPr>
            <w:r>
              <w:rPr>
                <w:rFonts w:ascii="Aptos" w:hAnsi="Aptos" w:eastAsia="Aptos"/>
                <w:b/>
                <w:color w:val="0D2A3F"/>
                <w:sz w:val="24"/>
              </w:rPr>
              <w:t>2 à 4 jours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rPr>
          <w:tblHeader w:val="true"/>
        </w:trPr>
        <w:tc>
          <w:tcPr>
            <w:tcW w:type="dxa" w:w="5156"/>
            <w:shd w:fill="0D2A3F"/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b/>
                <w:color w:val="FFFFFF"/>
                <w:sz w:val="16"/>
              </w:rPr>
              <w:t>Composante</w:t>
            </w:r>
          </w:p>
        </w:tc>
        <w:tc>
          <w:tcPr>
            <w:tcW w:type="dxa" w:w="5156"/>
            <w:shd w:fill="0D2A3F"/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b/>
                <w:color w:val="FFFFFF"/>
                <w:sz w:val="16"/>
              </w:rPr>
              <w:t>Poids V0 indicatif</w:t>
            </w:r>
          </w:p>
        </w:tc>
      </w:tr>
      <w:tr>
        <w:tc>
          <w:tcPr>
            <w:tcW w:type="dxa" w:w="5156"/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sz w:val="16"/>
              </w:rPr>
              <w:t>Fit besoin ↔ offre client</w:t>
            </w:r>
          </w:p>
        </w:tc>
        <w:tc>
          <w:tcPr>
            <w:tcW w:type="dxa" w:w="5156"/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sz w:val="16"/>
              </w:rPr>
              <w:t>30 %</w:t>
            </w:r>
          </w:p>
        </w:tc>
      </w:tr>
      <w:tr>
        <w:tc>
          <w:tcPr>
            <w:tcW w:type="dxa" w:w="5156"/>
            <w:vAlign w:val="center"/>
            <w:shd w:fill="F4F7F9"/>
          </w:tcPr>
          <w:p>
            <w:pPr>
              <w:spacing w:after="0"/>
            </w:pPr>
            <w:r>
              <w:rPr>
                <w:rFonts w:ascii="Aptos" w:hAnsi="Aptos" w:eastAsia="Aptos"/>
                <w:sz w:val="16"/>
              </w:rPr>
              <w:t>Fit gagnant ↔ ICP</w:t>
            </w:r>
          </w:p>
        </w:tc>
        <w:tc>
          <w:tcPr>
            <w:tcW w:type="dxa" w:w="5156"/>
            <w:vAlign w:val="center"/>
            <w:shd w:fill="F4F7F9"/>
          </w:tcPr>
          <w:p>
            <w:pPr>
              <w:spacing w:after="0"/>
            </w:pPr>
            <w:r>
              <w:rPr>
                <w:rFonts w:ascii="Aptos" w:hAnsi="Aptos" w:eastAsia="Aptos"/>
                <w:sz w:val="16"/>
              </w:rPr>
              <w:t>20 %</w:t>
            </w:r>
          </w:p>
        </w:tc>
      </w:tr>
      <w:tr>
        <w:tc>
          <w:tcPr>
            <w:tcW w:type="dxa" w:w="5156"/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sz w:val="16"/>
              </w:rPr>
              <w:t>Impact économique du contrat</w:t>
            </w:r>
          </w:p>
        </w:tc>
        <w:tc>
          <w:tcPr>
            <w:tcW w:type="dxa" w:w="5156"/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sz w:val="16"/>
              </w:rPr>
              <w:t>15 %</w:t>
            </w:r>
          </w:p>
        </w:tc>
      </w:tr>
      <w:tr>
        <w:tc>
          <w:tcPr>
            <w:tcW w:type="dxa" w:w="5156"/>
            <w:vAlign w:val="center"/>
            <w:shd w:fill="F4F7F9"/>
          </w:tcPr>
          <w:p>
            <w:pPr>
              <w:spacing w:after="0"/>
            </w:pPr>
            <w:r>
              <w:rPr>
                <w:rFonts w:ascii="Aptos" w:hAnsi="Aptos" w:eastAsia="Aptos"/>
                <w:sz w:val="16"/>
              </w:rPr>
              <w:t>Géographie</w:t>
            </w:r>
          </w:p>
        </w:tc>
        <w:tc>
          <w:tcPr>
            <w:tcW w:type="dxa" w:w="5156"/>
            <w:vAlign w:val="center"/>
            <w:shd w:fill="F4F7F9"/>
          </w:tcPr>
          <w:p>
            <w:pPr>
              <w:spacing w:after="0"/>
            </w:pPr>
            <w:r>
              <w:rPr>
                <w:rFonts w:ascii="Aptos" w:hAnsi="Aptos" w:eastAsia="Aptos"/>
                <w:sz w:val="16"/>
              </w:rPr>
              <w:t>15 %</w:t>
            </w:r>
          </w:p>
        </w:tc>
      </w:tr>
      <w:tr>
        <w:tc>
          <w:tcPr>
            <w:tcW w:type="dxa" w:w="5156"/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sz w:val="16"/>
              </w:rPr>
              <w:t>Fraîcheur / timing</w:t>
            </w:r>
          </w:p>
        </w:tc>
        <w:tc>
          <w:tcPr>
            <w:tcW w:type="dxa" w:w="5156"/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sz w:val="16"/>
              </w:rPr>
              <w:t>10 %</w:t>
            </w:r>
          </w:p>
        </w:tc>
      </w:tr>
      <w:tr>
        <w:tc>
          <w:tcPr>
            <w:tcW w:type="dxa" w:w="5156"/>
            <w:vAlign w:val="center"/>
            <w:shd w:fill="F4F7F9"/>
          </w:tcPr>
          <w:p>
            <w:pPr>
              <w:spacing w:after="0"/>
            </w:pPr>
            <w:r>
              <w:rPr>
                <w:rFonts w:ascii="Aptos" w:hAnsi="Aptos" w:eastAsia="Aptos"/>
                <w:sz w:val="16"/>
              </w:rPr>
              <w:t>Confiance data + inférence</w:t>
            </w:r>
          </w:p>
        </w:tc>
        <w:tc>
          <w:tcPr>
            <w:tcW w:type="dxa" w:w="5156"/>
            <w:vAlign w:val="center"/>
            <w:shd w:fill="F4F7F9"/>
          </w:tcPr>
          <w:p>
            <w:pPr>
              <w:spacing w:after="0"/>
            </w:pPr>
            <w:r>
              <w:rPr>
                <w:rFonts w:ascii="Aptos" w:hAnsi="Aptos" w:eastAsia="Aptos"/>
                <w:sz w:val="16"/>
              </w:rPr>
              <w:t>10 %</w:t>
            </w:r>
          </w:p>
        </w:tc>
      </w:tr>
    </w:tbl>
    <w:p>
      <w:pPr>
        <w:spacing w:after="20"/>
      </w:pPr>
    </w:p>
    <w:p>
      <w:r>
        <w:rPr>
          <w:rFonts w:ascii="Aptos" w:hAnsi="Aptos" w:eastAsia="Aptos"/>
        </w:rPr>
        <w:t>Le score ne doit jamais être affiché seul. Exemple : “Signal fort — contrat de 8,4 M€, nouveau chantier, entreprise dans votre zone, besoin probable de renfort opérationnel.”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12"/>
      </w:tblGrid>
      <w:tr>
        <w:trPr>
          <w:cantSplit/>
        </w:trPr>
        <w:tc>
          <w:tcPr>
            <w:tcW w:type="dxa" w:w="10312"/>
            <w:shd w:fill="EAF5F6"/>
            <w:tcBorders>
              <w:top w:val="nil"/>
              <w:left w:val="single" w:sz="24" w:color="0E9AA7"/>
              <w:bottom w:val="nil"/>
              <w:right w:val="nil"/>
            </w:tcBorders>
          </w:tcPr>
          <w:p>
            <w:pPr>
              <w:spacing w:after="20"/>
            </w:pPr>
            <w:r>
              <w:rPr>
                <w:rFonts w:ascii="Aptos" w:hAnsi="Aptos" w:eastAsia="Aptos"/>
                <w:b/>
                <w:color w:val="0E9AA7"/>
                <w:sz w:val="15"/>
              </w:rPr>
              <w:t>GATE G4</w:t>
            </w:r>
          </w:p>
          <w:p>
            <w:pPr>
              <w:spacing w:after="20"/>
            </w:pPr>
            <w:r>
              <w:rPr>
                <w:rFonts w:ascii="Aptos" w:hAnsi="Aptos" w:eastAsia="Aptos"/>
                <w:b/>
                <w:color w:val="0D2A3F"/>
                <w:sz w:val="24"/>
              </w:rPr>
              <w:t>Pour un ICP donné, les signaux les mieux classés doivent être nettement plus actionnables que le flux brut d’adjudications.</w:t>
            </w:r>
          </w:p>
        </w:tc>
      </w:tr>
    </w:tbl>
    <w:p>
      <w:pPr>
        <w:spacing w:after="0"/>
      </w:pPr>
    </w:p>
    <w:p>
      <w:pPr>
        <w:pStyle w:val="Heading1"/>
        <w:pBdr>
          <w:bottom w:val="single" w:sz="10" w:space="4" w:color="0E9AA7"/>
        </w:pBdr>
      </w:pPr>
      <w:r>
        <w:t>7. Sprint 5 — 100 Signal Benchmark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12"/>
      </w:tblGrid>
      <w:tr>
        <w:trPr>
          <w:cantSplit/>
        </w:trPr>
        <w:tc>
          <w:tcPr>
            <w:tcW w:type="dxa" w:w="10312"/>
            <w:shd w:fill="EAF5F6"/>
            <w:tcBorders>
              <w:top w:val="nil"/>
              <w:left w:val="single" w:sz="24" w:color="0E9AA7"/>
              <w:bottom w:val="nil"/>
              <w:right w:val="nil"/>
            </w:tcBorders>
          </w:tcPr>
          <w:p>
            <w:pPr>
              <w:spacing w:after="20"/>
            </w:pPr>
            <w:r>
              <w:rPr>
                <w:rFonts w:ascii="Aptos" w:hAnsi="Aptos" w:eastAsia="Aptos"/>
                <w:b/>
                <w:color w:val="0E9AA7"/>
                <w:sz w:val="15"/>
              </w:rPr>
              <w:t>DURÉE CIBLE</w:t>
            </w:r>
          </w:p>
          <w:p>
            <w:pPr>
              <w:spacing w:after="20"/>
            </w:pPr>
            <w:r>
              <w:rPr>
                <w:rFonts w:ascii="Aptos" w:hAnsi="Aptos" w:eastAsia="Aptos"/>
                <w:b/>
                <w:color w:val="0D2A3F"/>
                <w:sz w:val="24"/>
              </w:rPr>
              <w:t>3 à 5 jours</w:t>
            </w:r>
          </w:p>
        </w:tc>
      </w:tr>
    </w:tbl>
    <w:p>
      <w:pPr>
        <w:spacing w:after="0"/>
      </w:pPr>
    </w:p>
    <w:p>
      <w:r>
        <w:rPr>
          <w:rFonts w:ascii="Aptos" w:hAnsi="Aptos" w:eastAsia="Aptos"/>
        </w:rPr>
        <w:t>Le benchmark de 100 signaux devient notre premier EVAL permanent. Chaque signal est revu : fait, gagnant, besoin, timing, ICP, preuve, utilité commerciale.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rPr>
          <w:tblHeader w:val="true"/>
        </w:trPr>
        <w:tc>
          <w:tcPr>
            <w:tcW w:type="dxa" w:w="5156"/>
            <w:shd w:fill="0D2A3F"/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b/>
                <w:color w:val="FFFFFF"/>
                <w:sz w:val="16"/>
              </w:rPr>
              <w:t>Mesure</w:t>
            </w:r>
          </w:p>
        </w:tc>
        <w:tc>
          <w:tcPr>
            <w:tcW w:type="dxa" w:w="5156"/>
            <w:shd w:fill="0D2A3F"/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b/>
                <w:color w:val="FFFFFF"/>
                <w:sz w:val="16"/>
              </w:rPr>
              <w:t>Cible de départ</w:t>
            </w:r>
          </w:p>
        </w:tc>
      </w:tr>
      <w:tr>
        <w:tc>
          <w:tcPr>
            <w:tcW w:type="dxa" w:w="5156"/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sz w:val="16"/>
              </w:rPr>
              <w:t>Awards correctement compris</w:t>
            </w:r>
          </w:p>
        </w:tc>
        <w:tc>
          <w:tcPr>
            <w:tcW w:type="dxa" w:w="5156"/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sz w:val="16"/>
              </w:rPr>
              <w:t>≥ 90 %</w:t>
            </w:r>
          </w:p>
        </w:tc>
      </w:tr>
      <w:tr>
        <w:tc>
          <w:tcPr>
            <w:tcW w:type="dxa" w:w="5156"/>
            <w:vAlign w:val="center"/>
            <w:shd w:fill="F4F7F9"/>
          </w:tcPr>
          <w:p>
            <w:pPr>
              <w:spacing w:after="0"/>
            </w:pPr>
            <w:r>
              <w:rPr>
                <w:rFonts w:ascii="Aptos" w:hAnsi="Aptos" w:eastAsia="Aptos"/>
                <w:sz w:val="16"/>
              </w:rPr>
              <w:t>Signaux commercialement exploitables</w:t>
            </w:r>
          </w:p>
        </w:tc>
        <w:tc>
          <w:tcPr>
            <w:tcW w:type="dxa" w:w="5156"/>
            <w:vAlign w:val="center"/>
            <w:shd w:fill="F4F7F9"/>
          </w:tcPr>
          <w:p>
            <w:pPr>
              <w:spacing w:after="0"/>
            </w:pPr>
            <w:r>
              <w:rPr>
                <w:rFonts w:ascii="Aptos" w:hAnsi="Aptos" w:eastAsia="Aptos"/>
                <w:sz w:val="16"/>
              </w:rPr>
              <w:t>≥ 70 / 100</w:t>
            </w:r>
          </w:p>
        </w:tc>
      </w:tr>
      <w:tr>
        <w:tc>
          <w:tcPr>
            <w:tcW w:type="dxa" w:w="5156"/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sz w:val="16"/>
              </w:rPr>
              <w:t>Faux besoins critiques</w:t>
            </w:r>
          </w:p>
        </w:tc>
        <w:tc>
          <w:tcPr>
            <w:tcW w:type="dxa" w:w="5156"/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sz w:val="16"/>
              </w:rPr>
              <w:t>≤ 5 %</w:t>
            </w:r>
          </w:p>
        </w:tc>
      </w:tr>
      <w:tr>
        <w:tc>
          <w:tcPr>
            <w:tcW w:type="dxa" w:w="5156"/>
            <w:vAlign w:val="center"/>
            <w:shd w:fill="F4F7F9"/>
          </w:tcPr>
          <w:p>
            <w:pPr>
              <w:spacing w:after="0"/>
            </w:pPr>
            <w:r>
              <w:rPr>
                <w:rFonts w:ascii="Aptos" w:hAnsi="Aptos" w:eastAsia="Aptos"/>
                <w:sz w:val="16"/>
              </w:rPr>
              <w:t>Preuve accessible</w:t>
            </w:r>
          </w:p>
        </w:tc>
        <w:tc>
          <w:tcPr>
            <w:tcW w:type="dxa" w:w="5156"/>
            <w:vAlign w:val="center"/>
            <w:shd w:fill="F4F7F9"/>
          </w:tcPr>
          <w:p>
            <w:pPr>
              <w:spacing w:after="0"/>
            </w:pPr>
            <w:r>
              <w:rPr>
                <w:rFonts w:ascii="Aptos" w:hAnsi="Aptos" w:eastAsia="Aptos"/>
                <w:sz w:val="16"/>
              </w:rPr>
              <w:t>100 % des faits importants</w:t>
            </w:r>
          </w:p>
        </w:tc>
      </w:tr>
      <w:tr>
        <w:tc>
          <w:tcPr>
            <w:tcW w:type="dxa" w:w="5156"/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sz w:val="16"/>
              </w:rPr>
              <w:t>Signaux trop vagues</w:t>
            </w:r>
          </w:p>
        </w:tc>
        <w:tc>
          <w:tcPr>
            <w:tcW w:type="dxa" w:w="5156"/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sz w:val="16"/>
              </w:rPr>
              <w:t>&lt; 20 %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12"/>
      </w:tblGrid>
      <w:tr>
        <w:trPr>
          <w:cantSplit/>
        </w:trPr>
        <w:tc>
          <w:tcPr>
            <w:tcW w:type="dxa" w:w="10312"/>
            <w:shd w:fill="EAF5F6"/>
            <w:tcBorders>
              <w:top w:val="nil"/>
              <w:left w:val="single" w:sz="24" w:color="0E9AA7"/>
              <w:bottom w:val="nil"/>
              <w:right w:val="nil"/>
            </w:tcBorders>
          </w:tcPr>
          <w:p>
            <w:pPr>
              <w:spacing w:after="20"/>
            </w:pPr>
            <w:r>
              <w:rPr>
                <w:rFonts w:ascii="Aptos" w:hAnsi="Aptos" w:eastAsia="Aptos"/>
                <w:b/>
                <w:color w:val="0E9AA7"/>
                <w:sz w:val="15"/>
              </w:rPr>
              <w:t>GATE G5</w:t>
            </w:r>
          </w:p>
          <w:p>
            <w:pPr>
              <w:spacing w:after="20"/>
            </w:pPr>
            <w:r>
              <w:rPr>
                <w:rFonts w:ascii="Aptos" w:hAnsi="Aptos" w:eastAsia="Aptos"/>
                <w:b/>
                <w:color w:val="0D2A3F"/>
                <w:sz w:val="24"/>
              </w:rPr>
              <w:t>Si moins de 70/100 signaux sont réellement actionnables, on corrige le moteur avant d’ajouter une interface.</w:t>
            </w:r>
          </w:p>
        </w:tc>
      </w:tr>
    </w:tbl>
    <w:p>
      <w:pPr>
        <w:spacing w:after="0"/>
      </w:pPr>
    </w:p>
    <w:p>
      <w:pPr>
        <w:pStyle w:val="Heading1"/>
        <w:pBdr>
          <w:bottom w:val="single" w:sz="10" w:space="4" w:color="0E9AA7"/>
        </w:pBdr>
      </w:pPr>
      <w:r>
        <w:t>8. Sprint 6 — Pilot humain sans SaaS complet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12"/>
      </w:tblGrid>
      <w:tr>
        <w:trPr>
          <w:cantSplit/>
        </w:trPr>
        <w:tc>
          <w:tcPr>
            <w:tcW w:type="dxa" w:w="10312"/>
            <w:shd w:fill="EAF5F6"/>
            <w:tcBorders>
              <w:top w:val="nil"/>
              <w:left w:val="single" w:sz="24" w:color="0E9AA7"/>
              <w:bottom w:val="nil"/>
              <w:right w:val="nil"/>
            </w:tcBorders>
          </w:tcPr>
          <w:p>
            <w:pPr>
              <w:spacing w:after="20"/>
            </w:pPr>
            <w:r>
              <w:rPr>
                <w:rFonts w:ascii="Aptos" w:hAnsi="Aptos" w:eastAsia="Aptos"/>
                <w:b/>
                <w:color w:val="0E9AA7"/>
                <w:sz w:val="15"/>
              </w:rPr>
              <w:t>DURÉE CIBLE</w:t>
            </w:r>
          </w:p>
          <w:p>
            <w:pPr>
              <w:spacing w:after="20"/>
            </w:pPr>
            <w:r>
              <w:rPr>
                <w:rFonts w:ascii="Aptos" w:hAnsi="Aptos" w:eastAsia="Aptos"/>
                <w:b/>
                <w:color w:val="0D2A3F"/>
                <w:sz w:val="24"/>
              </w:rPr>
              <w:t>5 à 10 jours — le goulot devient humain</w:t>
            </w:r>
          </w:p>
        </w:tc>
      </w:tr>
    </w:tbl>
    <w:p>
      <w:pPr>
        <w:spacing w:after="0"/>
      </w:pPr>
    </w:p>
    <w:p>
      <w:r>
        <w:rPr>
          <w:rFonts w:ascii="Aptos" w:hAnsi="Aptos" w:eastAsia="Aptos"/>
        </w:rPr>
        <w:t>Choisir 1 à 2 catégories de fournisseurs selon la qualité du benchmark, puis recruter 10 professionnels. Leur livrer des signaux réels par e-mail ou page simple.</w:t>
      </w:r>
    </w:p>
    <w:p>
      <w:pPr>
        <w:pStyle w:val="ListNumber"/>
        <w:spacing w:after="40"/>
        <w:ind w:left="312" w:hanging="142"/>
      </w:pPr>
      <w:r>
        <w:rPr>
          <w:rFonts w:ascii="Aptos" w:hAnsi="Aptos" w:eastAsia="Aptos"/>
          <w:sz w:val="18"/>
        </w:rPr>
        <w:t>Demander leur ICP exact : ce qu’ils vendent, à qui, où, taille minimale.</w:t>
      </w:r>
    </w:p>
    <w:p>
      <w:pPr>
        <w:pStyle w:val="ListNumber"/>
        <w:spacing w:after="40"/>
        <w:ind w:left="312" w:hanging="142"/>
      </w:pPr>
      <w:r>
        <w:rPr>
          <w:rFonts w:ascii="Aptos" w:hAnsi="Aptos" w:eastAsia="Aptos"/>
          <w:sz w:val="18"/>
        </w:rPr>
        <w:t>Envoyer 3 à 10 signaux pertinents.</w:t>
      </w:r>
    </w:p>
    <w:p>
      <w:pPr>
        <w:pStyle w:val="ListNumber"/>
        <w:spacing w:after="40"/>
        <w:ind w:left="312" w:hanging="142"/>
      </w:pPr>
      <w:r>
        <w:rPr>
          <w:rFonts w:ascii="Aptos" w:hAnsi="Aptos" w:eastAsia="Aptos"/>
          <w:sz w:val="18"/>
        </w:rPr>
        <w:t>Demander : utile ? contacteriez-vous ? pourquoi ? information manquante ?</w:t>
      </w:r>
    </w:p>
    <w:p>
      <w:pPr>
        <w:pStyle w:val="ListNumber"/>
        <w:spacing w:after="40"/>
        <w:ind w:left="312" w:hanging="142"/>
      </w:pPr>
      <w:r>
        <w:rPr>
          <w:rFonts w:ascii="Aptos" w:hAnsi="Aptos" w:eastAsia="Aptos"/>
          <w:sz w:val="18"/>
        </w:rPr>
        <w:t>Observer surtout s’ils contactent réellement le gagnant.</w:t>
      </w:r>
    </w:p>
    <w:p>
      <w:pPr>
        <w:pStyle w:val="ListNumber"/>
        <w:spacing w:after="40"/>
        <w:ind w:left="312" w:hanging="142"/>
      </w:pPr>
      <w:r>
        <w:rPr>
          <w:rFonts w:ascii="Aptos" w:hAnsi="Aptos" w:eastAsia="Aptos"/>
          <w:sz w:val="18"/>
        </w:rPr>
        <w:t>Proposer un abonnement fondateur à 19–29 CHF/€ / mois.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rPr>
          <w:tblHeader w:val="true"/>
        </w:trPr>
        <w:tc>
          <w:tcPr>
            <w:tcW w:type="dxa" w:w="5156"/>
            <w:shd w:fill="0D2A3F"/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b/>
                <w:color w:val="FFFFFF"/>
                <w:sz w:val="16"/>
              </w:rPr>
              <w:t>Gate G6 — Usage</w:t>
            </w:r>
          </w:p>
        </w:tc>
        <w:tc>
          <w:tcPr>
            <w:tcW w:type="dxa" w:w="5156"/>
            <w:shd w:fill="0D2A3F"/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b/>
                <w:color w:val="FFFFFF"/>
                <w:sz w:val="16"/>
              </w:rPr>
              <w:t>Cible</w:t>
            </w:r>
          </w:p>
        </w:tc>
      </w:tr>
      <w:tr>
        <w:tc>
          <w:tcPr>
            <w:tcW w:type="dxa" w:w="5156"/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sz w:val="16"/>
              </w:rPr>
              <w:t>Professionnels testeurs</w:t>
            </w:r>
          </w:p>
        </w:tc>
        <w:tc>
          <w:tcPr>
            <w:tcW w:type="dxa" w:w="5156"/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sz w:val="16"/>
              </w:rPr>
              <w:t>≥ 10</w:t>
            </w:r>
          </w:p>
        </w:tc>
      </w:tr>
      <w:tr>
        <w:tc>
          <w:tcPr>
            <w:tcW w:type="dxa" w:w="5156"/>
            <w:vAlign w:val="center"/>
            <w:shd w:fill="F4F7F9"/>
          </w:tcPr>
          <w:p>
            <w:pPr>
              <w:spacing w:after="0"/>
            </w:pPr>
            <w:r>
              <w:rPr>
                <w:rFonts w:ascii="Aptos" w:hAnsi="Aptos" w:eastAsia="Aptos"/>
                <w:sz w:val="16"/>
              </w:rPr>
              <w:t>Jugent au moins un signal utile</w:t>
            </w:r>
          </w:p>
        </w:tc>
        <w:tc>
          <w:tcPr>
            <w:tcW w:type="dxa" w:w="5156"/>
            <w:vAlign w:val="center"/>
            <w:shd w:fill="F4F7F9"/>
          </w:tcPr>
          <w:p>
            <w:pPr>
              <w:spacing w:after="0"/>
            </w:pPr>
            <w:r>
              <w:rPr>
                <w:rFonts w:ascii="Aptos" w:hAnsi="Aptos" w:eastAsia="Aptos"/>
                <w:sz w:val="16"/>
              </w:rPr>
              <w:t>≥ 5</w:t>
            </w:r>
          </w:p>
        </w:tc>
      </w:tr>
      <w:tr>
        <w:tc>
          <w:tcPr>
            <w:tcW w:type="dxa" w:w="5156"/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sz w:val="16"/>
              </w:rPr>
              <w:t>Contactent réellement une entreprise</w:t>
            </w:r>
          </w:p>
        </w:tc>
        <w:tc>
          <w:tcPr>
            <w:tcW w:type="dxa" w:w="5156"/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sz w:val="16"/>
              </w:rPr>
              <w:t>≥ 3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rPr>
          <w:tblHeader w:val="true"/>
        </w:trPr>
        <w:tc>
          <w:tcPr>
            <w:tcW w:type="dxa" w:w="5156"/>
            <w:shd w:fill="0D2A3F"/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b/>
                <w:color w:val="FFFFFF"/>
                <w:sz w:val="16"/>
              </w:rPr>
              <w:t>Gate G7 — Revenu</w:t>
            </w:r>
          </w:p>
        </w:tc>
        <w:tc>
          <w:tcPr>
            <w:tcW w:type="dxa" w:w="5156"/>
            <w:shd w:fill="0D2A3F"/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b/>
                <w:color w:val="FFFFFF"/>
                <w:sz w:val="16"/>
              </w:rPr>
              <w:t>Cible</w:t>
            </w:r>
          </w:p>
        </w:tc>
      </w:tr>
      <w:tr>
        <w:tc>
          <w:tcPr>
            <w:tcW w:type="dxa" w:w="5156"/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sz w:val="16"/>
              </w:rPr>
              <w:t>Premier paiement</w:t>
            </w:r>
          </w:p>
        </w:tc>
        <w:tc>
          <w:tcPr>
            <w:tcW w:type="dxa" w:w="5156"/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sz w:val="16"/>
              </w:rPr>
              <w:t>≥ 1</w:t>
            </w:r>
          </w:p>
        </w:tc>
      </w:tr>
      <w:tr>
        <w:tc>
          <w:tcPr>
            <w:tcW w:type="dxa" w:w="5156"/>
            <w:vAlign w:val="center"/>
            <w:shd w:fill="F4F7F9"/>
          </w:tcPr>
          <w:p>
            <w:pPr>
              <w:spacing w:after="0"/>
            </w:pPr>
            <w:r>
              <w:rPr>
                <w:rFonts w:ascii="Aptos" w:hAnsi="Aptos" w:eastAsia="Aptos"/>
                <w:sz w:val="16"/>
              </w:rPr>
              <w:t>Demande de continuer</w:t>
            </w:r>
          </w:p>
        </w:tc>
        <w:tc>
          <w:tcPr>
            <w:tcW w:type="dxa" w:w="5156"/>
            <w:vAlign w:val="center"/>
            <w:shd w:fill="F4F7F9"/>
          </w:tcPr>
          <w:p>
            <w:pPr>
              <w:spacing w:after="0"/>
            </w:pPr>
            <w:r>
              <w:rPr>
                <w:rFonts w:ascii="Aptos" w:hAnsi="Aptos" w:eastAsia="Aptos"/>
                <w:sz w:val="16"/>
              </w:rPr>
              <w:t>Oui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12"/>
      </w:tblGrid>
      <w:tr>
        <w:trPr>
          <w:cantSplit/>
        </w:trPr>
        <w:tc>
          <w:tcPr>
            <w:tcW w:type="dxa" w:w="10312"/>
            <w:shd w:fill="EAF5F6"/>
            <w:tcBorders>
              <w:top w:val="nil"/>
              <w:left w:val="single" w:sz="24" w:color="0E9AA7"/>
              <w:bottom w:val="nil"/>
              <w:right w:val="nil"/>
            </w:tcBorders>
          </w:tcPr>
          <w:p>
            <w:pPr>
              <w:spacing w:after="20"/>
            </w:pPr>
            <w:r>
              <w:rPr>
                <w:rFonts w:ascii="Aptos" w:hAnsi="Aptos" w:eastAsia="Aptos"/>
                <w:b/>
                <w:color w:val="0E9AA7"/>
                <w:sz w:val="15"/>
              </w:rPr>
              <w:t>DÉCISION</w:t>
            </w:r>
          </w:p>
          <w:p>
            <w:pPr>
              <w:spacing w:after="20"/>
            </w:pPr>
            <w:r>
              <w:rPr>
                <w:rFonts w:ascii="Aptos" w:hAnsi="Aptos" w:eastAsia="Aptos"/>
                <w:b/>
                <w:color w:val="0D2A3F"/>
                <w:sz w:val="24"/>
              </w:rPr>
              <w:t>Pas de marketing large tant que G7 n’est pas franchi.</w:t>
            </w:r>
          </w:p>
        </w:tc>
      </w:tr>
    </w:tbl>
    <w:p>
      <w:pPr>
        <w:spacing w:after="0"/>
      </w:pPr>
    </w:p>
    <w:p>
      <w:pPr>
        <w:pStyle w:val="Heading1"/>
        <w:pBdr>
          <w:bottom w:val="single" w:sz="10" w:space="4" w:color="0E9AA7"/>
        </w:pBdr>
      </w:pPr>
      <w:r>
        <w:t>9. Sprint 7 — MVP commercial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12"/>
      </w:tblGrid>
      <w:tr>
        <w:trPr>
          <w:cantSplit/>
        </w:trPr>
        <w:tc>
          <w:tcPr>
            <w:tcW w:type="dxa" w:w="10312"/>
            <w:shd w:fill="EAF5F6"/>
            <w:tcBorders>
              <w:top w:val="nil"/>
              <w:left w:val="single" w:sz="24" w:color="0E9AA7"/>
              <w:bottom w:val="nil"/>
              <w:right w:val="nil"/>
            </w:tcBorders>
          </w:tcPr>
          <w:p>
            <w:pPr>
              <w:spacing w:after="20"/>
            </w:pPr>
            <w:r>
              <w:rPr>
                <w:rFonts w:ascii="Aptos" w:hAnsi="Aptos" w:eastAsia="Aptos"/>
                <w:b/>
                <w:color w:val="0E9AA7"/>
                <w:sz w:val="15"/>
              </w:rPr>
              <w:t>DURÉE CIBLE</w:t>
            </w:r>
          </w:p>
          <w:p>
            <w:pPr>
              <w:spacing w:after="20"/>
            </w:pPr>
            <w:r>
              <w:rPr>
                <w:rFonts w:ascii="Aptos" w:hAnsi="Aptos" w:eastAsia="Aptos"/>
                <w:b/>
                <w:color w:val="0D2A3F"/>
                <w:sz w:val="24"/>
              </w:rPr>
              <w:t>3 à 5 jours</w:t>
            </w:r>
          </w:p>
        </w:tc>
      </w:tr>
    </w:tbl>
    <w:p>
      <w:pPr>
        <w:spacing w:after="0"/>
      </w:pPr>
    </w:p>
    <w:p>
      <w:r>
        <w:rPr>
          <w:rFonts w:ascii="Aptos" w:hAnsi="Aptos" w:eastAsia="Aptos"/>
        </w:rPr>
        <w:t>Une fois G7 franchi, construire uniquement l’interface nécessaire pour vendre et livrer sans travail manuel excessif.</w:t>
      </w:r>
    </w:p>
    <w:p>
      <w:pPr>
        <w:pStyle w:val="ListBullet"/>
        <w:spacing w:after="40"/>
        <w:ind w:left="255" w:hanging="113"/>
      </w:pPr>
      <w:r>
        <w:rPr>
          <w:rFonts w:ascii="Aptos" w:hAnsi="Aptos" w:eastAsia="Aptos"/>
          <w:sz w:val="18"/>
        </w:rPr>
        <w:t>Landing claire : “Les entreprises qui viennent de gagner des contrats et que vous devriez contacter maintenant.”</w:t>
      </w:r>
    </w:p>
    <w:p>
      <w:pPr>
        <w:pStyle w:val="ListBullet"/>
        <w:spacing w:after="40"/>
        <w:ind w:left="255" w:hanging="113"/>
      </w:pPr>
      <w:r>
        <w:rPr>
          <w:rFonts w:ascii="Aptos" w:hAnsi="Aptos" w:eastAsia="Aptos"/>
          <w:sz w:val="18"/>
        </w:rPr>
        <w:t>Compte simple et profil ICP.</w:t>
      </w:r>
    </w:p>
    <w:p>
      <w:pPr>
        <w:pStyle w:val="ListBullet"/>
        <w:spacing w:after="40"/>
        <w:ind w:left="255" w:hanging="113"/>
      </w:pPr>
      <w:r>
        <w:rPr>
          <w:rFonts w:ascii="Aptos" w:hAnsi="Aptos" w:eastAsia="Aptos"/>
          <w:sz w:val="18"/>
        </w:rPr>
        <w:t>Liste de signaux + détail + preuve.</w:t>
      </w:r>
    </w:p>
    <w:p>
      <w:pPr>
        <w:pStyle w:val="ListBullet"/>
        <w:spacing w:after="40"/>
        <w:ind w:left="255" w:hanging="113"/>
      </w:pPr>
      <w:r>
        <w:rPr>
          <w:rFonts w:ascii="Aptos" w:hAnsi="Aptos" w:eastAsia="Aptos"/>
          <w:sz w:val="18"/>
        </w:rPr>
        <w:t>Alertes e-mail.</w:t>
      </w:r>
    </w:p>
    <w:p>
      <w:pPr>
        <w:pStyle w:val="ListBullet"/>
        <w:spacing w:after="40"/>
        <w:ind w:left="255" w:hanging="113"/>
      </w:pPr>
      <w:r>
        <w:rPr>
          <w:rFonts w:ascii="Aptos" w:hAnsi="Aptos" w:eastAsia="Aptos"/>
          <w:sz w:val="18"/>
        </w:rPr>
        <w:t>Feedback utile / ignorer / contacté.</w:t>
      </w:r>
    </w:p>
    <w:p>
      <w:pPr>
        <w:pStyle w:val="ListBullet"/>
        <w:spacing w:after="40"/>
        <w:ind w:left="255" w:hanging="113"/>
      </w:pPr>
      <w:r>
        <w:rPr>
          <w:rFonts w:ascii="Aptos" w:hAnsi="Aptos" w:eastAsia="Aptos"/>
          <w:sz w:val="18"/>
        </w:rPr>
        <w:t>Checkout récurrent.</w:t>
      </w:r>
    </w:p>
    <w:p>
      <w:pPr>
        <w:pStyle w:val="ListBullet"/>
        <w:spacing w:after="40"/>
        <w:ind w:left="255" w:hanging="113"/>
      </w:pPr>
      <w:r>
        <w:rPr>
          <w:rFonts w:ascii="Aptos" w:hAnsi="Aptos" w:eastAsia="Aptos"/>
          <w:sz w:val="18"/>
        </w:rPr>
        <w:t>Historique léger.</w:t>
      </w:r>
    </w:p>
    <w:p>
      <w:pPr>
        <w:pStyle w:val="ListBullet"/>
        <w:spacing w:after="40"/>
        <w:ind w:left="255" w:hanging="113"/>
      </w:pPr>
      <w:r>
        <w:rPr>
          <w:rFonts w:ascii="Aptos" w:hAnsi="Aptos" w:eastAsia="Aptos"/>
          <w:sz w:val="18"/>
        </w:rPr>
        <w:t>Analytics du funnel.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rPr>
          <w:tblHeader w:val="true"/>
        </w:trPr>
        <w:tc>
          <w:tcPr>
            <w:tcW w:type="dxa" w:w="5156"/>
            <w:shd w:fill="0D2A3F"/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b/>
                <w:color w:val="FFFFFF"/>
                <w:sz w:val="16"/>
              </w:rPr>
              <w:t>Offre</w:t>
            </w:r>
          </w:p>
        </w:tc>
        <w:tc>
          <w:tcPr>
            <w:tcW w:type="dxa" w:w="5156"/>
            <w:shd w:fill="0D2A3F"/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b/>
                <w:color w:val="FFFFFF"/>
                <w:sz w:val="16"/>
              </w:rPr>
              <w:t>Hypothèse de prix</w:t>
            </w:r>
          </w:p>
        </w:tc>
      </w:tr>
      <w:tr>
        <w:tc>
          <w:tcPr>
            <w:tcW w:type="dxa" w:w="5156"/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sz w:val="16"/>
              </w:rPr>
              <w:t>Free</w:t>
            </w:r>
          </w:p>
        </w:tc>
        <w:tc>
          <w:tcPr>
            <w:tcW w:type="dxa" w:w="5156"/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sz w:val="16"/>
              </w:rPr>
              <w:t>3 signaux / mois</w:t>
            </w:r>
          </w:p>
        </w:tc>
      </w:tr>
      <w:tr>
        <w:tc>
          <w:tcPr>
            <w:tcW w:type="dxa" w:w="5156"/>
            <w:vAlign w:val="center"/>
            <w:shd w:fill="F4F7F9"/>
          </w:tcPr>
          <w:p>
            <w:pPr>
              <w:spacing w:after="0"/>
            </w:pPr>
            <w:r>
              <w:rPr>
                <w:rFonts w:ascii="Aptos" w:hAnsi="Aptos" w:eastAsia="Aptos"/>
                <w:sz w:val="16"/>
              </w:rPr>
              <w:t>Starter</w:t>
            </w:r>
          </w:p>
        </w:tc>
        <w:tc>
          <w:tcPr>
            <w:tcW w:type="dxa" w:w="5156"/>
            <w:vAlign w:val="center"/>
            <w:shd w:fill="F4F7F9"/>
          </w:tcPr>
          <w:p>
            <w:pPr>
              <w:spacing w:after="0"/>
            </w:pPr>
            <w:r>
              <w:rPr>
                <w:rFonts w:ascii="Aptos" w:hAnsi="Aptos" w:eastAsia="Aptos"/>
                <w:sz w:val="16"/>
              </w:rPr>
              <w:t>29 CHF/€ / mois</w:t>
            </w:r>
          </w:p>
        </w:tc>
      </w:tr>
      <w:tr>
        <w:tc>
          <w:tcPr>
            <w:tcW w:type="dxa" w:w="5156"/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sz w:val="16"/>
              </w:rPr>
              <w:t>Pro</w:t>
            </w:r>
          </w:p>
        </w:tc>
        <w:tc>
          <w:tcPr>
            <w:tcW w:type="dxa" w:w="5156"/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sz w:val="16"/>
              </w:rPr>
              <w:t>59 CHF/€ / mois</w:t>
            </w:r>
          </w:p>
        </w:tc>
      </w:tr>
      <w:tr>
        <w:tc>
          <w:tcPr>
            <w:tcW w:type="dxa" w:w="5156"/>
            <w:vAlign w:val="center"/>
            <w:shd w:fill="F4F7F9"/>
          </w:tcPr>
          <w:p>
            <w:pPr>
              <w:spacing w:after="0"/>
            </w:pPr>
            <w:r>
              <w:rPr>
                <w:rFonts w:ascii="Aptos" w:hAnsi="Aptos" w:eastAsia="Aptos"/>
                <w:sz w:val="16"/>
              </w:rPr>
              <w:t>Business</w:t>
            </w:r>
          </w:p>
        </w:tc>
        <w:tc>
          <w:tcPr>
            <w:tcW w:type="dxa" w:w="5156"/>
            <w:vAlign w:val="center"/>
            <w:shd w:fill="F4F7F9"/>
          </w:tcPr>
          <w:p>
            <w:pPr>
              <w:spacing w:after="0"/>
            </w:pPr>
            <w:r>
              <w:rPr>
                <w:rFonts w:ascii="Aptos" w:hAnsi="Aptos" w:eastAsia="Aptos"/>
                <w:sz w:val="16"/>
              </w:rPr>
              <w:t>129 CHF/€ / mois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12"/>
      </w:tblGrid>
      <w:tr>
        <w:trPr>
          <w:cantSplit/>
        </w:trPr>
        <w:tc>
          <w:tcPr>
            <w:tcW w:type="dxa" w:w="10312"/>
            <w:shd w:fill="EAF5F6"/>
            <w:tcBorders>
              <w:top w:val="nil"/>
              <w:left w:val="single" w:sz="24" w:color="0E9AA7"/>
              <w:bottom w:val="nil"/>
              <w:right w:val="nil"/>
            </w:tcBorders>
          </w:tcPr>
          <w:p>
            <w:pPr>
              <w:spacing w:after="20"/>
            </w:pPr>
            <w:r>
              <w:rPr>
                <w:rFonts w:ascii="Aptos" w:hAnsi="Aptos" w:eastAsia="Aptos"/>
                <w:b/>
                <w:color w:val="0E9AA7"/>
                <w:sz w:val="15"/>
              </w:rPr>
              <w:t>GATE G8</w:t>
            </w:r>
          </w:p>
          <w:p>
            <w:pPr>
              <w:spacing w:after="20"/>
            </w:pPr>
            <w:r>
              <w:rPr>
                <w:rFonts w:ascii="Aptos" w:hAnsi="Aptos" w:eastAsia="Aptos"/>
                <w:b/>
                <w:color w:val="0D2A3F"/>
                <w:sz w:val="24"/>
              </w:rPr>
              <w:t>Le client peut s’inscrire, définir son ICP, recevoir des signaux, comprendre la preuve et payer sans intervention manuelle.</w:t>
            </w:r>
          </w:p>
        </w:tc>
      </w:tr>
    </w:tbl>
    <w:p>
      <w:pPr>
        <w:spacing w:after="0"/>
      </w:pPr>
    </w:p>
    <w:p>
      <w:pPr>
        <w:pStyle w:val="Heading1"/>
        <w:pBdr>
          <w:bottom w:val="single" w:sz="10" w:space="4" w:color="0E9AA7"/>
        </w:pBdr>
      </w:pPr>
      <w:r>
        <w:t>10. Sprint 8 — Marketing V1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12"/>
      </w:tblGrid>
      <w:tr>
        <w:trPr>
          <w:cantSplit/>
        </w:trPr>
        <w:tc>
          <w:tcPr>
            <w:tcW w:type="dxa" w:w="10312"/>
            <w:shd w:fill="EAF5F6"/>
            <w:tcBorders>
              <w:top w:val="nil"/>
              <w:left w:val="single" w:sz="24" w:color="0E9AA7"/>
              <w:bottom w:val="nil"/>
              <w:right w:val="nil"/>
            </w:tcBorders>
          </w:tcPr>
          <w:p>
            <w:pPr>
              <w:spacing w:after="20"/>
            </w:pPr>
            <w:r>
              <w:rPr>
                <w:rFonts w:ascii="Aptos" w:hAnsi="Aptos" w:eastAsia="Aptos"/>
                <w:b/>
                <w:color w:val="0E9AA7"/>
                <w:sz w:val="15"/>
              </w:rPr>
              <w:t>DÉCLENCHEMENT</w:t>
            </w:r>
          </w:p>
          <w:p>
            <w:pPr>
              <w:spacing w:after="20"/>
            </w:pPr>
            <w:r>
              <w:rPr>
                <w:rFonts w:ascii="Aptos" w:hAnsi="Aptos" w:eastAsia="Aptos"/>
                <w:b/>
                <w:color w:val="0D2A3F"/>
                <w:sz w:val="24"/>
              </w:rPr>
              <w:t>Commence seulement après un premier paiement + volonté de répétition.</w:t>
            </w:r>
          </w:p>
        </w:tc>
      </w:tr>
    </w:tbl>
    <w:p>
      <w:pPr>
        <w:spacing w:after="0"/>
      </w:pPr>
    </w:p>
    <w:p>
      <w:r>
        <w:rPr>
          <w:rFonts w:ascii="Aptos" w:hAnsi="Aptos" w:eastAsia="Aptos"/>
        </w:rPr>
        <w:t>Le premier canal doit utiliser les signaux eux-mêmes comme preuve. Le marketing n’explique pas une technologie ; il montre des entreprises réelles que le prospect pourrait vouloir contacter.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rPr>
          <w:tblHeader w:val="true"/>
        </w:trPr>
        <w:tc>
          <w:tcPr>
            <w:tcW w:type="dxa" w:w="5156"/>
            <w:shd w:fill="0D2A3F"/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b/>
                <w:color w:val="FFFFFF"/>
                <w:sz w:val="16"/>
              </w:rPr>
              <w:t>Canal</w:t>
            </w:r>
          </w:p>
        </w:tc>
        <w:tc>
          <w:tcPr>
            <w:tcW w:type="dxa" w:w="5156"/>
            <w:shd w:fill="0D2A3F"/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b/>
                <w:color w:val="FFFFFF"/>
                <w:sz w:val="16"/>
              </w:rPr>
              <w:t>Exécution</w:t>
            </w:r>
          </w:p>
        </w:tc>
      </w:tr>
      <w:tr>
        <w:tc>
          <w:tcPr>
            <w:tcW w:type="dxa" w:w="5156"/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sz w:val="16"/>
              </w:rPr>
              <w:t>Cold email</w:t>
            </w:r>
          </w:p>
        </w:tc>
        <w:tc>
          <w:tcPr>
            <w:tcW w:type="dxa" w:w="5156"/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sz w:val="16"/>
              </w:rPr>
              <w:t>Créer des listes de fournisseurs par wedge et envoyer 1–3 signaux gratuits contextualisés.</w:t>
            </w:r>
          </w:p>
        </w:tc>
      </w:tr>
      <w:tr>
        <w:tc>
          <w:tcPr>
            <w:tcW w:type="dxa" w:w="5156"/>
            <w:vAlign w:val="center"/>
            <w:shd w:fill="F4F7F9"/>
          </w:tcPr>
          <w:p>
            <w:pPr>
              <w:spacing w:after="0"/>
            </w:pPr>
            <w:r>
              <w:rPr>
                <w:rFonts w:ascii="Aptos" w:hAnsi="Aptos" w:eastAsia="Aptos"/>
                <w:sz w:val="16"/>
              </w:rPr>
              <w:t>LinkedIn</w:t>
            </w:r>
          </w:p>
        </w:tc>
        <w:tc>
          <w:tcPr>
            <w:tcW w:type="dxa" w:w="5156"/>
            <w:vAlign w:val="center"/>
            <w:shd w:fill="F4F7F9"/>
          </w:tcPr>
          <w:p>
            <w:pPr>
              <w:spacing w:after="0"/>
            </w:pPr>
            <w:r>
              <w:rPr>
                <w:rFonts w:ascii="Aptos" w:hAnsi="Aptos" w:eastAsia="Aptos"/>
                <w:sz w:val="16"/>
              </w:rPr>
              <w:t>Publier des cas de signaux, tendances de contrats gagnés et démonstrations de timing commercial.</w:t>
            </w:r>
          </w:p>
        </w:tc>
      </w:tr>
      <w:tr>
        <w:tc>
          <w:tcPr>
            <w:tcW w:type="dxa" w:w="5156"/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sz w:val="16"/>
              </w:rPr>
              <w:t>SEO</w:t>
            </w:r>
          </w:p>
        </w:tc>
        <w:tc>
          <w:tcPr>
            <w:tcW w:type="dxa" w:w="5156"/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sz w:val="16"/>
              </w:rPr>
              <w:t>Pages par secteur/pays + contenu “contract award leads / sales signals”.</w:t>
            </w:r>
          </w:p>
        </w:tc>
      </w:tr>
      <w:tr>
        <w:tc>
          <w:tcPr>
            <w:tcW w:type="dxa" w:w="5156"/>
            <w:vAlign w:val="center"/>
            <w:shd w:fill="F4F7F9"/>
          </w:tcPr>
          <w:p>
            <w:pPr>
              <w:spacing w:after="0"/>
            </w:pPr>
            <w:r>
              <w:rPr>
                <w:rFonts w:ascii="Aptos" w:hAnsi="Aptos" w:eastAsia="Aptos"/>
                <w:sz w:val="16"/>
              </w:rPr>
              <w:t>Partenariats</w:t>
            </w:r>
          </w:p>
        </w:tc>
        <w:tc>
          <w:tcPr>
            <w:tcW w:type="dxa" w:w="5156"/>
            <w:vAlign w:val="center"/>
            <w:shd w:fill="F4F7F9"/>
          </w:tcPr>
          <w:p>
            <w:pPr>
              <w:spacing w:after="0"/>
            </w:pPr>
            <w:r>
              <w:rPr>
                <w:rFonts w:ascii="Aptos" w:hAnsi="Aptos" w:eastAsia="Aptos"/>
                <w:sz w:val="16"/>
              </w:rPr>
              <w:t>Agences commerciales, recruteurs, fournisseurs sectoriels, consultants.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12"/>
      </w:tblGrid>
      <w:tr>
        <w:trPr>
          <w:cantSplit/>
        </w:trPr>
        <w:tc>
          <w:tcPr>
            <w:tcW w:type="dxa" w:w="10312"/>
            <w:shd w:fill="EAF5F6"/>
            <w:tcBorders>
              <w:top w:val="nil"/>
              <w:left w:val="single" w:sz="24" w:color="0E9AA7"/>
              <w:bottom w:val="nil"/>
              <w:right w:val="nil"/>
            </w:tcBorders>
          </w:tcPr>
          <w:p>
            <w:pPr>
              <w:spacing w:after="20"/>
            </w:pPr>
            <w:r>
              <w:rPr>
                <w:rFonts w:ascii="Aptos" w:hAnsi="Aptos" w:eastAsia="Aptos"/>
                <w:b/>
                <w:color w:val="0E9AA7"/>
                <w:sz w:val="15"/>
              </w:rPr>
              <w:t>MESSAGE TEST</w:t>
            </w:r>
          </w:p>
          <w:p>
            <w:pPr>
              <w:spacing w:after="20"/>
            </w:pPr>
            <w:r>
              <w:rPr>
                <w:rFonts w:ascii="Aptos" w:hAnsi="Aptos" w:eastAsia="Aptos"/>
                <w:b/>
                <w:color w:val="0D2A3F"/>
                <w:sz w:val="24"/>
              </w:rPr>
              <w:t>“Cette semaine, nous avons détecté X entreprises qui viennent de gagner de nouveaux contrats publics correspondant à vos clients cibles. Voici les 3 plus pertinentes.”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rPr>
          <w:tblHeader w:val="true"/>
        </w:trPr>
        <w:tc>
          <w:tcPr>
            <w:tcW w:type="dxa" w:w="5156"/>
            <w:shd w:fill="0D2A3F"/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b/>
                <w:color w:val="FFFFFF"/>
                <w:sz w:val="16"/>
              </w:rPr>
              <w:t>Funnel</w:t>
            </w:r>
          </w:p>
        </w:tc>
        <w:tc>
          <w:tcPr>
            <w:tcW w:type="dxa" w:w="5156"/>
            <w:shd w:fill="0D2A3F"/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b/>
                <w:color w:val="FFFFFF"/>
                <w:sz w:val="16"/>
              </w:rPr>
              <w:t>KPI</w:t>
            </w:r>
          </w:p>
        </w:tc>
      </w:tr>
      <w:tr>
        <w:tc>
          <w:tcPr>
            <w:tcW w:type="dxa" w:w="5156"/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sz w:val="16"/>
              </w:rPr>
              <w:t>Prospect → exemple gratuit</w:t>
            </w:r>
          </w:p>
        </w:tc>
        <w:tc>
          <w:tcPr>
            <w:tcW w:type="dxa" w:w="5156"/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sz w:val="16"/>
              </w:rPr>
              <w:t>Taux d’intérêt</w:t>
            </w:r>
          </w:p>
        </w:tc>
      </w:tr>
      <w:tr>
        <w:tc>
          <w:tcPr>
            <w:tcW w:type="dxa" w:w="5156"/>
            <w:vAlign w:val="center"/>
            <w:shd w:fill="F4F7F9"/>
          </w:tcPr>
          <w:p>
            <w:pPr>
              <w:spacing w:after="0"/>
            </w:pPr>
            <w:r>
              <w:rPr>
                <w:rFonts w:ascii="Aptos" w:hAnsi="Aptos" w:eastAsia="Aptos"/>
                <w:sz w:val="16"/>
              </w:rPr>
              <w:t>Exemple → création ICP</w:t>
            </w:r>
          </w:p>
        </w:tc>
        <w:tc>
          <w:tcPr>
            <w:tcW w:type="dxa" w:w="5156"/>
            <w:vAlign w:val="center"/>
            <w:shd w:fill="F4F7F9"/>
          </w:tcPr>
          <w:p>
            <w:pPr>
              <w:spacing w:after="0"/>
            </w:pPr>
            <w:r>
              <w:rPr>
                <w:rFonts w:ascii="Aptos" w:hAnsi="Aptos" w:eastAsia="Aptos"/>
                <w:sz w:val="16"/>
              </w:rPr>
              <w:t>Activation</w:t>
            </w:r>
          </w:p>
        </w:tc>
      </w:tr>
      <w:tr>
        <w:tc>
          <w:tcPr>
            <w:tcW w:type="dxa" w:w="5156"/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sz w:val="16"/>
              </w:rPr>
              <w:t>ICP → signal ouvert</w:t>
            </w:r>
          </w:p>
        </w:tc>
        <w:tc>
          <w:tcPr>
            <w:tcW w:type="dxa" w:w="5156"/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sz w:val="16"/>
              </w:rPr>
              <w:t>Qualité</w:t>
            </w:r>
          </w:p>
        </w:tc>
      </w:tr>
      <w:tr>
        <w:tc>
          <w:tcPr>
            <w:tcW w:type="dxa" w:w="5156"/>
            <w:vAlign w:val="center"/>
            <w:shd w:fill="F4F7F9"/>
          </w:tcPr>
          <w:p>
            <w:pPr>
              <w:spacing w:after="0"/>
            </w:pPr>
            <w:r>
              <w:rPr>
                <w:rFonts w:ascii="Aptos" w:hAnsi="Aptos" w:eastAsia="Aptos"/>
                <w:sz w:val="16"/>
              </w:rPr>
              <w:t>Signal → entreprise contactée</w:t>
            </w:r>
          </w:p>
        </w:tc>
        <w:tc>
          <w:tcPr>
            <w:tcW w:type="dxa" w:w="5156"/>
            <w:vAlign w:val="center"/>
            <w:shd w:fill="F4F7F9"/>
          </w:tcPr>
          <w:p>
            <w:pPr>
              <w:spacing w:after="0"/>
            </w:pPr>
            <w:r>
              <w:rPr>
                <w:rFonts w:ascii="Aptos" w:hAnsi="Aptos" w:eastAsia="Aptos"/>
                <w:sz w:val="16"/>
              </w:rPr>
              <w:t>Action réelle</w:t>
            </w:r>
          </w:p>
        </w:tc>
      </w:tr>
      <w:tr>
        <w:tc>
          <w:tcPr>
            <w:tcW w:type="dxa" w:w="5156"/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sz w:val="16"/>
              </w:rPr>
              <w:t>Essai → paiement</w:t>
            </w:r>
          </w:p>
        </w:tc>
        <w:tc>
          <w:tcPr>
            <w:tcW w:type="dxa" w:w="5156"/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sz w:val="16"/>
              </w:rPr>
              <w:t>Conversion</w:t>
            </w:r>
          </w:p>
        </w:tc>
      </w:tr>
      <w:tr>
        <w:tc>
          <w:tcPr>
            <w:tcW w:type="dxa" w:w="5156"/>
            <w:vAlign w:val="center"/>
            <w:shd w:fill="F4F7F9"/>
          </w:tcPr>
          <w:p>
            <w:pPr>
              <w:spacing w:after="0"/>
            </w:pPr>
            <w:r>
              <w:rPr>
                <w:rFonts w:ascii="Aptos" w:hAnsi="Aptos" w:eastAsia="Aptos"/>
                <w:sz w:val="16"/>
              </w:rPr>
              <w:t>M1 → M2</w:t>
            </w:r>
          </w:p>
        </w:tc>
        <w:tc>
          <w:tcPr>
            <w:tcW w:type="dxa" w:w="5156"/>
            <w:vAlign w:val="center"/>
            <w:shd w:fill="F4F7F9"/>
          </w:tcPr>
          <w:p>
            <w:pPr>
              <w:spacing w:after="0"/>
            </w:pPr>
            <w:r>
              <w:rPr>
                <w:rFonts w:ascii="Aptos" w:hAnsi="Aptos" w:eastAsia="Aptos"/>
                <w:sz w:val="16"/>
              </w:rPr>
              <w:t>Rétention</w:t>
            </w:r>
          </w:p>
        </w:tc>
      </w:tr>
    </w:tbl>
    <w:p>
      <w:pPr>
        <w:spacing w:after="20"/>
      </w:pPr>
    </w:p>
    <w:p>
      <w:pPr>
        <w:pStyle w:val="Heading1"/>
        <w:pBdr>
          <w:bottom w:val="single" w:sz="10" w:space="4" w:color="0E9AA7"/>
        </w:pBdr>
      </w:pPr>
      <w:r>
        <w:t>11. Trajectoire 100 000 CHF ARR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12"/>
      </w:tblGrid>
      <w:tr>
        <w:trPr>
          <w:cantSplit/>
        </w:trPr>
        <w:tc>
          <w:tcPr>
            <w:tcW w:type="dxa" w:w="10312"/>
            <w:shd w:fill="EAF5F6"/>
            <w:tcBorders>
              <w:top w:val="nil"/>
              <w:left w:val="single" w:sz="24" w:color="0E9AA7"/>
              <w:bottom w:val="nil"/>
              <w:right w:val="nil"/>
            </w:tcBorders>
          </w:tcPr>
          <w:p>
            <w:pPr>
              <w:spacing w:after="20"/>
            </w:pPr>
            <w:r>
              <w:rPr>
                <w:rFonts w:ascii="Aptos" w:hAnsi="Aptos" w:eastAsia="Aptos"/>
                <w:b/>
                <w:color w:val="0E9AA7"/>
                <w:sz w:val="15"/>
              </w:rPr>
              <w:t>CIBLE</w:t>
            </w:r>
          </w:p>
          <w:p>
            <w:pPr>
              <w:spacing w:after="20"/>
            </w:pPr>
            <w:r>
              <w:rPr>
                <w:rFonts w:ascii="Aptos" w:hAnsi="Aptos" w:eastAsia="Aptos"/>
                <w:b/>
                <w:color w:val="0D2A3F"/>
                <w:sz w:val="24"/>
              </w:rPr>
              <w:t>≈ 8 333 CHF MRR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rPr>
          <w:tblHeader w:val="true"/>
        </w:trPr>
        <w:tc>
          <w:tcPr>
            <w:tcW w:type="dxa" w:w="5156"/>
            <w:shd w:fill="0D2A3F"/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b/>
                <w:color w:val="FFFFFF"/>
                <w:sz w:val="16"/>
              </w:rPr>
              <w:t>Gate business</w:t>
            </w:r>
          </w:p>
        </w:tc>
        <w:tc>
          <w:tcPr>
            <w:tcW w:type="dxa" w:w="5156"/>
            <w:shd w:fill="0D2A3F"/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b/>
                <w:color w:val="FFFFFF"/>
                <w:sz w:val="16"/>
              </w:rPr>
              <w:t>Preuve recherchée</w:t>
            </w:r>
          </w:p>
        </w:tc>
      </w:tr>
      <w:tr>
        <w:tc>
          <w:tcPr>
            <w:tcW w:type="dxa" w:w="5156"/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sz w:val="16"/>
              </w:rPr>
              <w:t>B1 — 1 client</w:t>
            </w:r>
          </w:p>
        </w:tc>
        <w:tc>
          <w:tcPr>
            <w:tcW w:type="dxa" w:w="5156"/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sz w:val="16"/>
              </w:rPr>
              <w:t>Quelqu’un paie pour continuer</w:t>
            </w:r>
          </w:p>
        </w:tc>
      </w:tr>
      <w:tr>
        <w:tc>
          <w:tcPr>
            <w:tcW w:type="dxa" w:w="5156"/>
            <w:vAlign w:val="center"/>
            <w:shd w:fill="F4F7F9"/>
          </w:tcPr>
          <w:p>
            <w:pPr>
              <w:spacing w:after="0"/>
            </w:pPr>
            <w:r>
              <w:rPr>
                <w:rFonts w:ascii="Aptos" w:hAnsi="Aptos" w:eastAsia="Aptos"/>
                <w:sz w:val="16"/>
              </w:rPr>
              <w:t>B2 — 5 clients</w:t>
            </w:r>
          </w:p>
        </w:tc>
        <w:tc>
          <w:tcPr>
            <w:tcW w:type="dxa" w:w="5156"/>
            <w:vAlign w:val="center"/>
            <w:shd w:fill="F4F7F9"/>
          </w:tcPr>
          <w:p>
            <w:pPr>
              <w:spacing w:after="0"/>
            </w:pPr>
            <w:r>
              <w:rPr>
                <w:rFonts w:ascii="Aptos" w:hAnsi="Aptos" w:eastAsia="Aptos"/>
                <w:sz w:val="16"/>
              </w:rPr>
              <w:t>La valeur se répète au-delà d’un cas individuel</w:t>
            </w:r>
          </w:p>
        </w:tc>
      </w:tr>
      <w:tr>
        <w:tc>
          <w:tcPr>
            <w:tcW w:type="dxa" w:w="5156"/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sz w:val="16"/>
              </w:rPr>
              <w:t>B3 — 20 clients</w:t>
            </w:r>
          </w:p>
        </w:tc>
        <w:tc>
          <w:tcPr>
            <w:tcW w:type="dxa" w:w="5156"/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sz w:val="16"/>
              </w:rPr>
              <w:t>Un wedge et un message commencent à fonctionner</w:t>
            </w:r>
          </w:p>
        </w:tc>
      </w:tr>
      <w:tr>
        <w:tc>
          <w:tcPr>
            <w:tcW w:type="dxa" w:w="5156"/>
            <w:vAlign w:val="center"/>
            <w:shd w:fill="F4F7F9"/>
          </w:tcPr>
          <w:p>
            <w:pPr>
              <w:spacing w:after="0"/>
            </w:pPr>
            <w:r>
              <w:rPr>
                <w:rFonts w:ascii="Aptos" w:hAnsi="Aptos" w:eastAsia="Aptos"/>
                <w:sz w:val="16"/>
              </w:rPr>
              <w:t>B4 — 50 clients</w:t>
            </w:r>
          </w:p>
        </w:tc>
        <w:tc>
          <w:tcPr>
            <w:tcW w:type="dxa" w:w="5156"/>
            <w:vAlign w:val="center"/>
            <w:shd w:fill="F4F7F9"/>
          </w:tcPr>
          <w:p>
            <w:pPr>
              <w:spacing w:after="0"/>
            </w:pPr>
            <w:r>
              <w:rPr>
                <w:rFonts w:ascii="Aptos" w:hAnsi="Aptos" w:eastAsia="Aptos"/>
                <w:sz w:val="16"/>
              </w:rPr>
              <w:t>Acquisition et rétention deviennent mesurables</w:t>
            </w:r>
          </w:p>
        </w:tc>
      </w:tr>
      <w:tr>
        <w:tc>
          <w:tcPr>
            <w:tcW w:type="dxa" w:w="5156"/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sz w:val="16"/>
              </w:rPr>
              <w:t>B5 — 100 clients</w:t>
            </w:r>
          </w:p>
        </w:tc>
        <w:tc>
          <w:tcPr>
            <w:tcW w:type="dxa" w:w="5156"/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sz w:val="16"/>
              </w:rPr>
              <w:t>Approche de 5–7k MRR selon le mix</w:t>
            </w:r>
          </w:p>
        </w:tc>
      </w:tr>
      <w:tr>
        <w:tc>
          <w:tcPr>
            <w:tcW w:type="dxa" w:w="5156"/>
            <w:vAlign w:val="center"/>
            <w:shd w:fill="F4F7F9"/>
          </w:tcPr>
          <w:p>
            <w:pPr>
              <w:spacing w:after="0"/>
            </w:pPr>
            <w:r>
              <w:rPr>
                <w:rFonts w:ascii="Aptos" w:hAnsi="Aptos" w:eastAsia="Aptos"/>
                <w:sz w:val="16"/>
              </w:rPr>
              <w:t>B6 — 100k ARR</w:t>
            </w:r>
          </w:p>
        </w:tc>
        <w:tc>
          <w:tcPr>
            <w:tcW w:type="dxa" w:w="5156"/>
            <w:vAlign w:val="center"/>
            <w:shd w:fill="F4F7F9"/>
          </w:tcPr>
          <w:p>
            <w:pPr>
              <w:spacing w:after="0"/>
            </w:pPr>
            <w:r>
              <w:rPr>
                <w:rFonts w:ascii="Aptos" w:hAnsi="Aptos" w:eastAsia="Aptos"/>
                <w:sz w:val="16"/>
              </w:rPr>
              <w:t>≈ 100–150 clients selon ARPU réel</w:t>
            </w:r>
          </w:p>
        </w:tc>
      </w:tr>
    </w:tbl>
    <w:p>
      <w:pPr>
        <w:spacing w:after="20"/>
      </w:pPr>
    </w:p>
    <w:p>
      <w:r>
        <w:rPr>
          <w:rFonts w:ascii="Aptos" w:hAnsi="Aptos" w:eastAsia="Aptos"/>
        </w:rPr>
        <w:t>Mix de référence (hypothèse, pas objectif rigide) : 50 Starter × 29 + 60 Pro × 59 + 30 Business × 129 ≈ 8 860 CHF/mois, soit ≈ 106 000 CHF/an.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12"/>
      </w:tblGrid>
      <w:tr>
        <w:trPr>
          <w:cantSplit/>
        </w:trPr>
        <w:tc>
          <w:tcPr>
            <w:tcW w:type="dxa" w:w="10312"/>
            <w:shd w:fill="EAF5F6"/>
            <w:tcBorders>
              <w:top w:val="nil"/>
              <w:left w:val="single" w:sz="24" w:color="0E9AA7"/>
              <w:bottom w:val="nil"/>
              <w:right w:val="nil"/>
            </w:tcBorders>
          </w:tcPr>
          <w:p>
            <w:pPr>
              <w:spacing w:after="20"/>
            </w:pPr>
            <w:r>
              <w:rPr>
                <w:rFonts w:ascii="Aptos" w:hAnsi="Aptos" w:eastAsia="Aptos"/>
                <w:b/>
                <w:color w:val="0E9AA7"/>
                <w:sz w:val="15"/>
              </w:rPr>
              <w:t>PRIORITÉ BUSINESS</w:t>
            </w:r>
          </w:p>
          <w:p>
            <w:pPr>
              <w:spacing w:after="20"/>
            </w:pPr>
            <w:r>
              <w:rPr>
                <w:rFonts w:ascii="Aptos" w:hAnsi="Aptos" w:eastAsia="Aptos"/>
                <w:b/>
                <w:color w:val="0D2A3F"/>
                <w:sz w:val="24"/>
              </w:rPr>
              <w:t>Optimiser d’abord rétention et usage des signaux. L’augmentation du prix vient après preuve de ROI, pas avant.</w:t>
            </w:r>
          </w:p>
        </w:tc>
      </w:tr>
    </w:tbl>
    <w:p>
      <w:pPr>
        <w:spacing w:after="0"/>
      </w:pPr>
    </w:p>
    <w:p>
      <w:pPr>
        <w:pStyle w:val="Heading1"/>
        <w:pBdr>
          <w:bottom w:val="single" w:sz="10" w:space="4" w:color="0E9AA7"/>
        </w:pBdr>
      </w:pPr>
      <w:r>
        <w:t>12. Ce qui est explicitement reporté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rPr>
          <w:tblHeader w:val="true"/>
        </w:trPr>
        <w:tc>
          <w:tcPr>
            <w:tcW w:type="dxa" w:w="5156"/>
            <w:shd w:fill="0D2A3F"/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b/>
                <w:color w:val="FFFFFF"/>
                <w:sz w:val="16"/>
              </w:rPr>
              <w:t>Module futur</w:t>
            </w:r>
          </w:p>
        </w:tc>
        <w:tc>
          <w:tcPr>
            <w:tcW w:type="dxa" w:w="5156"/>
            <w:shd w:fill="0D2A3F"/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b/>
                <w:color w:val="FFFFFF"/>
                <w:sz w:val="16"/>
              </w:rPr>
              <w:t>Quand le réouvrir</w:t>
            </w:r>
          </w:p>
        </w:tc>
      </w:tr>
      <w:tr>
        <w:tc>
          <w:tcPr>
            <w:tcW w:type="dxa" w:w="5156"/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sz w:val="16"/>
              </w:rPr>
              <w:t>Market Intelligence</w:t>
            </w:r>
          </w:p>
        </w:tc>
        <w:tc>
          <w:tcPr>
            <w:tcW w:type="dxa" w:w="5156"/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sz w:val="16"/>
              </w:rPr>
              <w:t>Après paiements répétés et demande client claire</w:t>
            </w:r>
          </w:p>
        </w:tc>
      </w:tr>
      <w:tr>
        <w:tc>
          <w:tcPr>
            <w:tcW w:type="dxa" w:w="5156"/>
            <w:vAlign w:val="center"/>
            <w:shd w:fill="F4F7F9"/>
          </w:tcPr>
          <w:p>
            <w:pPr>
              <w:spacing w:after="0"/>
            </w:pPr>
            <w:r>
              <w:rPr>
                <w:rFonts w:ascii="Aptos" w:hAnsi="Aptos" w:eastAsia="Aptos"/>
                <w:sz w:val="16"/>
              </w:rPr>
              <w:t>Buyer Intelligence</w:t>
            </w:r>
          </w:p>
        </w:tc>
        <w:tc>
          <w:tcPr>
            <w:tcW w:type="dxa" w:w="5156"/>
            <w:vAlign w:val="center"/>
            <w:shd w:fill="F4F7F9"/>
          </w:tcPr>
          <w:p>
            <w:pPr>
              <w:spacing w:after="0"/>
            </w:pPr>
            <w:r>
              <w:rPr>
                <w:rFonts w:ascii="Aptos" w:hAnsi="Aptos" w:eastAsia="Aptos"/>
                <w:sz w:val="16"/>
              </w:rPr>
              <w:t>Lorsque les clients veulent préparer leur ciblage en amont</w:t>
            </w:r>
          </w:p>
        </w:tc>
      </w:tr>
      <w:tr>
        <w:tc>
          <w:tcPr>
            <w:tcW w:type="dxa" w:w="5156"/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sz w:val="16"/>
              </w:rPr>
              <w:t>Competitor Intelligence</w:t>
            </w:r>
          </w:p>
        </w:tc>
        <w:tc>
          <w:tcPr>
            <w:tcW w:type="dxa" w:w="5156"/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sz w:val="16"/>
              </w:rPr>
              <w:t>Après preuve de valeur du flux de signaux</w:t>
            </w:r>
          </w:p>
        </w:tc>
      </w:tr>
      <w:tr>
        <w:tc>
          <w:tcPr>
            <w:tcW w:type="dxa" w:w="5156"/>
            <w:vAlign w:val="center"/>
            <w:shd w:fill="F4F7F9"/>
          </w:tcPr>
          <w:p>
            <w:pPr>
              <w:spacing w:after="0"/>
            </w:pPr>
            <w:r>
              <w:rPr>
                <w:rFonts w:ascii="Aptos" w:hAnsi="Aptos" w:eastAsia="Aptos"/>
                <w:sz w:val="16"/>
              </w:rPr>
              <w:t>Forecast / renewals</w:t>
            </w:r>
          </w:p>
        </w:tc>
        <w:tc>
          <w:tcPr>
            <w:tcW w:type="dxa" w:w="5156"/>
            <w:vAlign w:val="center"/>
            <w:shd w:fill="F4F7F9"/>
          </w:tcPr>
          <w:p>
            <w:pPr>
              <w:spacing w:after="0"/>
            </w:pPr>
            <w:r>
              <w:rPr>
                <w:rFonts w:ascii="Aptos" w:hAnsi="Aptos" w:eastAsia="Aptos"/>
                <w:sz w:val="16"/>
              </w:rPr>
              <w:t>Lorsque l’historique et la temporalité sont suffisamment propres</w:t>
            </w:r>
          </w:p>
        </w:tc>
      </w:tr>
      <w:tr>
        <w:tc>
          <w:tcPr>
            <w:tcW w:type="dxa" w:w="5156"/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sz w:val="16"/>
              </w:rPr>
              <w:t>API / Data-as-a-Service</w:t>
            </w:r>
          </w:p>
        </w:tc>
        <w:tc>
          <w:tcPr>
            <w:tcW w:type="dxa" w:w="5156"/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sz w:val="16"/>
              </w:rPr>
              <w:t>Lorsque le modèle de données est stable et demandé par des clients</w:t>
            </w:r>
          </w:p>
        </w:tc>
      </w:tr>
      <w:tr>
        <w:tc>
          <w:tcPr>
            <w:tcW w:type="dxa" w:w="5156"/>
            <w:vAlign w:val="center"/>
            <w:shd w:fill="F4F7F9"/>
          </w:tcPr>
          <w:p>
            <w:pPr>
              <w:spacing w:after="0"/>
            </w:pPr>
            <w:r>
              <w:rPr>
                <w:rFonts w:ascii="Aptos" w:hAnsi="Aptos" w:eastAsia="Aptos"/>
                <w:sz w:val="16"/>
              </w:rPr>
              <w:t>GoSimap Go/No-Go</w:t>
            </w:r>
          </w:p>
        </w:tc>
        <w:tc>
          <w:tcPr>
            <w:tcW w:type="dxa" w:w="5156"/>
            <w:vAlign w:val="center"/>
            <w:shd w:fill="F4F7F9"/>
          </w:tcPr>
          <w:p>
            <w:pPr>
              <w:spacing w:after="0"/>
            </w:pPr>
            <w:r>
              <w:rPr>
                <w:rFonts w:ascii="Aptos" w:hAnsi="Aptos" w:eastAsia="Aptos"/>
                <w:sz w:val="16"/>
              </w:rPr>
              <w:t>Projet secondaire, à reprendre après validation du nouveau moteur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12"/>
      </w:tblGrid>
      <w:tr>
        <w:trPr>
          <w:cantSplit/>
        </w:trPr>
        <w:tc>
          <w:tcPr>
            <w:tcW w:type="dxa" w:w="10312"/>
            <w:shd w:fill="EAF5F6"/>
            <w:tcBorders>
              <w:top w:val="nil"/>
              <w:left w:val="single" w:sz="24" w:color="0E9AA7"/>
              <w:bottom w:val="nil"/>
              <w:right w:val="nil"/>
            </w:tcBorders>
          </w:tcPr>
          <w:p>
            <w:pPr>
              <w:spacing w:after="20"/>
            </w:pPr>
            <w:r>
              <w:rPr>
                <w:rFonts w:ascii="Aptos" w:hAnsi="Aptos" w:eastAsia="Aptos"/>
                <w:b/>
                <w:color w:val="0E9AA7"/>
                <w:sz w:val="15"/>
              </w:rPr>
              <w:t>ANTI-DISPERSION</w:t>
            </w:r>
          </w:p>
          <w:p>
            <w:pPr>
              <w:spacing w:after="20"/>
            </w:pPr>
            <w:r>
              <w:rPr>
                <w:rFonts w:ascii="Aptos" w:hAnsi="Aptos" w:eastAsia="Aptos"/>
                <w:b/>
                <w:color w:val="0D2A3F"/>
                <w:sz w:val="24"/>
              </w:rPr>
              <w:t>Toute feature qui ne contribue pas directement à Data → Signal → Action → Paiement est refusée dans le MVP.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pBdr>
          <w:bottom w:val="single" w:sz="10" w:space="4" w:color="0E9AA7"/>
        </w:pBdr>
      </w:pPr>
      <w:r>
        <w:t>13. Tableau de contrôle des gates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rPr>
          <w:tblHeader w:val="true"/>
        </w:trPr>
        <w:tc>
          <w:tcPr>
            <w:tcW w:type="dxa" w:w="5156"/>
            <w:shd w:fill="0D2A3F"/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b/>
                <w:color w:val="FFFFFF"/>
                <w:sz w:val="16"/>
              </w:rPr>
              <w:t>Gate</w:t>
            </w:r>
          </w:p>
        </w:tc>
        <w:tc>
          <w:tcPr>
            <w:tcW w:type="dxa" w:w="5156"/>
            <w:shd w:fill="0D2A3F"/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b/>
                <w:color w:val="FFFFFF"/>
                <w:sz w:val="16"/>
              </w:rPr>
              <w:t>Validation</w:t>
            </w:r>
          </w:p>
        </w:tc>
      </w:tr>
      <w:tr>
        <w:tc>
          <w:tcPr>
            <w:tcW w:type="dxa" w:w="5156"/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sz w:val="16"/>
              </w:rPr>
              <w:t>G0</w:t>
            </w:r>
          </w:p>
        </w:tc>
        <w:tc>
          <w:tcPr>
            <w:tcW w:type="dxa" w:w="5156"/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sz w:val="16"/>
              </w:rPr>
              <w:t>Architecture pivot saine</w:t>
            </w:r>
          </w:p>
        </w:tc>
      </w:tr>
      <w:tr>
        <w:tc>
          <w:tcPr>
            <w:tcW w:type="dxa" w:w="5156"/>
            <w:vAlign w:val="center"/>
            <w:shd w:fill="F4F7F9"/>
          </w:tcPr>
          <w:p>
            <w:pPr>
              <w:spacing w:after="0"/>
            </w:pPr>
            <w:r>
              <w:rPr>
                <w:rFonts w:ascii="Aptos" w:hAnsi="Aptos" w:eastAsia="Aptos"/>
                <w:sz w:val="16"/>
              </w:rPr>
              <w:t>G1</w:t>
            </w:r>
          </w:p>
        </w:tc>
        <w:tc>
          <w:tcPr>
            <w:tcW w:type="dxa" w:w="5156"/>
            <w:vAlign w:val="center"/>
            <w:shd w:fill="F4F7F9"/>
          </w:tcPr>
          <w:p>
            <w:pPr>
              <w:spacing w:after="0"/>
            </w:pPr>
            <w:r>
              <w:rPr>
                <w:rFonts w:ascii="Aptos" w:hAnsi="Aptos" w:eastAsia="Aptos"/>
                <w:sz w:val="16"/>
              </w:rPr>
              <w:t>100 awards propres SIMAP + TED</w:t>
            </w:r>
          </w:p>
        </w:tc>
      </w:tr>
      <w:tr>
        <w:tc>
          <w:tcPr>
            <w:tcW w:type="dxa" w:w="5156"/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sz w:val="16"/>
              </w:rPr>
              <w:t>G2</w:t>
            </w:r>
          </w:p>
        </w:tc>
        <w:tc>
          <w:tcPr>
            <w:tcW w:type="dxa" w:w="5156"/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sz w:val="16"/>
              </w:rPr>
              <w:t>Winner + contrat correctement compris</w:t>
            </w:r>
          </w:p>
        </w:tc>
      </w:tr>
      <w:tr>
        <w:tc>
          <w:tcPr>
            <w:tcW w:type="dxa" w:w="5156"/>
            <w:vAlign w:val="center"/>
            <w:shd w:fill="F4F7F9"/>
          </w:tcPr>
          <w:p>
            <w:pPr>
              <w:spacing w:after="0"/>
            </w:pPr>
            <w:r>
              <w:rPr>
                <w:rFonts w:ascii="Aptos" w:hAnsi="Aptos" w:eastAsia="Aptos"/>
                <w:sz w:val="16"/>
              </w:rPr>
              <w:t>G3</w:t>
            </w:r>
          </w:p>
        </w:tc>
        <w:tc>
          <w:tcPr>
            <w:tcW w:type="dxa" w:w="5156"/>
            <w:vAlign w:val="center"/>
            <w:shd w:fill="F4F7F9"/>
          </w:tcPr>
          <w:p>
            <w:pPr>
              <w:spacing w:after="0"/>
            </w:pPr>
            <w:r>
              <w:rPr>
                <w:rFonts w:ascii="Aptos" w:hAnsi="Aptos" w:eastAsia="Aptos"/>
                <w:sz w:val="16"/>
              </w:rPr>
              <w:t>Need Graph crédible</w:t>
            </w:r>
          </w:p>
        </w:tc>
      </w:tr>
      <w:tr>
        <w:tc>
          <w:tcPr>
            <w:tcW w:type="dxa" w:w="5156"/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sz w:val="16"/>
              </w:rPr>
              <w:t>G4</w:t>
            </w:r>
          </w:p>
        </w:tc>
        <w:tc>
          <w:tcPr>
            <w:tcW w:type="dxa" w:w="5156"/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sz w:val="16"/>
              </w:rPr>
              <w:t>Matching ICP utile</w:t>
            </w:r>
          </w:p>
        </w:tc>
      </w:tr>
      <w:tr>
        <w:tc>
          <w:tcPr>
            <w:tcW w:type="dxa" w:w="5156"/>
            <w:vAlign w:val="center"/>
            <w:shd w:fill="F4F7F9"/>
          </w:tcPr>
          <w:p>
            <w:pPr>
              <w:spacing w:after="0"/>
            </w:pPr>
            <w:r>
              <w:rPr>
                <w:rFonts w:ascii="Aptos" w:hAnsi="Aptos" w:eastAsia="Aptos"/>
                <w:sz w:val="16"/>
              </w:rPr>
              <w:t>G5</w:t>
            </w:r>
          </w:p>
        </w:tc>
        <w:tc>
          <w:tcPr>
            <w:tcW w:type="dxa" w:w="5156"/>
            <w:vAlign w:val="center"/>
            <w:shd w:fill="F4F7F9"/>
          </w:tcPr>
          <w:p>
            <w:pPr>
              <w:spacing w:after="0"/>
            </w:pPr>
            <w:r>
              <w:rPr>
                <w:rFonts w:ascii="Aptos" w:hAnsi="Aptos" w:eastAsia="Aptos"/>
                <w:sz w:val="16"/>
              </w:rPr>
              <w:t>≥ 70/100 signaux actionnables</w:t>
            </w:r>
          </w:p>
        </w:tc>
      </w:tr>
      <w:tr>
        <w:tc>
          <w:tcPr>
            <w:tcW w:type="dxa" w:w="5156"/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sz w:val="16"/>
              </w:rPr>
              <w:t>G6</w:t>
            </w:r>
          </w:p>
        </w:tc>
        <w:tc>
          <w:tcPr>
            <w:tcW w:type="dxa" w:w="5156"/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sz w:val="16"/>
              </w:rPr>
              <w:t>10 testeurs / ≥3 actions réelles</w:t>
            </w:r>
          </w:p>
        </w:tc>
      </w:tr>
      <w:tr>
        <w:tc>
          <w:tcPr>
            <w:tcW w:type="dxa" w:w="5156"/>
            <w:vAlign w:val="center"/>
            <w:shd w:fill="F4F7F9"/>
          </w:tcPr>
          <w:p>
            <w:pPr>
              <w:spacing w:after="0"/>
            </w:pPr>
            <w:r>
              <w:rPr>
                <w:rFonts w:ascii="Aptos" w:hAnsi="Aptos" w:eastAsia="Aptos"/>
                <w:sz w:val="16"/>
              </w:rPr>
              <w:t>G7</w:t>
            </w:r>
          </w:p>
        </w:tc>
        <w:tc>
          <w:tcPr>
            <w:tcW w:type="dxa" w:w="5156"/>
            <w:vAlign w:val="center"/>
            <w:shd w:fill="F4F7F9"/>
          </w:tcPr>
          <w:p>
            <w:pPr>
              <w:spacing w:after="0"/>
            </w:pPr>
            <w:r>
              <w:rPr>
                <w:rFonts w:ascii="Aptos" w:hAnsi="Aptos" w:eastAsia="Aptos"/>
                <w:sz w:val="16"/>
              </w:rPr>
              <w:t>Premier paiement + demande de continuer</w:t>
            </w:r>
          </w:p>
        </w:tc>
      </w:tr>
      <w:tr>
        <w:tc>
          <w:tcPr>
            <w:tcW w:type="dxa" w:w="5156"/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sz w:val="16"/>
              </w:rPr>
              <w:t>G8</w:t>
            </w:r>
          </w:p>
        </w:tc>
        <w:tc>
          <w:tcPr>
            <w:tcW w:type="dxa" w:w="5156"/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sz w:val="16"/>
              </w:rPr>
              <w:t>MVP commercial autonome</w:t>
            </w:r>
          </w:p>
        </w:tc>
      </w:tr>
      <w:tr>
        <w:tc>
          <w:tcPr>
            <w:tcW w:type="dxa" w:w="5156"/>
            <w:vAlign w:val="center"/>
            <w:shd w:fill="F4F7F9"/>
          </w:tcPr>
          <w:p>
            <w:pPr>
              <w:spacing w:after="0"/>
            </w:pPr>
            <w:r>
              <w:rPr>
                <w:rFonts w:ascii="Aptos" w:hAnsi="Aptos" w:eastAsia="Aptos"/>
                <w:sz w:val="16"/>
              </w:rPr>
              <w:t>G9</w:t>
            </w:r>
          </w:p>
        </w:tc>
        <w:tc>
          <w:tcPr>
            <w:tcW w:type="dxa" w:w="5156"/>
            <w:vAlign w:val="center"/>
            <w:shd w:fill="F4F7F9"/>
          </w:tcPr>
          <w:p>
            <w:pPr>
              <w:spacing w:after="0"/>
            </w:pPr>
            <w:r>
              <w:rPr>
                <w:rFonts w:ascii="Aptos" w:hAnsi="Aptos" w:eastAsia="Aptos"/>
                <w:sz w:val="16"/>
              </w:rPr>
              <w:t>5 clients payants</w:t>
            </w:r>
          </w:p>
        </w:tc>
      </w:tr>
      <w:tr>
        <w:tc>
          <w:tcPr>
            <w:tcW w:type="dxa" w:w="5156"/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sz w:val="16"/>
              </w:rPr>
              <w:t>G10</w:t>
            </w:r>
          </w:p>
        </w:tc>
        <w:tc>
          <w:tcPr>
            <w:tcW w:type="dxa" w:w="5156"/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sz w:val="16"/>
              </w:rPr>
              <w:t>20 clients payants</w:t>
            </w:r>
          </w:p>
        </w:tc>
      </w:tr>
      <w:tr>
        <w:tc>
          <w:tcPr>
            <w:tcW w:type="dxa" w:w="5156"/>
            <w:vAlign w:val="center"/>
            <w:shd w:fill="F4F7F9"/>
          </w:tcPr>
          <w:p>
            <w:pPr>
              <w:spacing w:after="0"/>
            </w:pPr>
            <w:r>
              <w:rPr>
                <w:rFonts w:ascii="Aptos" w:hAnsi="Aptos" w:eastAsia="Aptos"/>
                <w:sz w:val="16"/>
              </w:rPr>
              <w:t>G11</w:t>
            </w:r>
          </w:p>
        </w:tc>
        <w:tc>
          <w:tcPr>
            <w:tcW w:type="dxa" w:w="5156"/>
            <w:vAlign w:val="center"/>
            <w:shd w:fill="F4F7F9"/>
          </w:tcPr>
          <w:p>
            <w:pPr>
              <w:spacing w:after="0"/>
            </w:pPr>
            <w:r>
              <w:rPr>
                <w:rFonts w:ascii="Aptos" w:hAnsi="Aptos" w:eastAsia="Aptos"/>
                <w:sz w:val="16"/>
              </w:rPr>
              <w:t>50 clients payants</w:t>
            </w:r>
          </w:p>
        </w:tc>
      </w:tr>
      <w:tr>
        <w:tc>
          <w:tcPr>
            <w:tcW w:type="dxa" w:w="5156"/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sz w:val="16"/>
              </w:rPr>
              <w:t>G12</w:t>
            </w:r>
          </w:p>
        </w:tc>
        <w:tc>
          <w:tcPr>
            <w:tcW w:type="dxa" w:w="5156"/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sz w:val="16"/>
              </w:rPr>
              <w:t>100+ clients / trajectoire 100k ARR</w:t>
            </w:r>
          </w:p>
        </w:tc>
      </w:tr>
    </w:tbl>
    <w:p>
      <w:pPr>
        <w:spacing w:after="20"/>
      </w:pPr>
    </w:p>
    <w:p>
      <w:pPr>
        <w:pStyle w:val="Heading1"/>
        <w:pBdr>
          <w:bottom w:val="single" w:sz="10" w:space="4" w:color="0E9AA7"/>
        </w:pBdr>
      </w:pPr>
      <w:r>
        <w:t>14. Mode de développement AI-first</w:t>
      </w:r>
    </w:p>
    <w:p>
      <w:r>
        <w:rPr>
          <w:rFonts w:ascii="Aptos" w:hAnsi="Aptos" w:eastAsia="Aptos"/>
        </w:rPr>
        <w:t>Chaque unité de travail est une SPEC courte avec entrée, sortie, tests et EVAL. L’agent codeur ne reçoit jamais “construis le produit”.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12"/>
      </w:tblGrid>
      <w:tr>
        <w:trPr>
          <w:cantSplit/>
        </w:trPr>
        <w:tc>
          <w:tcPr>
            <w:tcW w:type="dxa" w:w="10312"/>
            <w:shd w:fill="EAF5F6"/>
            <w:tcBorders>
              <w:top w:val="nil"/>
              <w:left w:val="single" w:sz="24" w:color="0E9AA7"/>
              <w:bottom w:val="nil"/>
              <w:right w:val="nil"/>
            </w:tcBorders>
          </w:tcPr>
          <w:p>
            <w:pPr>
              <w:spacing w:after="20"/>
            </w:pPr>
            <w:r>
              <w:rPr>
                <w:rFonts w:ascii="Aptos" w:hAnsi="Aptos" w:eastAsia="Aptos"/>
                <w:b/>
                <w:color w:val="0E9AA7"/>
                <w:sz w:val="15"/>
              </w:rPr>
              <w:t>FORMAT SPEC</w:t>
            </w:r>
          </w:p>
          <w:p>
            <w:pPr>
              <w:spacing w:after="20"/>
            </w:pPr>
            <w:r>
              <w:rPr>
                <w:rFonts w:ascii="Aptos" w:hAnsi="Aptos" w:eastAsia="Aptos"/>
                <w:b/>
                <w:color w:val="0D2A3F"/>
                <w:sz w:val="24"/>
              </w:rPr>
              <w:t>INPUT → OUTPUT → TESTS → EVIDENCE → EVAL → DONE</w:t>
            </w:r>
          </w:p>
        </w:tc>
      </w:tr>
    </w:tbl>
    <w:p>
      <w:pPr>
        <w:spacing w:after="0"/>
      </w:pPr>
    </w:p>
    <w:p>
      <w:pPr>
        <w:pStyle w:val="ListBullet"/>
        <w:spacing w:after="40"/>
        <w:ind w:left="255" w:hanging="113"/>
      </w:pPr>
      <w:r>
        <w:rPr>
          <w:rFonts w:ascii="Aptos" w:hAnsi="Aptos" w:eastAsia="Aptos"/>
          <w:sz w:val="18"/>
        </w:rPr>
        <w:t>Ne jamais modifier les schémas partagés sans SPEC explicite.</w:t>
      </w:r>
    </w:p>
    <w:p>
      <w:pPr>
        <w:pStyle w:val="ListBullet"/>
        <w:spacing w:after="40"/>
        <w:ind w:left="255" w:hanging="113"/>
      </w:pPr>
      <w:r>
        <w:rPr>
          <w:rFonts w:ascii="Aptos" w:hAnsi="Aptos" w:eastAsia="Aptos"/>
          <w:sz w:val="18"/>
        </w:rPr>
        <w:t>Ajouter les tests avant ou avec l’implémentation.</w:t>
      </w:r>
    </w:p>
    <w:p>
      <w:pPr>
        <w:pStyle w:val="ListBullet"/>
        <w:spacing w:after="40"/>
        <w:ind w:left="255" w:hanging="113"/>
      </w:pPr>
      <w:r>
        <w:rPr>
          <w:rFonts w:ascii="Aptos" w:hAnsi="Aptos" w:eastAsia="Aptos"/>
          <w:sz w:val="18"/>
        </w:rPr>
        <w:t>Conserver la provenance et la version du moteur pour chaque signal.</w:t>
      </w:r>
    </w:p>
    <w:p>
      <w:pPr>
        <w:pStyle w:val="ListBullet"/>
        <w:spacing w:after="40"/>
        <w:ind w:left="255" w:hanging="113"/>
      </w:pPr>
      <w:r>
        <w:rPr>
          <w:rFonts w:ascii="Aptos" w:hAnsi="Aptos" w:eastAsia="Aptos"/>
          <w:sz w:val="18"/>
        </w:rPr>
        <w:t>Signaler les ambiguïtés au lieu de fabriquer une certitude.</w:t>
      </w:r>
    </w:p>
    <w:p>
      <w:pPr>
        <w:pStyle w:val="ListBullet"/>
        <w:spacing w:after="40"/>
        <w:ind w:left="255" w:hanging="113"/>
      </w:pPr>
      <w:r>
        <w:rPr>
          <w:rFonts w:ascii="Aptos" w:hAnsi="Aptos" w:eastAsia="Aptos"/>
          <w:sz w:val="18"/>
        </w:rPr>
        <w:t>Faire repasser le benchmark des 100 signaux après toute modification majeure.</w:t>
      </w:r>
    </w:p>
    <w:p>
      <w:pPr>
        <w:pStyle w:val="ListBullet"/>
        <w:spacing w:after="40"/>
        <w:ind w:left="255" w:hanging="113"/>
      </w:pPr>
      <w:r>
        <w:rPr>
          <w:rFonts w:ascii="Aptos" w:hAnsi="Aptos" w:eastAsia="Aptos"/>
          <w:sz w:val="18"/>
        </w:rPr>
        <w:t>Préférer le code déterministe pour dates, montants, filtres et règles sûres.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rPr>
          <w:tblHeader w:val="true"/>
        </w:trPr>
        <w:tc>
          <w:tcPr>
            <w:tcW w:type="dxa" w:w="5156"/>
            <w:shd w:fill="0D2A3F"/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b/>
                <w:color w:val="FFFFFF"/>
                <w:sz w:val="16"/>
              </w:rPr>
              <w:t>DONE</w:t>
            </w:r>
          </w:p>
        </w:tc>
        <w:tc>
          <w:tcPr>
            <w:tcW w:type="dxa" w:w="5156"/>
            <w:shd w:fill="0D2A3F"/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b/>
                <w:color w:val="FFFFFF"/>
                <w:sz w:val="16"/>
              </w:rPr>
              <w:t>Signifie</w:t>
            </w:r>
          </w:p>
        </w:tc>
      </w:tr>
      <w:tr>
        <w:tc>
          <w:tcPr>
            <w:tcW w:type="dxa" w:w="5156"/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sz w:val="16"/>
              </w:rPr>
              <w:t>Code</w:t>
            </w:r>
          </w:p>
        </w:tc>
        <w:tc>
          <w:tcPr>
            <w:tcW w:type="dxa" w:w="5156"/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sz w:val="16"/>
              </w:rPr>
              <w:t>Build/tests verts</w:t>
            </w:r>
          </w:p>
        </w:tc>
      </w:tr>
      <w:tr>
        <w:tc>
          <w:tcPr>
            <w:tcW w:type="dxa" w:w="5156"/>
            <w:vAlign w:val="center"/>
            <w:shd w:fill="F4F7F9"/>
          </w:tcPr>
          <w:p>
            <w:pPr>
              <w:spacing w:after="0"/>
            </w:pPr>
            <w:r>
              <w:rPr>
                <w:rFonts w:ascii="Aptos" w:hAnsi="Aptos" w:eastAsia="Aptos"/>
                <w:sz w:val="16"/>
              </w:rPr>
              <w:t>Data</w:t>
            </w:r>
          </w:p>
        </w:tc>
        <w:tc>
          <w:tcPr>
            <w:tcW w:type="dxa" w:w="5156"/>
            <w:vAlign w:val="center"/>
            <w:shd w:fill="F4F7F9"/>
          </w:tcPr>
          <w:p>
            <w:pPr>
              <w:spacing w:after="0"/>
            </w:pPr>
            <w:r>
              <w:rPr>
                <w:rFonts w:ascii="Aptos" w:hAnsi="Aptos" w:eastAsia="Aptos"/>
                <w:sz w:val="16"/>
              </w:rPr>
              <w:t>Cas limites vérifiés sur vrais awards</w:t>
            </w:r>
          </w:p>
        </w:tc>
      </w:tr>
      <w:tr>
        <w:tc>
          <w:tcPr>
            <w:tcW w:type="dxa" w:w="5156"/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sz w:val="16"/>
              </w:rPr>
              <w:t>IA</w:t>
            </w:r>
          </w:p>
        </w:tc>
        <w:tc>
          <w:tcPr>
            <w:tcW w:type="dxa" w:w="5156"/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sz w:val="16"/>
              </w:rPr>
              <w:t>Pas de régression critique sur benchmark</w:t>
            </w:r>
          </w:p>
        </w:tc>
      </w:tr>
      <w:tr>
        <w:tc>
          <w:tcPr>
            <w:tcW w:type="dxa" w:w="5156"/>
            <w:vAlign w:val="center"/>
            <w:shd w:fill="F4F7F9"/>
          </w:tcPr>
          <w:p>
            <w:pPr>
              <w:spacing w:after="0"/>
            </w:pPr>
            <w:r>
              <w:rPr>
                <w:rFonts w:ascii="Aptos" w:hAnsi="Aptos" w:eastAsia="Aptos"/>
                <w:sz w:val="16"/>
              </w:rPr>
              <w:t>Produit</w:t>
            </w:r>
          </w:p>
        </w:tc>
        <w:tc>
          <w:tcPr>
            <w:tcW w:type="dxa" w:w="5156"/>
            <w:vAlign w:val="center"/>
            <w:shd w:fill="F4F7F9"/>
          </w:tcPr>
          <w:p>
            <w:pPr>
              <w:spacing w:after="0"/>
            </w:pPr>
            <w:r>
              <w:rPr>
                <w:rFonts w:ascii="Aptos" w:hAnsi="Aptos" w:eastAsia="Aptos"/>
                <w:sz w:val="16"/>
              </w:rPr>
              <w:t>Parcours fonctionnel en staging</w:t>
            </w:r>
          </w:p>
        </w:tc>
      </w:tr>
      <w:tr>
        <w:tc>
          <w:tcPr>
            <w:tcW w:type="dxa" w:w="5156"/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sz w:val="16"/>
              </w:rPr>
              <w:t>Business</w:t>
            </w:r>
          </w:p>
        </w:tc>
        <w:tc>
          <w:tcPr>
            <w:tcW w:type="dxa" w:w="5156"/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sz w:val="16"/>
              </w:rPr>
              <w:t>Gate comportemental ou revenu atteint</w:t>
            </w:r>
          </w:p>
        </w:tc>
      </w:tr>
    </w:tbl>
    <w:p>
      <w:pPr>
        <w:spacing w:after="20"/>
      </w:pPr>
    </w:p>
    <w:p>
      <w:pPr>
        <w:pStyle w:val="Heading1"/>
        <w:pBdr>
          <w:bottom w:val="single" w:sz="10" w:space="4" w:color="0E9AA7"/>
        </w:pBdr>
      </w:pPr>
      <w:r>
        <w:t>15. Prochaine action immédiate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12"/>
      </w:tblGrid>
      <w:tr>
        <w:trPr>
          <w:cantSplit/>
        </w:trPr>
        <w:tc>
          <w:tcPr>
            <w:tcW w:type="dxa" w:w="10312"/>
            <w:shd w:fill="EAF5F6"/>
            <w:tcBorders>
              <w:top w:val="nil"/>
              <w:left w:val="single" w:sz="24" w:color="0E9AA7"/>
              <w:bottom w:val="nil"/>
              <w:right w:val="nil"/>
            </w:tcBorders>
          </w:tcPr>
          <w:p>
            <w:pPr>
              <w:spacing w:after="20"/>
            </w:pPr>
            <w:r>
              <w:rPr>
                <w:rFonts w:ascii="Aptos" w:hAnsi="Aptos" w:eastAsia="Aptos"/>
                <w:b/>
                <w:color w:val="0E9AA7"/>
                <w:sz w:val="15"/>
              </w:rPr>
              <w:t>START</w:t>
            </w:r>
          </w:p>
          <w:p>
            <w:pPr>
              <w:spacing w:after="20"/>
            </w:pPr>
            <w:r>
              <w:rPr>
                <w:rFonts w:ascii="Aptos" w:hAnsi="Aptos" w:eastAsia="Aptos"/>
                <w:b/>
                <w:color w:val="0D2A3F"/>
                <w:sz w:val="24"/>
              </w:rPr>
              <w:t>SPEC-001 : définir le schéma ContractAward/PublicEvent commun à SIMAP et TED. SPEC-002 : connecteur TED Awards. SPEC-003 : connecteur SIMAP Awards. Puis constituer le benchmark des 100 adjudications.</w:t>
            </w:r>
          </w:p>
        </w:tc>
      </w:tr>
    </w:tbl>
    <w:p>
      <w:pPr>
        <w:spacing w:after="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850" w:right="964" w:bottom="794" w:left="964" w:header="283" w:footer="28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auto" w:w="0"/>
      <w:jc w:val="center"/>
      <w:tblLook w:firstColumn="1" w:firstRow="1" w:lastColumn="0" w:lastRow="0" w:noHBand="0" w:noVBand="1" w:val="04A0"/>
    </w:tblPr>
    <w:tblGrid>
      <w:gridCol w:w="4819"/>
      <w:gridCol w:w="4819"/>
    </w:tblGrid>
    <w:tr>
      <w:tc>
        <w:tcPr>
          <w:tcW w:type="dxa" w:w="6803"/>
        </w:tcPr>
        <w:p>
          <w:r>
            <w:rPr>
              <w:rFonts w:ascii="Aptos" w:hAnsi="Aptos" w:eastAsia="Aptos"/>
              <w:color w:val="667784"/>
              <w:sz w:val="15"/>
            </w:rPr>
            <w:t>Document de référence — v2.0 • 16 août 2026</w:t>
          </w:r>
        </w:p>
      </w:tc>
      <w:tc>
        <w:tcPr>
          <w:tcW w:type="dxa" w:w="2835"/>
        </w:tcPr>
        <w:p>
          <w:pPr>
            <w:jc w:val="right"/>
          </w:pPr>
          <w:r>
            <w:rPr>
              <w:rFonts w:ascii="Aptos" w:hAnsi="Aptos" w:eastAsia="Aptos"/>
              <w:color w:val="667784"/>
              <w:sz w:val="16"/>
            </w:rPr>
            <w:t xml:space="preserve">Page </w:t>
            <w:fldChar w:fldCharType="begin"/>
            <w:instrText xml:space="preserve"> PAGE </w:instrText>
            <w:fldChar w:fldCharType="end"/>
          </w:r>
          <w:r>
            <w:rPr>
              <w:rFonts w:ascii="Aptos" w:hAnsi="Aptos" w:eastAsia="Aptos"/>
              <w:color w:val="667784"/>
              <w:sz w:val="16"/>
            </w:rPr>
            <w:t xml:space="preserve"> / </w:t>
          </w:r>
          <w:r>
            <w:fldChar w:fldCharType="begin"/>
            <w:instrText xml:space="preserve"> NUMPAGES </w:instrText>
            <w:fldChar w:fldCharType="end"/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/>
    <w:r>
      <w:rPr>
        <w:rFonts w:ascii="Aptos" w:hAnsi="Aptos" w:eastAsia="Aptos"/>
        <w:color w:val="667784"/>
        <w:sz w:val="15"/>
      </w:rPr>
      <w:t>Projet Award &amp; Sales Signals / Roadmap MVP + Marketing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2" w:lineRule="auto"/>
    </w:pPr>
    <w:rPr>
      <w:rFonts w:ascii="Aptos" w:hAnsi="Aptos"/>
      <w:color w:val="1E2B36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40" w:after="8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0D2A3F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80" w:after="8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0E9AA7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40" w:after="8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0D2A3F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80" w:line="240" w:lineRule="auto" w:before="0"/>
      <w:contextualSpacing/>
    </w:pPr>
    <w:rPr>
      <w:rFonts w:asciiTheme="majorHAnsi" w:eastAsiaTheme="majorEastAsia" w:hAnsiTheme="majorHAnsi" w:cstheme="majorBidi" w:ascii="Aptos Display" w:hAnsi="Aptos Display"/>
      <w:b/>
      <w:color w:val="0D2A3F"/>
      <w:spacing w:val="5"/>
      <w:kern w:val="28"/>
      <w:sz w:val="5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ectionLabel">
    <w:name w:val="Section Label"/>
    <w:pPr>
      <w:spacing w:after="40"/>
    </w:pPr>
    <w:rPr>
      <w:rFonts w:ascii="Aptos" w:hAnsi="Aptos"/>
      <w:b/>
      <w:color w:val="0E9AA7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