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eastAsia="Aptos"/>
          <w:b/>
          <w:color w:val="0E9AA7"/>
          <w:sz w:val="20"/>
        </w:rPr>
        <w:t>PROJET SUISSE + UNION EUROPÉENNE</w:t>
      </w:r>
    </w:p>
    <w:p>
      <w:pPr>
        <w:pStyle w:val="Title"/>
      </w:pPr>
      <w:r>
        <w:t>PLAN DIRECTEUR</w:t>
        <w:br/>
        <w:t>AWARD &amp; SALES SIGNALS</w:t>
      </w:r>
    </w:p>
    <w:p>
      <w:pPr>
        <w:spacing w:after="100"/>
        <w:pBdr>
          <w:bottom w:val="single" w:sz="8" w:space="1" w:color="0E9AA7"/>
        </w:pBdr>
      </w:pPr>
    </w:p>
    <w:p>
      <w:r>
        <w:rPr>
          <w:rFonts w:ascii="Aptos" w:hAnsi="Aptos" w:eastAsia="Aptos"/>
          <w:color w:val="667784"/>
          <w:sz w:val="28"/>
        </w:rPr>
        <w:t>Transformer les adjudications publiques en opportunités commerciales B2B actionnables.</w:t>
      </w:r>
    </w:p>
    <w:p>
      <w:r>
        <w:rPr>
          <w:rFonts w:ascii="Aptos" w:hAnsi="Aptos" w:eastAsia="Aptos"/>
          <w:i/>
          <w:color w:val="667784"/>
          <w:sz w:val="17"/>
        </w:rPr>
        <w:t>Nom de marque à définir • Pivot stratégique v2.0</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PROMESSE CENTRALE</w:t>
            </w:r>
          </w:p>
          <w:p>
            <w:pPr>
              <w:spacing w:after="20"/>
            </w:pPr>
            <w:r>
              <w:rPr>
                <w:rFonts w:ascii="Aptos" w:hAnsi="Aptos" w:eastAsia="Aptos"/>
                <w:b/>
                <w:color w:val="0D2A3F"/>
                <w:sz w:val="24"/>
              </w:rPr>
              <w:t>Savoir quelles entreprises viennent de gagner, ce que cela change probablement pour elles, et quand les contacter.</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268"/>
            <w:shd w:fill="0D2A3F"/>
            <w:vAlign w:val="center"/>
          </w:tcPr>
          <w:p>
            <w:pPr>
              <w:spacing w:after="0"/>
            </w:pPr>
            <w:r>
              <w:rPr>
                <w:rFonts w:ascii="Aptos" w:hAnsi="Aptos" w:eastAsia="Aptos"/>
                <w:b/>
                <w:color w:val="FFFFFF"/>
                <w:sz w:val="16"/>
              </w:rPr>
              <w:t>Statut</w:t>
            </w:r>
          </w:p>
        </w:tc>
        <w:tc>
          <w:tcPr>
            <w:tcW w:type="dxa" w:w="6803"/>
            <w:shd w:fill="0D2A3F"/>
            <w:vAlign w:val="center"/>
          </w:tcPr>
          <w:p>
            <w:pPr>
              <w:spacing w:after="0"/>
            </w:pPr>
            <w:r>
              <w:rPr>
                <w:rFonts w:ascii="Aptos" w:hAnsi="Aptos" w:eastAsia="Aptos"/>
                <w:b/>
                <w:color w:val="FFFFFF"/>
                <w:sz w:val="16"/>
              </w:rPr>
              <w:t>Valeur</w:t>
            </w:r>
          </w:p>
        </w:tc>
      </w:tr>
      <w:tr>
        <w:tc>
          <w:tcPr>
            <w:tcW w:type="dxa" w:w="2268"/>
            <w:vAlign w:val="center"/>
          </w:tcPr>
          <w:p>
            <w:pPr>
              <w:spacing w:after="0"/>
            </w:pPr>
            <w:r>
              <w:rPr>
                <w:rFonts w:ascii="Aptos" w:hAnsi="Aptos" w:eastAsia="Aptos"/>
                <w:sz w:val="16"/>
              </w:rPr>
              <w:t>Priorité</w:t>
            </w:r>
          </w:p>
        </w:tc>
        <w:tc>
          <w:tcPr>
            <w:tcW w:type="dxa" w:w="6803"/>
            <w:vAlign w:val="center"/>
          </w:tcPr>
          <w:p>
            <w:pPr>
              <w:spacing w:after="0"/>
            </w:pPr>
            <w:r>
              <w:rPr>
                <w:rFonts w:ascii="Aptos" w:hAnsi="Aptos" w:eastAsia="Aptos"/>
                <w:sz w:val="16"/>
              </w:rPr>
              <w:t>Produit n°1 du projet</w:t>
            </w:r>
          </w:p>
        </w:tc>
      </w:tr>
      <w:tr>
        <w:tc>
          <w:tcPr>
            <w:tcW w:type="dxa" w:w="2268"/>
            <w:vAlign w:val="center"/>
            <w:shd w:fill="F4F7F9"/>
          </w:tcPr>
          <w:p>
            <w:pPr>
              <w:spacing w:after="0"/>
            </w:pPr>
            <w:r>
              <w:rPr>
                <w:rFonts w:ascii="Aptos" w:hAnsi="Aptos" w:eastAsia="Aptos"/>
                <w:sz w:val="16"/>
              </w:rPr>
              <w:t>Périmètre initial</w:t>
            </w:r>
          </w:p>
        </w:tc>
        <w:tc>
          <w:tcPr>
            <w:tcW w:type="dxa" w:w="6803"/>
            <w:vAlign w:val="center"/>
            <w:shd w:fill="F4F7F9"/>
          </w:tcPr>
          <w:p>
            <w:pPr>
              <w:spacing w:after="0"/>
            </w:pPr>
            <w:r>
              <w:rPr>
                <w:rFonts w:ascii="Aptos" w:hAnsi="Aptos" w:eastAsia="Aptos"/>
                <w:sz w:val="16"/>
              </w:rPr>
              <w:t>Suisse + Union européenne</w:t>
            </w:r>
          </w:p>
        </w:tc>
      </w:tr>
      <w:tr>
        <w:tc>
          <w:tcPr>
            <w:tcW w:type="dxa" w:w="2268"/>
            <w:vAlign w:val="center"/>
          </w:tcPr>
          <w:p>
            <w:pPr>
              <w:spacing w:after="0"/>
            </w:pPr>
            <w:r>
              <w:rPr>
                <w:rFonts w:ascii="Aptos" w:hAnsi="Aptos" w:eastAsia="Aptos"/>
                <w:sz w:val="16"/>
              </w:rPr>
              <w:t>Sources prioritaires</w:t>
            </w:r>
          </w:p>
        </w:tc>
        <w:tc>
          <w:tcPr>
            <w:tcW w:type="dxa" w:w="6803"/>
            <w:vAlign w:val="center"/>
          </w:tcPr>
          <w:p>
            <w:pPr>
              <w:spacing w:after="0"/>
            </w:pPr>
            <w:r>
              <w:rPr>
                <w:rFonts w:ascii="Aptos" w:hAnsi="Aptos" w:eastAsia="Aptos"/>
                <w:sz w:val="16"/>
              </w:rPr>
              <w:t>SIMAP + TED ; IntelliProcure pour l’historique suisse si utile</w:t>
            </w:r>
          </w:p>
        </w:tc>
      </w:tr>
      <w:tr>
        <w:tc>
          <w:tcPr>
            <w:tcW w:type="dxa" w:w="2268"/>
            <w:vAlign w:val="center"/>
            <w:shd w:fill="F4F7F9"/>
          </w:tcPr>
          <w:p>
            <w:pPr>
              <w:spacing w:after="0"/>
            </w:pPr>
            <w:r>
              <w:rPr>
                <w:rFonts w:ascii="Aptos" w:hAnsi="Aptos" w:eastAsia="Aptos"/>
                <w:sz w:val="16"/>
              </w:rPr>
              <w:t>Objectif business</w:t>
            </w:r>
          </w:p>
        </w:tc>
        <w:tc>
          <w:tcPr>
            <w:tcW w:type="dxa" w:w="6803"/>
            <w:vAlign w:val="center"/>
            <w:shd w:fill="F4F7F9"/>
          </w:tcPr>
          <w:p>
            <w:pPr>
              <w:spacing w:after="0"/>
            </w:pPr>
            <w:r>
              <w:rPr>
                <w:rFonts w:ascii="Aptos" w:hAnsi="Aptos" w:eastAsia="Aptos"/>
                <w:sz w:val="16"/>
              </w:rPr>
              <w:t>100 000 CHF ARR</w:t>
            </w:r>
          </w:p>
        </w:tc>
      </w:tr>
      <w:tr>
        <w:tc>
          <w:tcPr>
            <w:tcW w:type="dxa" w:w="2268"/>
            <w:vAlign w:val="center"/>
          </w:tcPr>
          <w:p>
            <w:pPr>
              <w:spacing w:after="0"/>
            </w:pPr>
            <w:r>
              <w:rPr>
                <w:rFonts w:ascii="Aptos" w:hAnsi="Aptos" w:eastAsia="Aptos"/>
                <w:sz w:val="16"/>
              </w:rPr>
              <w:t>Ordre</w:t>
            </w:r>
          </w:p>
        </w:tc>
        <w:tc>
          <w:tcPr>
            <w:tcW w:type="dxa" w:w="6803"/>
            <w:vAlign w:val="center"/>
          </w:tcPr>
          <w:p>
            <w:pPr>
              <w:spacing w:after="0"/>
            </w:pPr>
            <w:r>
              <w:rPr>
                <w:rFonts w:ascii="Aptos" w:hAnsi="Aptos" w:eastAsia="Aptos"/>
                <w:sz w:val="16"/>
              </w:rPr>
              <w:t>MVP → validation commerciale → marketing → croissance</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CF7F1"/>
            <w:tcBorders>
              <w:top w:val="nil"/>
              <w:left w:val="single" w:sz="24" w:color="0B7A53"/>
              <w:bottom w:val="nil"/>
              <w:right w:val="nil"/>
            </w:tcBorders>
          </w:tcPr>
          <w:p>
            <w:pPr>
              <w:spacing w:after="20"/>
            </w:pPr>
            <w:r>
              <w:rPr>
                <w:rFonts w:ascii="Aptos" w:hAnsi="Aptos" w:eastAsia="Aptos"/>
                <w:b/>
                <w:color w:val="0B7A53"/>
                <w:sz w:val="15"/>
              </w:rPr>
              <w:t>RÈGLE DE FOCUS</w:t>
            </w:r>
          </w:p>
          <w:p>
            <w:pPr>
              <w:spacing w:after="20"/>
            </w:pPr>
            <w:r>
              <w:rPr>
                <w:rFonts w:ascii="Aptos" w:hAnsi="Aptos" w:eastAsia="Aptos"/>
                <w:b/>
                <w:color w:val="0D2A3F"/>
                <w:sz w:val="24"/>
              </w:rPr>
              <w:t>Tant que le moteur de Sales Signals n’a pas obtenu des paiements répétés, aucun autre module d’intelligence marchés publics ne devient une priorité.</w:t>
            </w:r>
          </w:p>
        </w:tc>
      </w:tr>
    </w:tbl>
    <w:p>
      <w:pPr>
        <w:spacing w:after="0"/>
      </w:pPr>
    </w:p>
    <w:p>
      <w:r>
        <w:br w:type="page"/>
      </w:r>
    </w:p>
    <w:p>
      <w:pPr>
        <w:pStyle w:val="Heading1"/>
        <w:pBdr>
          <w:bottom w:val="single" w:sz="10" w:space="4" w:color="0E9AA7"/>
        </w:pBdr>
      </w:pPr>
      <w:r>
        <w:t>1. Objet du pivot</w:t>
      </w:r>
    </w:p>
    <w:p>
      <w:r>
        <w:rPr>
          <w:rFonts w:ascii="Aptos" w:hAnsi="Aptos" w:eastAsia="Aptos"/>
        </w:rPr>
        <w:t>Le projet ne cherche plus à lancer d’abord un SaaS Go/No-Go. Le premier produit commercial est désormais un moteur de signaux de vente issus des adjudications publiques. GoSimap reste un actif secondaire et réutilisable, mais il ne doit pas détourner l’exécution du MVP.</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QUESTION PRODUIT</w:t>
            </w:r>
          </w:p>
          <w:p>
            <w:pPr>
              <w:spacing w:after="20"/>
            </w:pPr>
            <w:r>
              <w:rPr>
                <w:rFonts w:ascii="Aptos" w:hAnsi="Aptos" w:eastAsia="Aptos"/>
                <w:b/>
                <w:color w:val="0D2A3F"/>
                <w:sz w:val="24"/>
              </w:rPr>
              <w:t>Quel événement public vient de créer une raison crédible de contacter cette entreprise maintenant ?</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Avant</w:t>
            </w:r>
          </w:p>
        </w:tc>
        <w:tc>
          <w:tcPr>
            <w:tcW w:type="dxa" w:w="5156"/>
            <w:shd w:fill="0D2A3F"/>
            <w:vAlign w:val="center"/>
          </w:tcPr>
          <w:p>
            <w:pPr>
              <w:spacing w:after="0"/>
            </w:pPr>
            <w:r>
              <w:rPr>
                <w:rFonts w:ascii="Aptos" w:hAnsi="Aptos" w:eastAsia="Aptos"/>
                <w:b/>
                <w:color w:val="FFFFFF"/>
                <w:sz w:val="16"/>
              </w:rPr>
              <w:t>Après le pivot</w:t>
            </w:r>
          </w:p>
        </w:tc>
      </w:tr>
      <w:tr>
        <w:tc>
          <w:tcPr>
            <w:tcW w:type="dxa" w:w="5156"/>
            <w:vAlign w:val="center"/>
          </w:tcPr>
          <w:p>
            <w:pPr>
              <w:spacing w:after="0"/>
            </w:pPr>
            <w:r>
              <w:rPr>
                <w:rFonts w:ascii="Aptos" w:hAnsi="Aptos" w:eastAsia="Aptos"/>
                <w:sz w:val="16"/>
              </w:rPr>
              <w:t>Entreprise cherche un appel d’offres</w:t>
            </w:r>
          </w:p>
        </w:tc>
        <w:tc>
          <w:tcPr>
            <w:tcW w:type="dxa" w:w="5156"/>
            <w:vAlign w:val="center"/>
          </w:tcPr>
          <w:p>
            <w:pPr>
              <w:spacing w:after="0"/>
            </w:pPr>
            <w:r>
              <w:rPr>
                <w:rFonts w:ascii="Aptos" w:hAnsi="Aptos" w:eastAsia="Aptos"/>
                <w:sz w:val="16"/>
              </w:rPr>
              <w:t>Fournisseur cherche des entreprises qui viennent de gagner</w:t>
            </w:r>
          </w:p>
        </w:tc>
      </w:tr>
      <w:tr>
        <w:tc>
          <w:tcPr>
            <w:tcW w:type="dxa" w:w="5156"/>
            <w:vAlign w:val="center"/>
            <w:shd w:fill="F4F7F9"/>
          </w:tcPr>
          <w:p>
            <w:pPr>
              <w:spacing w:after="0"/>
            </w:pPr>
            <w:r>
              <w:rPr>
                <w:rFonts w:ascii="Aptos" w:hAnsi="Aptos" w:eastAsia="Aptos"/>
                <w:sz w:val="16"/>
              </w:rPr>
              <w:t>Veille + Go/No-Go</w:t>
            </w:r>
          </w:p>
        </w:tc>
        <w:tc>
          <w:tcPr>
            <w:tcW w:type="dxa" w:w="5156"/>
            <w:vAlign w:val="center"/>
            <w:shd w:fill="F4F7F9"/>
          </w:tcPr>
          <w:p>
            <w:pPr>
              <w:spacing w:after="0"/>
            </w:pPr>
            <w:r>
              <w:rPr>
                <w:rFonts w:ascii="Aptos" w:hAnsi="Aptos" w:eastAsia="Aptos"/>
                <w:sz w:val="16"/>
              </w:rPr>
              <w:t>Award intelligence + Sales Signal</w:t>
            </w:r>
          </w:p>
        </w:tc>
      </w:tr>
      <w:tr>
        <w:tc>
          <w:tcPr>
            <w:tcW w:type="dxa" w:w="5156"/>
            <w:vAlign w:val="center"/>
          </w:tcPr>
          <w:p>
            <w:pPr>
              <w:spacing w:after="0"/>
            </w:pPr>
            <w:r>
              <w:rPr>
                <w:rFonts w:ascii="Aptos" w:hAnsi="Aptos" w:eastAsia="Aptos"/>
                <w:sz w:val="16"/>
              </w:rPr>
              <w:t>Monétisation par analyse</w:t>
            </w:r>
          </w:p>
        </w:tc>
        <w:tc>
          <w:tcPr>
            <w:tcW w:type="dxa" w:w="5156"/>
            <w:vAlign w:val="center"/>
          </w:tcPr>
          <w:p>
            <w:pPr>
              <w:spacing w:after="0"/>
            </w:pPr>
            <w:r>
              <w:rPr>
                <w:rFonts w:ascii="Aptos" w:hAnsi="Aptos" w:eastAsia="Aptos"/>
                <w:sz w:val="16"/>
              </w:rPr>
              <w:t>Abonnement récurrent à un flux de signaux</w:t>
            </w:r>
          </w:p>
        </w:tc>
      </w:tr>
      <w:tr>
        <w:tc>
          <w:tcPr>
            <w:tcW w:type="dxa" w:w="5156"/>
            <w:vAlign w:val="center"/>
            <w:shd w:fill="F4F7F9"/>
          </w:tcPr>
          <w:p>
            <w:pPr>
              <w:spacing w:after="0"/>
            </w:pPr>
            <w:r>
              <w:rPr>
                <w:rFonts w:ascii="Aptos" w:hAnsi="Aptos" w:eastAsia="Aptos"/>
                <w:sz w:val="16"/>
              </w:rPr>
              <w:t>Suisse principalement</w:t>
            </w:r>
          </w:p>
        </w:tc>
        <w:tc>
          <w:tcPr>
            <w:tcW w:type="dxa" w:w="5156"/>
            <w:vAlign w:val="center"/>
            <w:shd w:fill="F4F7F9"/>
          </w:tcPr>
          <w:p>
            <w:pPr>
              <w:spacing w:after="0"/>
            </w:pPr>
            <w:r>
              <w:rPr>
                <w:rFonts w:ascii="Aptos" w:hAnsi="Aptos" w:eastAsia="Aptos"/>
                <w:sz w:val="16"/>
              </w:rPr>
              <w:t>Suisse + UE dès l’architecture</w:t>
            </w:r>
          </w:p>
        </w:tc>
      </w:tr>
      <w:tr>
        <w:tc>
          <w:tcPr>
            <w:tcW w:type="dxa" w:w="5156"/>
            <w:vAlign w:val="center"/>
          </w:tcPr>
          <w:p>
            <w:pPr>
              <w:spacing w:after="0"/>
            </w:pPr>
            <w:r>
              <w:rPr>
                <w:rFonts w:ascii="Aptos" w:hAnsi="Aptos" w:eastAsia="Aptos"/>
                <w:sz w:val="16"/>
              </w:rPr>
              <w:t>Valeur = décision de soumission</w:t>
            </w:r>
          </w:p>
        </w:tc>
        <w:tc>
          <w:tcPr>
            <w:tcW w:type="dxa" w:w="5156"/>
            <w:vAlign w:val="center"/>
          </w:tcPr>
          <w:p>
            <w:pPr>
              <w:spacing w:after="0"/>
            </w:pPr>
            <w:r>
              <w:rPr>
                <w:rFonts w:ascii="Aptos" w:hAnsi="Aptos" w:eastAsia="Aptos"/>
                <w:sz w:val="16"/>
              </w:rPr>
              <w:t>Valeur = timing commercial et nouveaux prospects</w:t>
            </w:r>
          </w:p>
        </w:tc>
      </w:tr>
    </w:tbl>
    <w:p>
      <w:pPr>
        <w:spacing w:after="20"/>
      </w:pPr>
    </w:p>
    <w:p>
      <w:r>
        <w:rPr>
          <w:rFonts w:ascii="Aptos" w:hAnsi="Aptos" w:eastAsia="Aptos"/>
        </w:rPr>
        <w:t>La matière première reste la commande publique. La proposition de valeur change : nous vendons une intelligence commerciale dérivée d’un événement vérifiable.</w:t>
      </w:r>
    </w:p>
    <w:p>
      <w:pPr>
        <w:pStyle w:val="Heading1"/>
        <w:pBdr>
          <w:bottom w:val="single" w:sz="10" w:space="4" w:color="0E9AA7"/>
        </w:pBdr>
      </w:pPr>
      <w:r>
        <w:t>2. Périmètre du produit V1</w:t>
      </w:r>
    </w:p>
    <w:tbl>
      <w:tblPr>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c>
          <w:tcPr>
            <w:tcW w:type="dxa" w:w="128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SIMAP / TED</w:t>
            </w:r>
          </w:p>
        </w:tc>
        <w:tc>
          <w:tcPr>
            <w:tcW w:type="dxa" w:w="128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AWARD</w:t>
            </w:r>
          </w:p>
        </w:tc>
        <w:tc>
          <w:tcPr>
            <w:tcW w:type="dxa" w:w="128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GAGNANT</w:t>
            </w:r>
          </w:p>
        </w:tc>
        <w:tc>
          <w:tcPr>
            <w:tcW w:type="dxa" w:w="128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CONTRAT</w:t>
            </w:r>
          </w:p>
        </w:tc>
        <w:tc>
          <w:tcPr>
            <w:tcW w:type="dxa" w:w="128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BESOINS</w:t>
            </w:r>
          </w:p>
        </w:tc>
        <w:tc>
          <w:tcPr>
            <w:tcW w:type="dxa" w:w="128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ICP</w:t>
            </w:r>
          </w:p>
        </w:tc>
        <w:tc>
          <w:tcPr>
            <w:tcW w:type="dxa" w:w="128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SIGNAL</w:t>
            </w:r>
          </w:p>
        </w:tc>
        <w:tc>
          <w:tcPr>
            <w:tcW w:type="dxa" w:w="128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ACTION</w:t>
            </w:r>
          </w:p>
        </w:tc>
      </w:tr>
    </w:tbl>
    <w:p>
      <w:pPr>
        <w:spacing w:after="20"/>
      </w:pPr>
    </w:p>
    <w:p>
      <w:r>
        <w:rPr>
          <w:rFonts w:ascii="Aptos" w:hAnsi="Aptos" w:eastAsia="Aptos"/>
        </w:rPr>
        <w:t>Le V1 doit produire un signal court, sourcé et immédiatement exploitable. Il ne tente pas de couvrir toute l’intelligence marchés publics.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Inclus V1</w:t>
            </w:r>
          </w:p>
        </w:tc>
        <w:tc>
          <w:tcPr>
            <w:tcW w:type="dxa" w:w="5156"/>
            <w:shd w:fill="0D2A3F"/>
            <w:vAlign w:val="center"/>
          </w:tcPr>
          <w:p>
            <w:pPr>
              <w:spacing w:after="0"/>
            </w:pPr>
            <w:r>
              <w:rPr>
                <w:rFonts w:ascii="Aptos" w:hAnsi="Aptos" w:eastAsia="Aptos"/>
                <w:b/>
                <w:color w:val="FFFFFF"/>
                <w:sz w:val="16"/>
              </w:rPr>
              <w:t>Hors V1</w:t>
            </w:r>
          </w:p>
        </w:tc>
      </w:tr>
      <w:tr>
        <w:tc>
          <w:tcPr>
            <w:tcW w:type="dxa" w:w="5156"/>
            <w:vAlign w:val="center"/>
          </w:tcPr>
          <w:p>
            <w:pPr>
              <w:spacing w:after="0"/>
            </w:pPr>
            <w:r>
              <w:rPr>
                <w:rFonts w:ascii="Aptos" w:hAnsi="Aptos" w:eastAsia="Aptos"/>
                <w:sz w:val="16"/>
              </w:rPr>
              <w:t>Adjudications récentes</w:t>
            </w:r>
          </w:p>
        </w:tc>
        <w:tc>
          <w:tcPr>
            <w:tcW w:type="dxa" w:w="5156"/>
            <w:vAlign w:val="center"/>
          </w:tcPr>
          <w:p>
            <w:pPr>
              <w:spacing w:after="0"/>
            </w:pPr>
            <w:r>
              <w:rPr>
                <w:rFonts w:ascii="Aptos" w:hAnsi="Aptos" w:eastAsia="Aptos"/>
                <w:sz w:val="16"/>
              </w:rPr>
              <w:t>Market Intelligence générale</w:t>
            </w:r>
          </w:p>
        </w:tc>
      </w:tr>
      <w:tr>
        <w:tc>
          <w:tcPr>
            <w:tcW w:type="dxa" w:w="5156"/>
            <w:vAlign w:val="center"/>
            <w:shd w:fill="F4F7F9"/>
          </w:tcPr>
          <w:p>
            <w:pPr>
              <w:spacing w:after="0"/>
            </w:pPr>
            <w:r>
              <w:rPr>
                <w:rFonts w:ascii="Aptos" w:hAnsi="Aptos" w:eastAsia="Aptos"/>
                <w:sz w:val="16"/>
              </w:rPr>
              <w:t>Identification du gagnant</w:t>
            </w:r>
          </w:p>
        </w:tc>
        <w:tc>
          <w:tcPr>
            <w:tcW w:type="dxa" w:w="5156"/>
            <w:vAlign w:val="center"/>
            <w:shd w:fill="F4F7F9"/>
          </w:tcPr>
          <w:p>
            <w:pPr>
              <w:spacing w:after="0"/>
            </w:pPr>
            <w:r>
              <w:rPr>
                <w:rFonts w:ascii="Aptos" w:hAnsi="Aptos" w:eastAsia="Aptos"/>
                <w:sz w:val="16"/>
              </w:rPr>
              <w:t>Buyer Intelligence complète</w:t>
            </w:r>
          </w:p>
        </w:tc>
      </w:tr>
      <w:tr>
        <w:tc>
          <w:tcPr>
            <w:tcW w:type="dxa" w:w="5156"/>
            <w:vAlign w:val="center"/>
          </w:tcPr>
          <w:p>
            <w:pPr>
              <w:spacing w:after="0"/>
            </w:pPr>
            <w:r>
              <w:rPr>
                <w:rFonts w:ascii="Aptos" w:hAnsi="Aptos" w:eastAsia="Aptos"/>
                <w:sz w:val="16"/>
              </w:rPr>
              <w:t>Valeur, CPV, lieu, dates, lot</w:t>
            </w:r>
          </w:p>
        </w:tc>
        <w:tc>
          <w:tcPr>
            <w:tcW w:type="dxa" w:w="5156"/>
            <w:vAlign w:val="center"/>
          </w:tcPr>
          <w:p>
            <w:pPr>
              <w:spacing w:after="0"/>
            </w:pPr>
            <w:r>
              <w:rPr>
                <w:rFonts w:ascii="Aptos" w:hAnsi="Aptos" w:eastAsia="Aptos"/>
                <w:sz w:val="16"/>
              </w:rPr>
              <w:t>Competitive Intelligence avancée</w:t>
            </w:r>
          </w:p>
        </w:tc>
      </w:tr>
      <w:tr>
        <w:tc>
          <w:tcPr>
            <w:tcW w:type="dxa" w:w="5156"/>
            <w:vAlign w:val="center"/>
            <w:shd w:fill="F4F7F9"/>
          </w:tcPr>
          <w:p>
            <w:pPr>
              <w:spacing w:after="0"/>
            </w:pPr>
            <w:r>
              <w:rPr>
                <w:rFonts w:ascii="Aptos" w:hAnsi="Aptos" w:eastAsia="Aptos"/>
                <w:sz w:val="16"/>
              </w:rPr>
              <w:t>Compréhension du contrat</w:t>
            </w:r>
          </w:p>
        </w:tc>
        <w:tc>
          <w:tcPr>
            <w:tcW w:type="dxa" w:w="5156"/>
            <w:vAlign w:val="center"/>
            <w:shd w:fill="F4F7F9"/>
          </w:tcPr>
          <w:p>
            <w:pPr>
              <w:spacing w:after="0"/>
            </w:pPr>
            <w:r>
              <w:rPr>
                <w:rFonts w:ascii="Aptos" w:hAnsi="Aptos" w:eastAsia="Aptos"/>
                <w:sz w:val="16"/>
              </w:rPr>
              <w:t>Prévision des renouvellements</w:t>
            </w:r>
          </w:p>
        </w:tc>
      </w:tr>
      <w:tr>
        <w:tc>
          <w:tcPr>
            <w:tcW w:type="dxa" w:w="5156"/>
            <w:vAlign w:val="center"/>
          </w:tcPr>
          <w:p>
            <w:pPr>
              <w:spacing w:after="0"/>
            </w:pPr>
            <w:r>
              <w:rPr>
                <w:rFonts w:ascii="Aptos" w:hAnsi="Aptos" w:eastAsia="Aptos"/>
                <w:sz w:val="16"/>
              </w:rPr>
              <w:t>Besoins probables et timing</w:t>
            </w:r>
          </w:p>
        </w:tc>
        <w:tc>
          <w:tcPr>
            <w:tcW w:type="dxa" w:w="5156"/>
            <w:vAlign w:val="center"/>
          </w:tcPr>
          <w:p>
            <w:pPr>
              <w:spacing w:after="0"/>
            </w:pPr>
            <w:r>
              <w:rPr>
                <w:rFonts w:ascii="Aptos" w:hAnsi="Aptos" w:eastAsia="Aptos"/>
                <w:sz w:val="16"/>
              </w:rPr>
              <w:t>API commerciale publique</w:t>
            </w:r>
          </w:p>
        </w:tc>
      </w:tr>
      <w:tr>
        <w:tc>
          <w:tcPr>
            <w:tcW w:type="dxa" w:w="5156"/>
            <w:vAlign w:val="center"/>
            <w:shd w:fill="F4F7F9"/>
          </w:tcPr>
          <w:p>
            <w:pPr>
              <w:spacing w:after="0"/>
            </w:pPr>
            <w:r>
              <w:rPr>
                <w:rFonts w:ascii="Aptos" w:hAnsi="Aptos" w:eastAsia="Aptos"/>
                <w:sz w:val="16"/>
              </w:rPr>
              <w:t>Matching avec un ICP fournisseur</w:t>
            </w:r>
          </w:p>
        </w:tc>
        <w:tc>
          <w:tcPr>
            <w:tcW w:type="dxa" w:w="5156"/>
            <w:vAlign w:val="center"/>
            <w:shd w:fill="F4F7F9"/>
          </w:tcPr>
          <w:p>
            <w:pPr>
              <w:spacing w:after="0"/>
            </w:pPr>
            <w:r>
              <w:rPr>
                <w:rFonts w:ascii="Aptos" w:hAnsi="Aptos" w:eastAsia="Aptos"/>
                <w:sz w:val="16"/>
              </w:rPr>
              <w:t>Go/No-Go de soumission</w:t>
            </w:r>
          </w:p>
        </w:tc>
      </w:tr>
      <w:tr>
        <w:tc>
          <w:tcPr>
            <w:tcW w:type="dxa" w:w="5156"/>
            <w:vAlign w:val="center"/>
          </w:tcPr>
          <w:p>
            <w:pPr>
              <w:spacing w:after="0"/>
            </w:pPr>
            <w:r>
              <w:rPr>
                <w:rFonts w:ascii="Aptos" w:hAnsi="Aptos" w:eastAsia="Aptos"/>
                <w:sz w:val="16"/>
              </w:rPr>
              <w:t>Preuve et niveau de confiance</w:t>
            </w:r>
          </w:p>
        </w:tc>
        <w:tc>
          <w:tcPr>
            <w:tcW w:type="dxa" w:w="5156"/>
            <w:vAlign w:val="center"/>
          </w:tcPr>
          <w:p>
            <w:pPr>
              <w:spacing w:after="0"/>
            </w:pPr>
            <w:r>
              <w:rPr>
                <w:rFonts w:ascii="Aptos" w:hAnsi="Aptos" w:eastAsia="Aptos"/>
                <w:sz w:val="16"/>
              </w:rPr>
              <w:t>Préparation de dossiers de soumission</w:t>
            </w:r>
          </w:p>
        </w:tc>
      </w:tr>
    </w:tbl>
    <w:p>
      <w:pPr>
        <w:spacing w:after="20"/>
      </w:pPr>
    </w:p>
    <w:p>
      <w:r>
        <w:br w:type="page"/>
      </w:r>
    </w:p>
    <w:p>
      <w:pPr>
        <w:pStyle w:val="Heading1"/>
        <w:pBdr>
          <w:bottom w:val="single" w:sz="10" w:space="4" w:color="0E9AA7"/>
        </w:pBdr>
      </w:pPr>
      <w:r>
        <w:t>3. Utilisateur cible et Jobs-to-be-Done</w:t>
      </w:r>
    </w:p>
    <w:p>
      <w:r>
        <w:rPr>
          <w:rFonts w:ascii="Aptos" w:hAnsi="Aptos" w:eastAsia="Aptos"/>
        </w:rPr>
        <w:t>Le client n’est pas l’acheteur public et n’est pas nécessairement le soumissionnaire. C’est une entreprise B2B qui peut vendre quelque chose au gagnant du marché.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Client potentiel</w:t>
            </w:r>
          </w:p>
        </w:tc>
        <w:tc>
          <w:tcPr>
            <w:tcW w:type="dxa" w:w="5156"/>
            <w:shd w:fill="0D2A3F"/>
            <w:vAlign w:val="center"/>
          </w:tcPr>
          <w:p>
            <w:pPr>
              <w:spacing w:after="0"/>
            </w:pPr>
            <w:r>
              <w:rPr>
                <w:rFonts w:ascii="Aptos" w:hAnsi="Aptos" w:eastAsia="Aptos"/>
                <w:b/>
                <w:color w:val="FFFFFF"/>
                <w:sz w:val="16"/>
              </w:rPr>
              <w:t>Exemple de signal utile</w:t>
            </w:r>
          </w:p>
        </w:tc>
      </w:tr>
      <w:tr>
        <w:tc>
          <w:tcPr>
            <w:tcW w:type="dxa" w:w="5156"/>
            <w:vAlign w:val="center"/>
          </w:tcPr>
          <w:p>
            <w:pPr>
              <w:spacing w:after="0"/>
            </w:pPr>
            <w:r>
              <w:rPr>
                <w:rFonts w:ascii="Aptos" w:hAnsi="Aptos" w:eastAsia="Aptos"/>
                <w:sz w:val="16"/>
              </w:rPr>
              <w:t>Recrutement / intérim</w:t>
            </w:r>
          </w:p>
        </w:tc>
        <w:tc>
          <w:tcPr>
            <w:tcW w:type="dxa" w:w="5156"/>
            <w:vAlign w:val="center"/>
          </w:tcPr>
          <w:p>
            <w:pPr>
              <w:spacing w:after="0"/>
            </w:pPr>
            <w:r>
              <w:rPr>
                <w:rFonts w:ascii="Aptos" w:hAnsi="Aptos" w:eastAsia="Aptos"/>
                <w:sz w:val="16"/>
              </w:rPr>
              <w:t>Gros contrat obtenu → mobilisation probable de personnel</w:t>
            </w:r>
          </w:p>
        </w:tc>
      </w:tr>
      <w:tr>
        <w:tc>
          <w:tcPr>
            <w:tcW w:type="dxa" w:w="5156"/>
            <w:vAlign w:val="center"/>
            <w:shd w:fill="F4F7F9"/>
          </w:tcPr>
          <w:p>
            <w:pPr>
              <w:spacing w:after="0"/>
            </w:pPr>
            <w:r>
              <w:rPr>
                <w:rFonts w:ascii="Aptos" w:hAnsi="Aptos" w:eastAsia="Aptos"/>
                <w:sz w:val="16"/>
              </w:rPr>
              <w:t>Location de matériel</w:t>
            </w:r>
          </w:p>
        </w:tc>
        <w:tc>
          <w:tcPr>
            <w:tcW w:type="dxa" w:w="5156"/>
            <w:vAlign w:val="center"/>
            <w:shd w:fill="F4F7F9"/>
          </w:tcPr>
          <w:p>
            <w:pPr>
              <w:spacing w:after="0"/>
            </w:pPr>
            <w:r>
              <w:rPr>
                <w:rFonts w:ascii="Aptos" w:hAnsi="Aptos" w:eastAsia="Aptos"/>
                <w:sz w:val="16"/>
              </w:rPr>
              <w:t>Nouveau chantier → besoins probables en équipements temporaires</w:t>
            </w:r>
          </w:p>
        </w:tc>
      </w:tr>
      <w:tr>
        <w:tc>
          <w:tcPr>
            <w:tcW w:type="dxa" w:w="5156"/>
            <w:vAlign w:val="center"/>
          </w:tcPr>
          <w:p>
            <w:pPr>
              <w:spacing w:after="0"/>
            </w:pPr>
            <w:r>
              <w:rPr>
                <w:rFonts w:ascii="Aptos" w:hAnsi="Aptos" w:eastAsia="Aptos"/>
                <w:sz w:val="16"/>
              </w:rPr>
              <w:t>Sous-traitance spécialisée</w:t>
            </w:r>
          </w:p>
        </w:tc>
        <w:tc>
          <w:tcPr>
            <w:tcW w:type="dxa" w:w="5156"/>
            <w:vAlign w:val="center"/>
          </w:tcPr>
          <w:p>
            <w:pPr>
              <w:spacing w:after="0"/>
            </w:pPr>
            <w:r>
              <w:rPr>
                <w:rFonts w:ascii="Aptos" w:hAnsi="Aptos" w:eastAsia="Aptos"/>
                <w:sz w:val="16"/>
              </w:rPr>
              <w:t>Contrat complexe / multi-technique → besoin probable de partenaires</w:t>
            </w:r>
          </w:p>
        </w:tc>
      </w:tr>
      <w:tr>
        <w:tc>
          <w:tcPr>
            <w:tcW w:type="dxa" w:w="5156"/>
            <w:vAlign w:val="center"/>
            <w:shd w:fill="F4F7F9"/>
          </w:tcPr>
          <w:p>
            <w:pPr>
              <w:spacing w:after="0"/>
            </w:pPr>
            <w:r>
              <w:rPr>
                <w:rFonts w:ascii="Aptos" w:hAnsi="Aptos" w:eastAsia="Aptos"/>
                <w:sz w:val="16"/>
              </w:rPr>
              <w:t>Transport / logistique</w:t>
            </w:r>
          </w:p>
        </w:tc>
        <w:tc>
          <w:tcPr>
            <w:tcW w:type="dxa" w:w="5156"/>
            <w:vAlign w:val="center"/>
            <w:shd w:fill="F4F7F9"/>
          </w:tcPr>
          <w:p>
            <w:pPr>
              <w:spacing w:after="0"/>
            </w:pPr>
            <w:r>
              <w:rPr>
                <w:rFonts w:ascii="Aptos" w:hAnsi="Aptos" w:eastAsia="Aptos"/>
                <w:sz w:val="16"/>
              </w:rPr>
              <w:t>Projet lourd et localisé → flux matériels probables</w:t>
            </w:r>
          </w:p>
        </w:tc>
      </w:tr>
      <w:tr>
        <w:tc>
          <w:tcPr>
            <w:tcW w:type="dxa" w:w="5156"/>
            <w:vAlign w:val="center"/>
          </w:tcPr>
          <w:p>
            <w:pPr>
              <w:spacing w:after="0"/>
            </w:pPr>
            <w:r>
              <w:rPr>
                <w:rFonts w:ascii="Aptos" w:hAnsi="Aptos" w:eastAsia="Aptos"/>
                <w:sz w:val="16"/>
              </w:rPr>
              <w:t>IT / cybersécurité / cloud</w:t>
            </w:r>
          </w:p>
        </w:tc>
        <w:tc>
          <w:tcPr>
            <w:tcW w:type="dxa" w:w="5156"/>
            <w:vAlign w:val="center"/>
          </w:tcPr>
          <w:p>
            <w:pPr>
              <w:spacing w:after="0"/>
            </w:pPr>
            <w:r>
              <w:rPr>
                <w:rFonts w:ascii="Aptos" w:hAnsi="Aptos" w:eastAsia="Aptos"/>
                <w:sz w:val="16"/>
              </w:rPr>
              <w:t>Transformation numérique gagnée → besoins de capacités ou sous-traitants</w:t>
            </w:r>
          </w:p>
        </w:tc>
      </w:tr>
      <w:tr>
        <w:tc>
          <w:tcPr>
            <w:tcW w:type="dxa" w:w="5156"/>
            <w:vAlign w:val="center"/>
            <w:shd w:fill="F4F7F9"/>
          </w:tcPr>
          <w:p>
            <w:pPr>
              <w:spacing w:after="0"/>
            </w:pPr>
            <w:r>
              <w:rPr>
                <w:rFonts w:ascii="Aptos" w:hAnsi="Aptos" w:eastAsia="Aptos"/>
                <w:sz w:val="16"/>
              </w:rPr>
              <w:t>Services aux entreprises</w:t>
            </w:r>
          </w:p>
        </w:tc>
        <w:tc>
          <w:tcPr>
            <w:tcW w:type="dxa" w:w="5156"/>
            <w:vAlign w:val="center"/>
            <w:shd w:fill="F4F7F9"/>
          </w:tcPr>
          <w:p>
            <w:pPr>
              <w:spacing w:after="0"/>
            </w:pPr>
            <w:r>
              <w:rPr>
                <w:rFonts w:ascii="Aptos" w:hAnsi="Aptos" w:eastAsia="Aptos"/>
                <w:sz w:val="16"/>
              </w:rPr>
              <w:t>Croissance contractuelle → besoins opérationnels associés</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JOB PRINCIPAL</w:t>
            </w:r>
          </w:p>
          <w:p>
            <w:pPr>
              <w:spacing w:after="20"/>
            </w:pPr>
            <w:r>
              <w:rPr>
                <w:rFonts w:ascii="Aptos" w:hAnsi="Aptos" w:eastAsia="Aptos"/>
                <w:b/>
                <w:color w:val="0D2A3F"/>
                <w:sz w:val="24"/>
              </w:rPr>
              <w:t>Donnez-moi uniquement les entreprises qui viennent de vivre un événement suffisamment important pour justifier une prise de contact commerciale.</w:t>
            </w:r>
          </w:p>
        </w:tc>
      </w:tr>
    </w:tbl>
    <w:p>
      <w:pPr>
        <w:spacing w:after="0"/>
      </w:pPr>
    </w:p>
    <w:p>
      <w:r>
        <w:rPr>
          <w:rFonts w:ascii="Aptos" w:hAnsi="Aptos" w:eastAsia="Aptos"/>
        </w:rPr>
        <w:t>Le MVP devra choisir un wedge initial restreint (1 à 2 catégories de fournisseurs) après l’évaluation des 100 premiers signaux. Le secteur le plus facile à comprendre n’est pas automatiquement le meilleur marché à attaquer si la concurrence y est déjà forte.</w:t>
      </w:r>
    </w:p>
    <w:p>
      <w:pPr>
        <w:pStyle w:val="Heading1"/>
        <w:pBdr>
          <w:bottom w:val="single" w:sz="10" w:space="4" w:color="0E9AA7"/>
        </w:pBdr>
      </w:pPr>
      <w:r>
        <w:t>4. Sources de données et modèle commun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Source</w:t>
            </w:r>
          </w:p>
        </w:tc>
        <w:tc>
          <w:tcPr>
            <w:tcW w:type="dxa" w:w="5156"/>
            <w:shd w:fill="0D2A3F"/>
            <w:vAlign w:val="center"/>
          </w:tcPr>
          <w:p>
            <w:pPr>
              <w:spacing w:after="0"/>
            </w:pPr>
            <w:r>
              <w:rPr>
                <w:rFonts w:ascii="Aptos" w:hAnsi="Aptos" w:eastAsia="Aptos"/>
                <w:b/>
                <w:color w:val="FFFFFF"/>
                <w:sz w:val="16"/>
              </w:rPr>
              <w:t>Rôle</w:t>
            </w:r>
          </w:p>
        </w:tc>
      </w:tr>
      <w:tr>
        <w:tc>
          <w:tcPr>
            <w:tcW w:type="dxa" w:w="5156"/>
            <w:vAlign w:val="center"/>
          </w:tcPr>
          <w:p>
            <w:pPr>
              <w:spacing w:after="0"/>
            </w:pPr>
            <w:r>
              <w:rPr>
                <w:rFonts w:ascii="Aptos" w:hAnsi="Aptos" w:eastAsia="Aptos"/>
                <w:sz w:val="16"/>
              </w:rPr>
              <w:t>SIMAP</w:t>
            </w:r>
          </w:p>
        </w:tc>
        <w:tc>
          <w:tcPr>
            <w:tcW w:type="dxa" w:w="5156"/>
            <w:vAlign w:val="center"/>
          </w:tcPr>
          <w:p>
            <w:pPr>
              <w:spacing w:after="0"/>
            </w:pPr>
            <w:r>
              <w:rPr>
                <w:rFonts w:ascii="Aptos" w:hAnsi="Aptos" w:eastAsia="Aptos"/>
                <w:sz w:val="16"/>
              </w:rPr>
              <w:t>Flux suisse : adjudications et avis actuels</w:t>
            </w:r>
          </w:p>
        </w:tc>
      </w:tr>
      <w:tr>
        <w:tc>
          <w:tcPr>
            <w:tcW w:type="dxa" w:w="5156"/>
            <w:vAlign w:val="center"/>
            <w:shd w:fill="F4F7F9"/>
          </w:tcPr>
          <w:p>
            <w:pPr>
              <w:spacing w:after="0"/>
            </w:pPr>
            <w:r>
              <w:rPr>
                <w:rFonts w:ascii="Aptos" w:hAnsi="Aptos" w:eastAsia="Aptos"/>
                <w:sz w:val="16"/>
              </w:rPr>
              <w:t>TED</w:t>
            </w:r>
          </w:p>
        </w:tc>
        <w:tc>
          <w:tcPr>
            <w:tcW w:type="dxa" w:w="5156"/>
            <w:vAlign w:val="center"/>
            <w:shd w:fill="F4F7F9"/>
          </w:tcPr>
          <w:p>
            <w:pPr>
              <w:spacing w:after="0"/>
            </w:pPr>
            <w:r>
              <w:rPr>
                <w:rFonts w:ascii="Aptos" w:hAnsi="Aptos" w:eastAsia="Aptos"/>
                <w:sz w:val="16"/>
              </w:rPr>
              <w:t>Flux UE : avis de résultats, lots, gagnants, valeurs et métadonnées</w:t>
            </w:r>
          </w:p>
        </w:tc>
      </w:tr>
      <w:tr>
        <w:tc>
          <w:tcPr>
            <w:tcW w:type="dxa" w:w="5156"/>
            <w:vAlign w:val="center"/>
          </w:tcPr>
          <w:p>
            <w:pPr>
              <w:spacing w:after="0"/>
            </w:pPr>
            <w:r>
              <w:rPr>
                <w:rFonts w:ascii="Aptos" w:hAnsi="Aptos" w:eastAsia="Aptos"/>
                <w:sz w:val="16"/>
              </w:rPr>
              <w:t>IntelliProcure</w:t>
            </w:r>
          </w:p>
        </w:tc>
        <w:tc>
          <w:tcPr>
            <w:tcW w:type="dxa" w:w="5156"/>
            <w:vAlign w:val="center"/>
          </w:tcPr>
          <w:p>
            <w:pPr>
              <w:spacing w:after="0"/>
            </w:pPr>
            <w:r>
              <w:rPr>
                <w:rFonts w:ascii="Aptos" w:hAnsi="Aptos" w:eastAsia="Aptos"/>
                <w:sz w:val="16"/>
              </w:rPr>
              <w:t>Historique suisse / validation / enrichissement si nécessaire</w:t>
            </w:r>
          </w:p>
        </w:tc>
      </w:tr>
      <w:tr>
        <w:tc>
          <w:tcPr>
            <w:tcW w:type="dxa" w:w="5156"/>
            <w:vAlign w:val="center"/>
            <w:shd w:fill="F4F7F9"/>
          </w:tcPr>
          <w:p>
            <w:pPr>
              <w:spacing w:after="0"/>
            </w:pPr>
            <w:r>
              <w:rPr>
                <w:rFonts w:ascii="Aptos" w:hAnsi="Aptos" w:eastAsia="Aptos"/>
                <w:sz w:val="16"/>
              </w:rPr>
              <w:t>Sources futures</w:t>
            </w:r>
          </w:p>
        </w:tc>
        <w:tc>
          <w:tcPr>
            <w:tcW w:type="dxa" w:w="5156"/>
            <w:vAlign w:val="center"/>
            <w:shd w:fill="F4F7F9"/>
          </w:tcPr>
          <w:p>
            <w:pPr>
              <w:spacing w:after="0"/>
            </w:pPr>
            <w:r>
              <w:rPr>
                <w:rFonts w:ascii="Aptos" w:hAnsi="Aptos" w:eastAsia="Aptos"/>
                <w:sz w:val="16"/>
              </w:rPr>
              <w:t>Portails nationaux, registres entreprises, autres événements publics — uniquement après preuve du V1</w:t>
            </w:r>
          </w:p>
        </w:tc>
      </w:tr>
    </w:tbl>
    <w:p>
      <w:pPr>
        <w:spacing w:after="20"/>
      </w:pPr>
    </w:p>
    <w:p>
      <w:r>
        <w:rPr>
          <w:rFonts w:ascii="Aptos" w:hAnsi="Aptos" w:eastAsia="Aptos"/>
        </w:rPr>
        <w:t>L’architecture doit être source-agnostique : SIMAP et TED sont des connecteurs, pas le modèle de données lui-même.</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Objet canonique</w:t>
            </w:r>
          </w:p>
        </w:tc>
        <w:tc>
          <w:tcPr>
            <w:tcW w:type="dxa" w:w="5156"/>
            <w:shd w:fill="0D2A3F"/>
            <w:vAlign w:val="center"/>
          </w:tcPr>
          <w:p>
            <w:pPr>
              <w:spacing w:after="0"/>
            </w:pPr>
            <w:r>
              <w:rPr>
                <w:rFonts w:ascii="Aptos" w:hAnsi="Aptos" w:eastAsia="Aptos"/>
                <w:b/>
                <w:color w:val="FFFFFF"/>
                <w:sz w:val="16"/>
              </w:rPr>
              <w:t>Champs essentiels</w:t>
            </w:r>
          </w:p>
        </w:tc>
      </w:tr>
      <w:tr>
        <w:tc>
          <w:tcPr>
            <w:tcW w:type="dxa" w:w="5156"/>
            <w:vAlign w:val="center"/>
          </w:tcPr>
          <w:p>
            <w:pPr>
              <w:spacing w:after="0"/>
            </w:pPr>
            <w:r>
              <w:rPr>
                <w:rFonts w:ascii="Aptos" w:hAnsi="Aptos" w:eastAsia="Aptos"/>
                <w:sz w:val="16"/>
              </w:rPr>
              <w:t>PublicEvent</w:t>
            </w:r>
          </w:p>
        </w:tc>
        <w:tc>
          <w:tcPr>
            <w:tcW w:type="dxa" w:w="5156"/>
            <w:vAlign w:val="center"/>
          </w:tcPr>
          <w:p>
            <w:pPr>
              <w:spacing w:after="0"/>
            </w:pPr>
            <w:r>
              <w:rPr>
                <w:rFonts w:ascii="Aptos" w:hAnsi="Aptos" w:eastAsia="Aptos"/>
                <w:sz w:val="16"/>
              </w:rPr>
              <w:t>source, notice_id, event_type, published_at, event_date</w:t>
            </w:r>
          </w:p>
        </w:tc>
      </w:tr>
      <w:tr>
        <w:tc>
          <w:tcPr>
            <w:tcW w:type="dxa" w:w="5156"/>
            <w:vAlign w:val="center"/>
            <w:shd w:fill="F4F7F9"/>
          </w:tcPr>
          <w:p>
            <w:pPr>
              <w:spacing w:after="0"/>
            </w:pPr>
            <w:r>
              <w:rPr>
                <w:rFonts w:ascii="Aptos" w:hAnsi="Aptos" w:eastAsia="Aptos"/>
                <w:sz w:val="16"/>
              </w:rPr>
              <w:t>Company</w:t>
            </w:r>
          </w:p>
        </w:tc>
        <w:tc>
          <w:tcPr>
            <w:tcW w:type="dxa" w:w="5156"/>
            <w:vAlign w:val="center"/>
            <w:shd w:fill="F4F7F9"/>
          </w:tcPr>
          <w:p>
            <w:pPr>
              <w:spacing w:after="0"/>
            </w:pPr>
            <w:r>
              <w:rPr>
                <w:rFonts w:ascii="Aptos" w:hAnsi="Aptos" w:eastAsia="Aptos"/>
                <w:sz w:val="16"/>
              </w:rPr>
              <w:t>legal_name, identifiers, country, address, website si disponible</w:t>
            </w:r>
          </w:p>
        </w:tc>
      </w:tr>
      <w:tr>
        <w:tc>
          <w:tcPr>
            <w:tcW w:type="dxa" w:w="5156"/>
            <w:vAlign w:val="center"/>
          </w:tcPr>
          <w:p>
            <w:pPr>
              <w:spacing w:after="0"/>
            </w:pPr>
            <w:r>
              <w:rPr>
                <w:rFonts w:ascii="Aptos" w:hAnsi="Aptos" w:eastAsia="Aptos"/>
                <w:sz w:val="16"/>
              </w:rPr>
              <w:t>Contract/Award</w:t>
            </w:r>
          </w:p>
        </w:tc>
        <w:tc>
          <w:tcPr>
            <w:tcW w:type="dxa" w:w="5156"/>
            <w:vAlign w:val="center"/>
          </w:tcPr>
          <w:p>
            <w:pPr>
              <w:spacing w:after="0"/>
            </w:pPr>
            <w:r>
              <w:rPr>
                <w:rFonts w:ascii="Aptos" w:hAnsi="Aptos" w:eastAsia="Aptos"/>
                <w:sz w:val="16"/>
              </w:rPr>
              <w:t>title, description, lot, CPV, value, currency, buyer, winner, location, duration</w:t>
            </w:r>
          </w:p>
        </w:tc>
      </w:tr>
      <w:tr>
        <w:tc>
          <w:tcPr>
            <w:tcW w:type="dxa" w:w="5156"/>
            <w:vAlign w:val="center"/>
            <w:shd w:fill="F4F7F9"/>
          </w:tcPr>
          <w:p>
            <w:pPr>
              <w:spacing w:after="0"/>
            </w:pPr>
            <w:r>
              <w:rPr>
                <w:rFonts w:ascii="Aptos" w:hAnsi="Aptos" w:eastAsia="Aptos"/>
                <w:sz w:val="16"/>
              </w:rPr>
              <w:t>Evidence</w:t>
            </w:r>
          </w:p>
        </w:tc>
        <w:tc>
          <w:tcPr>
            <w:tcW w:type="dxa" w:w="5156"/>
            <w:vAlign w:val="center"/>
            <w:shd w:fill="F4F7F9"/>
          </w:tcPr>
          <w:p>
            <w:pPr>
              <w:spacing w:after="0"/>
            </w:pPr>
            <w:r>
              <w:rPr>
                <w:rFonts w:ascii="Aptos" w:hAnsi="Aptos" w:eastAsia="Aptos"/>
                <w:sz w:val="16"/>
              </w:rPr>
              <w:t>source URL/document, passage ou champ source, confiance</w:t>
            </w:r>
          </w:p>
        </w:tc>
      </w:tr>
      <w:tr>
        <w:tc>
          <w:tcPr>
            <w:tcW w:type="dxa" w:w="5156"/>
            <w:vAlign w:val="center"/>
          </w:tcPr>
          <w:p>
            <w:pPr>
              <w:spacing w:after="0"/>
            </w:pPr>
            <w:r>
              <w:rPr>
                <w:rFonts w:ascii="Aptos" w:hAnsi="Aptos" w:eastAsia="Aptos"/>
                <w:sz w:val="16"/>
              </w:rPr>
              <w:t>Signal</w:t>
            </w:r>
          </w:p>
        </w:tc>
        <w:tc>
          <w:tcPr>
            <w:tcW w:type="dxa" w:w="5156"/>
            <w:vAlign w:val="center"/>
          </w:tcPr>
          <w:p>
            <w:pPr>
              <w:spacing w:after="0"/>
            </w:pPr>
            <w:r>
              <w:rPr>
                <w:rFonts w:ascii="Aptos" w:hAnsi="Aptos" w:eastAsia="Aptos"/>
                <w:sz w:val="16"/>
              </w:rPr>
              <w:t>need_category, reasoning, confidence, freshness, score, ICP match</w:t>
            </w:r>
          </w:p>
        </w:tc>
      </w:tr>
      <w:tr>
        <w:tc>
          <w:tcPr>
            <w:tcW w:type="dxa" w:w="5156"/>
            <w:vAlign w:val="center"/>
            <w:shd w:fill="F4F7F9"/>
          </w:tcPr>
          <w:p>
            <w:pPr>
              <w:spacing w:after="0"/>
            </w:pPr>
            <w:r>
              <w:rPr>
                <w:rFonts w:ascii="Aptos" w:hAnsi="Aptos" w:eastAsia="Aptos"/>
                <w:sz w:val="16"/>
              </w:rPr>
              <w:t>Feedback</w:t>
            </w:r>
          </w:p>
        </w:tc>
        <w:tc>
          <w:tcPr>
            <w:tcW w:type="dxa" w:w="5156"/>
            <w:vAlign w:val="center"/>
            <w:shd w:fill="F4F7F9"/>
          </w:tcPr>
          <w:p>
            <w:pPr>
              <w:spacing w:after="0"/>
            </w:pPr>
            <w:r>
              <w:rPr>
                <w:rFonts w:ascii="Aptos" w:hAnsi="Aptos" w:eastAsia="Aptos"/>
                <w:sz w:val="16"/>
              </w:rPr>
              <w:t>vu, utile, contacté, réponse, rendez-vous, opportunité, gagné/perdu</w:t>
            </w:r>
          </w:p>
        </w:tc>
      </w:tr>
    </w:tbl>
    <w:p>
      <w:pPr>
        <w:spacing w:after="20"/>
      </w:pPr>
    </w:p>
    <w:p>
      <w:r>
        <w:br w:type="page"/>
      </w:r>
    </w:p>
    <w:p>
      <w:pPr>
        <w:pStyle w:val="Heading1"/>
        <w:pBdr>
          <w:bottom w:val="single" w:sz="10" w:space="4" w:color="0E9AA7"/>
        </w:pBdr>
      </w:pPr>
      <w:r>
        <w:t>5. Signal Engine V1</w:t>
      </w:r>
    </w:p>
    <w:p>
      <w:r>
        <w:rPr>
          <w:rFonts w:ascii="Aptos" w:hAnsi="Aptos" w:eastAsia="Aptos"/>
        </w:rPr>
        <w:t>Le moteur doit séparer strictement ce qui est factuel de ce qui est inféré. Un contrat gagné est un fait ; un besoin commercial associé est une hypothèse avec un niveau de confiance.</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FAIT PUBLIC</w:t>
            </w:r>
          </w:p>
        </w:tc>
        <w:tc>
          <w:tcPr>
            <w:tcW w:type="dxa" w:w="1473"/>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ANALYSE</w:t>
            </w:r>
          </w:p>
        </w:tc>
        <w:tc>
          <w:tcPr>
            <w:tcW w:type="dxa" w:w="1473"/>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NEED GRAPH</w:t>
            </w:r>
          </w:p>
        </w:tc>
        <w:tc>
          <w:tcPr>
            <w:tcW w:type="dxa" w:w="1473"/>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TIMING</w:t>
            </w:r>
          </w:p>
        </w:tc>
        <w:tc>
          <w:tcPr>
            <w:tcW w:type="dxa" w:w="1473"/>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ICP MATCH</w:t>
            </w:r>
          </w:p>
        </w:tc>
        <w:tc>
          <w:tcPr>
            <w:tcW w:type="dxa" w:w="1473"/>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SCORE</w:t>
            </w:r>
          </w:p>
        </w:tc>
        <w:tc>
          <w:tcPr>
            <w:tcW w:type="dxa" w:w="1473"/>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PREUVE</w:t>
            </w:r>
          </w:p>
        </w:tc>
      </w:tr>
    </w:tbl>
    <w:p>
      <w:pPr>
        <w:spacing w:after="2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Dimension</w:t>
            </w:r>
          </w:p>
        </w:tc>
        <w:tc>
          <w:tcPr>
            <w:tcW w:type="dxa" w:w="5156"/>
            <w:shd w:fill="0D2A3F"/>
            <w:vAlign w:val="center"/>
          </w:tcPr>
          <w:p>
            <w:pPr>
              <w:spacing w:after="0"/>
            </w:pPr>
            <w:r>
              <w:rPr>
                <w:rFonts w:ascii="Aptos" w:hAnsi="Aptos" w:eastAsia="Aptos"/>
                <w:b/>
                <w:color w:val="FFFFFF"/>
                <w:sz w:val="16"/>
              </w:rPr>
              <w:t>Question</w:t>
            </w:r>
          </w:p>
        </w:tc>
      </w:tr>
      <w:tr>
        <w:tc>
          <w:tcPr>
            <w:tcW w:type="dxa" w:w="5156"/>
            <w:vAlign w:val="center"/>
          </w:tcPr>
          <w:p>
            <w:pPr>
              <w:spacing w:after="0"/>
            </w:pPr>
            <w:r>
              <w:rPr>
                <w:rFonts w:ascii="Aptos" w:hAnsi="Aptos" w:eastAsia="Aptos"/>
                <w:sz w:val="16"/>
              </w:rPr>
              <w:t>Impact économique</w:t>
            </w:r>
          </w:p>
        </w:tc>
        <w:tc>
          <w:tcPr>
            <w:tcW w:type="dxa" w:w="5156"/>
            <w:vAlign w:val="center"/>
          </w:tcPr>
          <w:p>
            <w:pPr>
              <w:spacing w:after="0"/>
            </w:pPr>
            <w:r>
              <w:rPr>
                <w:rFonts w:ascii="Aptos" w:hAnsi="Aptos" w:eastAsia="Aptos"/>
                <w:sz w:val="16"/>
              </w:rPr>
              <w:t>Le contrat est-il assez important pour modifier l’activité du gagnant ?</w:t>
            </w:r>
          </w:p>
        </w:tc>
      </w:tr>
      <w:tr>
        <w:tc>
          <w:tcPr>
            <w:tcW w:type="dxa" w:w="5156"/>
            <w:vAlign w:val="center"/>
            <w:shd w:fill="F4F7F9"/>
          </w:tcPr>
          <w:p>
            <w:pPr>
              <w:spacing w:after="0"/>
            </w:pPr>
            <w:r>
              <w:rPr>
                <w:rFonts w:ascii="Aptos" w:hAnsi="Aptos" w:eastAsia="Aptos"/>
                <w:sz w:val="16"/>
              </w:rPr>
              <w:t>Nature du projet</w:t>
            </w:r>
          </w:p>
        </w:tc>
        <w:tc>
          <w:tcPr>
            <w:tcW w:type="dxa" w:w="5156"/>
            <w:vAlign w:val="center"/>
            <w:shd w:fill="F4F7F9"/>
          </w:tcPr>
          <w:p>
            <w:pPr>
              <w:spacing w:after="0"/>
            </w:pPr>
            <w:r>
              <w:rPr>
                <w:rFonts w:ascii="Aptos" w:hAnsi="Aptos" w:eastAsia="Aptos"/>
                <w:sz w:val="16"/>
              </w:rPr>
              <w:t>Quels besoins sont structurellement associés à ce type de contrat ?</w:t>
            </w:r>
          </w:p>
        </w:tc>
      </w:tr>
      <w:tr>
        <w:tc>
          <w:tcPr>
            <w:tcW w:type="dxa" w:w="5156"/>
            <w:vAlign w:val="center"/>
          </w:tcPr>
          <w:p>
            <w:pPr>
              <w:spacing w:after="0"/>
            </w:pPr>
            <w:r>
              <w:rPr>
                <w:rFonts w:ascii="Aptos" w:hAnsi="Aptos" w:eastAsia="Aptos"/>
                <w:sz w:val="16"/>
              </w:rPr>
              <w:t>Timing</w:t>
            </w:r>
          </w:p>
        </w:tc>
        <w:tc>
          <w:tcPr>
            <w:tcW w:type="dxa" w:w="5156"/>
            <w:vAlign w:val="center"/>
          </w:tcPr>
          <w:p>
            <w:pPr>
              <w:spacing w:after="0"/>
            </w:pPr>
            <w:r>
              <w:rPr>
                <w:rFonts w:ascii="Aptos" w:hAnsi="Aptos" w:eastAsia="Aptos"/>
                <w:sz w:val="16"/>
              </w:rPr>
              <w:t>Quand ces besoins sont-ils susceptibles d’apparaître ?</w:t>
            </w:r>
          </w:p>
        </w:tc>
      </w:tr>
      <w:tr>
        <w:tc>
          <w:tcPr>
            <w:tcW w:type="dxa" w:w="5156"/>
            <w:vAlign w:val="center"/>
            <w:shd w:fill="F4F7F9"/>
          </w:tcPr>
          <w:p>
            <w:pPr>
              <w:spacing w:after="0"/>
            </w:pPr>
            <w:r>
              <w:rPr>
                <w:rFonts w:ascii="Aptos" w:hAnsi="Aptos" w:eastAsia="Aptos"/>
                <w:sz w:val="16"/>
              </w:rPr>
              <w:t>Localisation</w:t>
            </w:r>
          </w:p>
        </w:tc>
        <w:tc>
          <w:tcPr>
            <w:tcW w:type="dxa" w:w="5156"/>
            <w:vAlign w:val="center"/>
            <w:shd w:fill="F4F7F9"/>
          </w:tcPr>
          <w:p>
            <w:pPr>
              <w:spacing w:after="0"/>
            </w:pPr>
            <w:r>
              <w:rPr>
                <w:rFonts w:ascii="Aptos" w:hAnsi="Aptos" w:eastAsia="Aptos"/>
                <w:sz w:val="16"/>
              </w:rPr>
              <w:t>Le fournisseur peut-il intervenir dans cette zone ?</w:t>
            </w:r>
          </w:p>
        </w:tc>
      </w:tr>
      <w:tr>
        <w:tc>
          <w:tcPr>
            <w:tcW w:type="dxa" w:w="5156"/>
            <w:vAlign w:val="center"/>
          </w:tcPr>
          <w:p>
            <w:pPr>
              <w:spacing w:after="0"/>
            </w:pPr>
            <w:r>
              <w:rPr>
                <w:rFonts w:ascii="Aptos" w:hAnsi="Aptos" w:eastAsia="Aptos"/>
                <w:sz w:val="16"/>
              </w:rPr>
              <w:t>Compatibilité ICP</w:t>
            </w:r>
          </w:p>
        </w:tc>
        <w:tc>
          <w:tcPr>
            <w:tcW w:type="dxa" w:w="5156"/>
            <w:vAlign w:val="center"/>
          </w:tcPr>
          <w:p>
            <w:pPr>
              <w:spacing w:after="0"/>
            </w:pPr>
            <w:r>
              <w:rPr>
                <w:rFonts w:ascii="Aptos" w:hAnsi="Aptos" w:eastAsia="Aptos"/>
                <w:sz w:val="16"/>
              </w:rPr>
              <w:t>Le gagnant correspond-il à la cible du client ?</w:t>
            </w:r>
          </w:p>
        </w:tc>
      </w:tr>
      <w:tr>
        <w:tc>
          <w:tcPr>
            <w:tcW w:type="dxa" w:w="5156"/>
            <w:vAlign w:val="center"/>
            <w:shd w:fill="F4F7F9"/>
          </w:tcPr>
          <w:p>
            <w:pPr>
              <w:spacing w:after="0"/>
            </w:pPr>
            <w:r>
              <w:rPr>
                <w:rFonts w:ascii="Aptos" w:hAnsi="Aptos" w:eastAsia="Aptos"/>
                <w:sz w:val="16"/>
              </w:rPr>
              <w:t>Fraîcheur</w:t>
            </w:r>
          </w:p>
        </w:tc>
        <w:tc>
          <w:tcPr>
            <w:tcW w:type="dxa" w:w="5156"/>
            <w:vAlign w:val="center"/>
            <w:shd w:fill="F4F7F9"/>
          </w:tcPr>
          <w:p>
            <w:pPr>
              <w:spacing w:after="0"/>
            </w:pPr>
            <w:r>
              <w:rPr>
                <w:rFonts w:ascii="Aptos" w:hAnsi="Aptos" w:eastAsia="Aptos"/>
                <w:sz w:val="16"/>
              </w:rPr>
              <w:t>L’événement est-il encore commercialement actionnable ?</w:t>
            </w:r>
          </w:p>
        </w:tc>
      </w:tr>
      <w:tr>
        <w:tc>
          <w:tcPr>
            <w:tcW w:type="dxa" w:w="5156"/>
            <w:vAlign w:val="center"/>
          </w:tcPr>
          <w:p>
            <w:pPr>
              <w:spacing w:after="0"/>
            </w:pPr>
            <w:r>
              <w:rPr>
                <w:rFonts w:ascii="Aptos" w:hAnsi="Aptos" w:eastAsia="Aptos"/>
                <w:sz w:val="16"/>
              </w:rPr>
              <w:t>Confiance</w:t>
            </w:r>
          </w:p>
        </w:tc>
        <w:tc>
          <w:tcPr>
            <w:tcW w:type="dxa" w:w="5156"/>
            <w:vAlign w:val="center"/>
          </w:tcPr>
          <w:p>
            <w:pPr>
              <w:spacing w:after="0"/>
            </w:pPr>
            <w:r>
              <w:rPr>
                <w:rFonts w:ascii="Aptos" w:hAnsi="Aptos" w:eastAsia="Aptos"/>
                <w:sz w:val="16"/>
              </w:rPr>
              <w:t>Les données et l’inférence sont-elles suffisamment solides ?</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RÈGLE DE CRÉDIBILITÉ</w:t>
            </w:r>
          </w:p>
          <w:p>
            <w:pPr>
              <w:spacing w:after="20"/>
            </w:pPr>
            <w:r>
              <w:rPr>
                <w:rFonts w:ascii="Aptos" w:hAnsi="Aptos" w:eastAsia="Aptos"/>
                <w:b/>
                <w:color w:val="0D2A3F"/>
                <w:sz w:val="24"/>
              </w:rPr>
              <w:t>Un signal n’affirme jamais qu’un achat aura lieu. Il explique pourquoi un besoin est plausible, avec la preuve de l’événement public qui déclenche l’inférence.</w:t>
            </w:r>
          </w:p>
        </w:tc>
      </w:tr>
    </w:tbl>
    <w:p>
      <w:pPr>
        <w:spacing w:after="0"/>
      </w:pPr>
    </w:p>
    <w:p>
      <w:pPr>
        <w:pStyle w:val="Heading1"/>
        <w:pBdr>
          <w:bottom w:val="single" w:sz="10" w:space="4" w:color="0E9AA7"/>
        </w:pBdr>
      </w:pPr>
      <w:r>
        <w:t>6. Format du signal commercial</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Bloc</w:t>
            </w:r>
          </w:p>
        </w:tc>
        <w:tc>
          <w:tcPr>
            <w:tcW w:type="dxa" w:w="5156"/>
            <w:shd w:fill="0D2A3F"/>
            <w:vAlign w:val="center"/>
          </w:tcPr>
          <w:p>
            <w:pPr>
              <w:spacing w:after="0"/>
            </w:pPr>
            <w:r>
              <w:rPr>
                <w:rFonts w:ascii="Aptos" w:hAnsi="Aptos" w:eastAsia="Aptos"/>
                <w:b/>
                <w:color w:val="FFFFFF"/>
                <w:sz w:val="16"/>
              </w:rPr>
              <w:t>Contenu</w:t>
            </w:r>
          </w:p>
        </w:tc>
      </w:tr>
      <w:tr>
        <w:tc>
          <w:tcPr>
            <w:tcW w:type="dxa" w:w="5156"/>
            <w:vAlign w:val="center"/>
          </w:tcPr>
          <w:p>
            <w:pPr>
              <w:spacing w:after="0"/>
            </w:pPr>
            <w:r>
              <w:rPr>
                <w:rFonts w:ascii="Aptos" w:hAnsi="Aptos" w:eastAsia="Aptos"/>
                <w:sz w:val="16"/>
              </w:rPr>
              <w:t>Entreprise</w:t>
            </w:r>
          </w:p>
        </w:tc>
        <w:tc>
          <w:tcPr>
            <w:tcW w:type="dxa" w:w="5156"/>
            <w:vAlign w:val="center"/>
          </w:tcPr>
          <w:p>
            <w:pPr>
              <w:spacing w:after="0"/>
            </w:pPr>
            <w:r>
              <w:rPr>
                <w:rFonts w:ascii="Aptos" w:hAnsi="Aptos" w:eastAsia="Aptos"/>
                <w:sz w:val="16"/>
              </w:rPr>
              <w:t>Nom du gagnant + pays + localisation</w:t>
            </w:r>
          </w:p>
        </w:tc>
      </w:tr>
      <w:tr>
        <w:tc>
          <w:tcPr>
            <w:tcW w:type="dxa" w:w="5156"/>
            <w:vAlign w:val="center"/>
            <w:shd w:fill="F4F7F9"/>
          </w:tcPr>
          <w:p>
            <w:pPr>
              <w:spacing w:after="0"/>
            </w:pPr>
            <w:r>
              <w:rPr>
                <w:rFonts w:ascii="Aptos" w:hAnsi="Aptos" w:eastAsia="Aptos"/>
                <w:sz w:val="16"/>
              </w:rPr>
              <w:t>Événement</w:t>
            </w:r>
          </w:p>
        </w:tc>
        <w:tc>
          <w:tcPr>
            <w:tcW w:type="dxa" w:w="5156"/>
            <w:vAlign w:val="center"/>
            <w:shd w:fill="F4F7F9"/>
          </w:tcPr>
          <w:p>
            <w:pPr>
              <w:spacing w:after="0"/>
            </w:pPr>
            <w:r>
              <w:rPr>
                <w:rFonts w:ascii="Aptos" w:hAnsi="Aptos" w:eastAsia="Aptos"/>
                <w:sz w:val="16"/>
              </w:rPr>
              <w:t>Contrat remporté, date, valeur, acheteur, projet</w:t>
            </w:r>
          </w:p>
        </w:tc>
      </w:tr>
      <w:tr>
        <w:tc>
          <w:tcPr>
            <w:tcW w:type="dxa" w:w="5156"/>
            <w:vAlign w:val="center"/>
          </w:tcPr>
          <w:p>
            <w:pPr>
              <w:spacing w:after="0"/>
            </w:pPr>
            <w:r>
              <w:rPr>
                <w:rFonts w:ascii="Aptos" w:hAnsi="Aptos" w:eastAsia="Aptos"/>
                <w:sz w:val="16"/>
              </w:rPr>
              <w:t>Pourquoi maintenant</w:t>
            </w:r>
          </w:p>
        </w:tc>
        <w:tc>
          <w:tcPr>
            <w:tcW w:type="dxa" w:w="5156"/>
            <w:vAlign w:val="center"/>
          </w:tcPr>
          <w:p>
            <w:pPr>
              <w:spacing w:after="0"/>
            </w:pPr>
            <w:r>
              <w:rPr>
                <w:rFonts w:ascii="Aptos" w:hAnsi="Aptos" w:eastAsia="Aptos"/>
                <w:sz w:val="16"/>
              </w:rPr>
              <w:t>Élément déclencheur et fraîcheur</w:t>
            </w:r>
          </w:p>
        </w:tc>
      </w:tr>
      <w:tr>
        <w:tc>
          <w:tcPr>
            <w:tcW w:type="dxa" w:w="5156"/>
            <w:vAlign w:val="center"/>
            <w:shd w:fill="F4F7F9"/>
          </w:tcPr>
          <w:p>
            <w:pPr>
              <w:spacing w:after="0"/>
            </w:pPr>
            <w:r>
              <w:rPr>
                <w:rFonts w:ascii="Aptos" w:hAnsi="Aptos" w:eastAsia="Aptos"/>
                <w:sz w:val="16"/>
              </w:rPr>
              <w:t>Besoins probables</w:t>
            </w:r>
          </w:p>
        </w:tc>
        <w:tc>
          <w:tcPr>
            <w:tcW w:type="dxa" w:w="5156"/>
            <w:vAlign w:val="center"/>
            <w:shd w:fill="F4F7F9"/>
          </w:tcPr>
          <w:p>
            <w:pPr>
              <w:spacing w:after="0"/>
            </w:pPr>
            <w:r>
              <w:rPr>
                <w:rFonts w:ascii="Aptos" w:hAnsi="Aptos" w:eastAsia="Aptos"/>
                <w:sz w:val="16"/>
              </w:rPr>
              <w:t>1 à 5 besoins maximum, classés par confiance</w:t>
            </w:r>
          </w:p>
        </w:tc>
      </w:tr>
      <w:tr>
        <w:tc>
          <w:tcPr>
            <w:tcW w:type="dxa" w:w="5156"/>
            <w:vAlign w:val="center"/>
          </w:tcPr>
          <w:p>
            <w:pPr>
              <w:spacing w:after="0"/>
            </w:pPr>
            <w:r>
              <w:rPr>
                <w:rFonts w:ascii="Aptos" w:hAnsi="Aptos" w:eastAsia="Aptos"/>
                <w:sz w:val="16"/>
              </w:rPr>
              <w:t>Fit client</w:t>
            </w:r>
          </w:p>
        </w:tc>
        <w:tc>
          <w:tcPr>
            <w:tcW w:type="dxa" w:w="5156"/>
            <w:vAlign w:val="center"/>
          </w:tcPr>
          <w:p>
            <w:pPr>
              <w:spacing w:after="0"/>
            </w:pPr>
            <w:r>
              <w:rPr>
                <w:rFonts w:ascii="Aptos" w:hAnsi="Aptos" w:eastAsia="Aptos"/>
                <w:sz w:val="16"/>
              </w:rPr>
              <w:t>Pourquoi ce signal correspond à l’ICP du client</w:t>
            </w:r>
          </w:p>
        </w:tc>
      </w:tr>
      <w:tr>
        <w:tc>
          <w:tcPr>
            <w:tcW w:type="dxa" w:w="5156"/>
            <w:vAlign w:val="center"/>
            <w:shd w:fill="F4F7F9"/>
          </w:tcPr>
          <w:p>
            <w:pPr>
              <w:spacing w:after="0"/>
            </w:pPr>
            <w:r>
              <w:rPr>
                <w:rFonts w:ascii="Aptos" w:hAnsi="Aptos" w:eastAsia="Aptos"/>
                <w:sz w:val="16"/>
              </w:rPr>
              <w:t>Action</w:t>
            </w:r>
          </w:p>
        </w:tc>
        <w:tc>
          <w:tcPr>
            <w:tcW w:type="dxa" w:w="5156"/>
            <w:vAlign w:val="center"/>
            <w:shd w:fill="F4F7F9"/>
          </w:tcPr>
          <w:p>
            <w:pPr>
              <w:spacing w:after="0"/>
            </w:pPr>
            <w:r>
              <w:rPr>
                <w:rFonts w:ascii="Aptos" w:hAnsi="Aptos" w:eastAsia="Aptos"/>
                <w:sz w:val="16"/>
              </w:rPr>
              <w:t>Contacter / sauvegarder / ignorer / exporter</w:t>
            </w:r>
          </w:p>
        </w:tc>
      </w:tr>
      <w:tr>
        <w:tc>
          <w:tcPr>
            <w:tcW w:type="dxa" w:w="5156"/>
            <w:vAlign w:val="center"/>
          </w:tcPr>
          <w:p>
            <w:pPr>
              <w:spacing w:after="0"/>
            </w:pPr>
            <w:r>
              <w:rPr>
                <w:rFonts w:ascii="Aptos" w:hAnsi="Aptos" w:eastAsia="Aptos"/>
                <w:sz w:val="16"/>
              </w:rPr>
              <w:t>Preuve</w:t>
            </w:r>
          </w:p>
        </w:tc>
        <w:tc>
          <w:tcPr>
            <w:tcW w:type="dxa" w:w="5156"/>
            <w:vAlign w:val="center"/>
          </w:tcPr>
          <w:p>
            <w:pPr>
              <w:spacing w:after="0"/>
            </w:pPr>
            <w:r>
              <w:rPr>
                <w:rFonts w:ascii="Aptos" w:hAnsi="Aptos" w:eastAsia="Aptos"/>
                <w:sz w:val="16"/>
              </w:rPr>
              <w:t>Lien vers l’avis ou la source originale</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EXEMPLE</w:t>
            </w:r>
          </w:p>
          <w:p>
            <w:pPr>
              <w:spacing w:after="20"/>
            </w:pPr>
            <w:r>
              <w:rPr>
                <w:rFonts w:ascii="Aptos" w:hAnsi="Aptos" w:eastAsia="Aptos"/>
                <w:b/>
                <w:color w:val="0D2A3F"/>
                <w:sz w:val="24"/>
              </w:rPr>
              <w:t>Entreprise ABC gagne un chantier de 12,4 MCHF. Signal : besoin probable de renfort opérationnel et de location d’équipement dans les prochaines semaines. Preuve : adjudication SIMAP.</w:t>
            </w:r>
          </w:p>
        </w:tc>
      </w:tr>
    </w:tbl>
    <w:p>
      <w:pPr>
        <w:spacing w:after="0"/>
      </w:pPr>
    </w:p>
    <w:p>
      <w:r>
        <w:br w:type="page"/>
      </w:r>
    </w:p>
    <w:p>
      <w:pPr>
        <w:pStyle w:val="Heading1"/>
        <w:pBdr>
          <w:bottom w:val="single" w:sz="10" w:space="4" w:color="0E9AA7"/>
        </w:pBdr>
      </w:pPr>
      <w:r>
        <w:t>7. MVP commercial minimal</w:t>
      </w:r>
    </w:p>
    <w:p>
      <w:r>
        <w:rPr>
          <w:rFonts w:ascii="Aptos" w:hAnsi="Aptos" w:eastAsia="Aptos"/>
        </w:rPr>
        <w:t>Le premier MVP n’est pas un dashboard complet. Il doit prouver que des professionnels agissent sur les signaux et paient pour continuer à les recevoir.</w:t>
      </w:r>
    </w:p>
    <w:p>
      <w:pPr>
        <w:pStyle w:val="ListNumber"/>
        <w:spacing w:after="40"/>
        <w:ind w:left="312" w:hanging="142"/>
      </w:pPr>
      <w:r>
        <w:rPr>
          <w:rFonts w:ascii="Aptos" w:hAnsi="Aptos" w:eastAsia="Aptos"/>
          <w:sz w:val="18"/>
        </w:rPr>
        <w:t>Ingestion quotidienne ou fréquente des adjudications SIMAP + TED.</w:t>
      </w:r>
    </w:p>
    <w:p>
      <w:pPr>
        <w:pStyle w:val="ListNumber"/>
        <w:spacing w:after="40"/>
        <w:ind w:left="312" w:hanging="142"/>
      </w:pPr>
      <w:r>
        <w:rPr>
          <w:rFonts w:ascii="Aptos" w:hAnsi="Aptos" w:eastAsia="Aptos"/>
          <w:sz w:val="18"/>
        </w:rPr>
        <w:t>Normalisation du gagnant, contrat, montant, CPV, lieu et dates.</w:t>
      </w:r>
    </w:p>
    <w:p>
      <w:pPr>
        <w:pStyle w:val="ListNumber"/>
        <w:spacing w:after="40"/>
        <w:ind w:left="312" w:hanging="142"/>
      </w:pPr>
      <w:r>
        <w:rPr>
          <w:rFonts w:ascii="Aptos" w:hAnsi="Aptos" w:eastAsia="Aptos"/>
          <w:sz w:val="18"/>
        </w:rPr>
        <w:t>Génération d’un signal avec besoin probable, confiance et preuve.</w:t>
      </w:r>
    </w:p>
    <w:p>
      <w:pPr>
        <w:pStyle w:val="ListNumber"/>
        <w:spacing w:after="40"/>
        <w:ind w:left="312" w:hanging="142"/>
      </w:pPr>
      <w:r>
        <w:rPr>
          <w:rFonts w:ascii="Aptos" w:hAnsi="Aptos" w:eastAsia="Aptos"/>
          <w:sz w:val="18"/>
        </w:rPr>
        <w:t>Profil client simple : offre, ICP, géographie, seuils et secteurs.</w:t>
      </w:r>
    </w:p>
    <w:p>
      <w:pPr>
        <w:pStyle w:val="ListNumber"/>
        <w:spacing w:after="40"/>
        <w:ind w:left="312" w:hanging="142"/>
      </w:pPr>
      <w:r>
        <w:rPr>
          <w:rFonts w:ascii="Aptos" w:hAnsi="Aptos" w:eastAsia="Aptos"/>
          <w:sz w:val="18"/>
        </w:rPr>
        <w:t>Matching des signaux vers les bons clients.</w:t>
      </w:r>
    </w:p>
    <w:p>
      <w:pPr>
        <w:pStyle w:val="ListNumber"/>
        <w:spacing w:after="40"/>
        <w:ind w:left="312" w:hanging="142"/>
      </w:pPr>
      <w:r>
        <w:rPr>
          <w:rFonts w:ascii="Aptos" w:hAnsi="Aptos" w:eastAsia="Aptos"/>
          <w:sz w:val="18"/>
        </w:rPr>
        <w:t>Livraison par e-mail / liste web simple.</w:t>
      </w:r>
    </w:p>
    <w:p>
      <w:pPr>
        <w:pStyle w:val="ListNumber"/>
        <w:spacing w:after="40"/>
        <w:ind w:left="312" w:hanging="142"/>
      </w:pPr>
      <w:r>
        <w:rPr>
          <w:rFonts w:ascii="Aptos" w:hAnsi="Aptos" w:eastAsia="Aptos"/>
          <w:sz w:val="18"/>
        </w:rPr>
        <w:t>Feedback : utile / non utile / contacté / réponse.</w:t>
      </w:r>
    </w:p>
    <w:p>
      <w:pPr>
        <w:pStyle w:val="ListNumber"/>
        <w:spacing w:after="40"/>
        <w:ind w:left="312" w:hanging="142"/>
      </w:pPr>
      <w:r>
        <w:rPr>
          <w:rFonts w:ascii="Aptos" w:hAnsi="Aptos" w:eastAsia="Aptos"/>
          <w:sz w:val="18"/>
        </w:rPr>
        <w:t>Paiement récurrent simple.</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ANTI-SCOPE</w:t>
            </w:r>
          </w:p>
          <w:p>
            <w:pPr>
              <w:spacing w:after="20"/>
            </w:pPr>
            <w:r>
              <w:rPr>
                <w:rFonts w:ascii="Aptos" w:hAnsi="Aptos" w:eastAsia="Aptos"/>
                <w:b/>
                <w:color w:val="0D2A3F"/>
                <w:sz w:val="24"/>
              </w:rPr>
              <w:t>Pas de CRM complet, pas de veille concurrents, pas de graphiques de marché, pas de prévision complexe, pas de fonctionnalités Team avant preuve de réachat.</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Gate</w:t>
            </w:r>
          </w:p>
        </w:tc>
        <w:tc>
          <w:tcPr>
            <w:tcW w:type="dxa" w:w="5156"/>
            <w:shd w:fill="0D2A3F"/>
            <w:vAlign w:val="center"/>
          </w:tcPr>
          <w:p>
            <w:pPr>
              <w:spacing w:after="0"/>
            </w:pPr>
            <w:r>
              <w:rPr>
                <w:rFonts w:ascii="Aptos" w:hAnsi="Aptos" w:eastAsia="Aptos"/>
                <w:b/>
                <w:color w:val="FFFFFF"/>
                <w:sz w:val="16"/>
              </w:rPr>
              <w:t>Condition de sortie</w:t>
            </w:r>
          </w:p>
        </w:tc>
      </w:tr>
      <w:tr>
        <w:tc>
          <w:tcPr>
            <w:tcW w:type="dxa" w:w="5156"/>
            <w:vAlign w:val="center"/>
          </w:tcPr>
          <w:p>
            <w:pPr>
              <w:spacing w:after="0"/>
            </w:pPr>
            <w:r>
              <w:rPr>
                <w:rFonts w:ascii="Aptos" w:hAnsi="Aptos" w:eastAsia="Aptos"/>
                <w:sz w:val="16"/>
              </w:rPr>
              <w:t>G0 — Data</w:t>
            </w:r>
          </w:p>
        </w:tc>
        <w:tc>
          <w:tcPr>
            <w:tcW w:type="dxa" w:w="5156"/>
            <w:vAlign w:val="center"/>
          </w:tcPr>
          <w:p>
            <w:pPr>
              <w:spacing w:after="0"/>
            </w:pPr>
            <w:r>
              <w:rPr>
                <w:rFonts w:ascii="Aptos" w:hAnsi="Aptos" w:eastAsia="Aptos"/>
                <w:sz w:val="16"/>
              </w:rPr>
              <w:t>100 adjudications correctement extraites</w:t>
            </w:r>
          </w:p>
        </w:tc>
      </w:tr>
      <w:tr>
        <w:tc>
          <w:tcPr>
            <w:tcW w:type="dxa" w:w="5156"/>
            <w:vAlign w:val="center"/>
            <w:shd w:fill="F4F7F9"/>
          </w:tcPr>
          <w:p>
            <w:pPr>
              <w:spacing w:after="0"/>
            </w:pPr>
            <w:r>
              <w:rPr>
                <w:rFonts w:ascii="Aptos" w:hAnsi="Aptos" w:eastAsia="Aptos"/>
                <w:sz w:val="16"/>
              </w:rPr>
              <w:t>G1 — Signal</w:t>
            </w:r>
          </w:p>
        </w:tc>
        <w:tc>
          <w:tcPr>
            <w:tcW w:type="dxa" w:w="5156"/>
            <w:vAlign w:val="center"/>
            <w:shd w:fill="F4F7F9"/>
          </w:tcPr>
          <w:p>
            <w:pPr>
              <w:spacing w:after="0"/>
            </w:pPr>
            <w:r>
              <w:rPr>
                <w:rFonts w:ascii="Aptos" w:hAnsi="Aptos" w:eastAsia="Aptos"/>
                <w:sz w:val="16"/>
              </w:rPr>
              <w:t>≥ 70 signaux jugés commercialement exploitables en revue interne</w:t>
            </w:r>
          </w:p>
        </w:tc>
      </w:tr>
      <w:tr>
        <w:tc>
          <w:tcPr>
            <w:tcW w:type="dxa" w:w="5156"/>
            <w:vAlign w:val="center"/>
          </w:tcPr>
          <w:p>
            <w:pPr>
              <w:spacing w:after="0"/>
            </w:pPr>
            <w:r>
              <w:rPr>
                <w:rFonts w:ascii="Aptos" w:hAnsi="Aptos" w:eastAsia="Aptos"/>
                <w:sz w:val="16"/>
              </w:rPr>
              <w:t>G2 — Utilisateur</w:t>
            </w:r>
          </w:p>
        </w:tc>
        <w:tc>
          <w:tcPr>
            <w:tcW w:type="dxa" w:w="5156"/>
            <w:vAlign w:val="center"/>
          </w:tcPr>
          <w:p>
            <w:pPr>
              <w:spacing w:after="0"/>
            </w:pPr>
            <w:r>
              <w:rPr>
                <w:rFonts w:ascii="Aptos" w:hAnsi="Aptos" w:eastAsia="Aptos"/>
                <w:sz w:val="16"/>
              </w:rPr>
              <w:t>10 professionnels évaluent de vrais signaux</w:t>
            </w:r>
          </w:p>
        </w:tc>
      </w:tr>
      <w:tr>
        <w:tc>
          <w:tcPr>
            <w:tcW w:type="dxa" w:w="5156"/>
            <w:vAlign w:val="center"/>
            <w:shd w:fill="F4F7F9"/>
          </w:tcPr>
          <w:p>
            <w:pPr>
              <w:spacing w:after="0"/>
            </w:pPr>
            <w:r>
              <w:rPr>
                <w:rFonts w:ascii="Aptos" w:hAnsi="Aptos" w:eastAsia="Aptos"/>
                <w:sz w:val="16"/>
              </w:rPr>
              <w:t>G3 — Action</w:t>
            </w:r>
          </w:p>
        </w:tc>
        <w:tc>
          <w:tcPr>
            <w:tcW w:type="dxa" w:w="5156"/>
            <w:vAlign w:val="center"/>
            <w:shd w:fill="F4F7F9"/>
          </w:tcPr>
          <w:p>
            <w:pPr>
              <w:spacing w:after="0"/>
            </w:pPr>
            <w:r>
              <w:rPr>
                <w:rFonts w:ascii="Aptos" w:hAnsi="Aptos" w:eastAsia="Aptos"/>
                <w:sz w:val="16"/>
              </w:rPr>
              <w:t>≥ 3 professionnels contactent réellement un gagnant</w:t>
            </w:r>
          </w:p>
        </w:tc>
      </w:tr>
      <w:tr>
        <w:tc>
          <w:tcPr>
            <w:tcW w:type="dxa" w:w="5156"/>
            <w:vAlign w:val="center"/>
          </w:tcPr>
          <w:p>
            <w:pPr>
              <w:spacing w:after="0"/>
            </w:pPr>
            <w:r>
              <w:rPr>
                <w:rFonts w:ascii="Aptos" w:hAnsi="Aptos" w:eastAsia="Aptos"/>
                <w:sz w:val="16"/>
              </w:rPr>
              <w:t>G4 — Paiement</w:t>
            </w:r>
          </w:p>
        </w:tc>
        <w:tc>
          <w:tcPr>
            <w:tcW w:type="dxa" w:w="5156"/>
            <w:vAlign w:val="center"/>
          </w:tcPr>
          <w:p>
            <w:pPr>
              <w:spacing w:after="0"/>
            </w:pPr>
            <w:r>
              <w:rPr>
                <w:rFonts w:ascii="Aptos" w:hAnsi="Aptos" w:eastAsia="Aptos"/>
                <w:sz w:val="16"/>
              </w:rPr>
              <w:t>≥ 1 client paie</w:t>
            </w:r>
          </w:p>
        </w:tc>
      </w:tr>
      <w:tr>
        <w:tc>
          <w:tcPr>
            <w:tcW w:type="dxa" w:w="5156"/>
            <w:vAlign w:val="center"/>
            <w:shd w:fill="F4F7F9"/>
          </w:tcPr>
          <w:p>
            <w:pPr>
              <w:spacing w:after="0"/>
            </w:pPr>
            <w:r>
              <w:rPr>
                <w:rFonts w:ascii="Aptos" w:hAnsi="Aptos" w:eastAsia="Aptos"/>
                <w:sz w:val="16"/>
              </w:rPr>
              <w:t>G5 — Répétition</w:t>
            </w:r>
          </w:p>
        </w:tc>
        <w:tc>
          <w:tcPr>
            <w:tcW w:type="dxa" w:w="5156"/>
            <w:vAlign w:val="center"/>
            <w:shd w:fill="F4F7F9"/>
          </w:tcPr>
          <w:p>
            <w:pPr>
              <w:spacing w:after="0"/>
            </w:pPr>
            <w:r>
              <w:rPr>
                <w:rFonts w:ascii="Aptos" w:hAnsi="Aptos" w:eastAsia="Aptos"/>
                <w:sz w:val="16"/>
              </w:rPr>
              <w:t>Le client veut continuer le mois suivant</w:t>
            </w:r>
          </w:p>
        </w:tc>
      </w:tr>
    </w:tbl>
    <w:p>
      <w:pPr>
        <w:spacing w:after="20"/>
      </w:pPr>
    </w:p>
    <w:p>
      <w:pPr>
        <w:pStyle w:val="Heading1"/>
        <w:pBdr>
          <w:bottom w:val="single" w:sz="10" w:space="4" w:color="0E9AA7"/>
        </w:pBdr>
      </w:pPr>
      <w:r>
        <w:t>8. Monétisation et objectif 100 000 CHF</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OBJECTIF</w:t>
            </w:r>
          </w:p>
          <w:p>
            <w:pPr>
              <w:spacing w:after="20"/>
            </w:pPr>
            <w:r>
              <w:rPr>
                <w:rFonts w:ascii="Aptos" w:hAnsi="Aptos" w:eastAsia="Aptos"/>
                <w:b/>
                <w:color w:val="0D2A3F"/>
                <w:sz w:val="24"/>
              </w:rPr>
              <w:t>100 000 CHF ARR ≈ 8 333 CHF de MRR.</w:t>
            </w:r>
          </w:p>
        </w:tc>
      </w:tr>
    </w:tbl>
    <w:p>
      <w:pPr>
        <w:spacing w:after="0"/>
      </w:pPr>
    </w:p>
    <w:p>
      <w:r>
        <w:rPr>
          <w:rFonts w:ascii="Aptos" w:hAnsi="Aptos" w:eastAsia="Aptos"/>
        </w:rPr>
        <w:t>Le pricing doit rester inférieur ou compétitif face aux outils voisins, car le MVP est plus spécialisé et possède moins de fonctionnalités générales. Les prix ci-dessous sont des hypothèses de test.</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0D2A3F"/>
            <w:vAlign w:val="center"/>
          </w:tcPr>
          <w:p>
            <w:pPr>
              <w:spacing w:after="0"/>
            </w:pPr>
            <w:r>
              <w:rPr>
                <w:rFonts w:ascii="Aptos" w:hAnsi="Aptos" w:eastAsia="Aptos"/>
                <w:b/>
                <w:color w:val="FFFFFF"/>
                <w:sz w:val="16"/>
              </w:rPr>
              <w:t>Offre</w:t>
            </w:r>
          </w:p>
        </w:tc>
        <w:tc>
          <w:tcPr>
            <w:tcW w:type="dxa" w:w="3437"/>
            <w:shd w:fill="0D2A3F"/>
            <w:vAlign w:val="center"/>
          </w:tcPr>
          <w:p>
            <w:pPr>
              <w:spacing w:after="0"/>
            </w:pPr>
            <w:r>
              <w:rPr>
                <w:rFonts w:ascii="Aptos" w:hAnsi="Aptos" w:eastAsia="Aptos"/>
                <w:b/>
                <w:color w:val="FFFFFF"/>
                <w:sz w:val="16"/>
              </w:rPr>
              <w:t>Prix test</w:t>
            </w:r>
          </w:p>
        </w:tc>
        <w:tc>
          <w:tcPr>
            <w:tcW w:type="dxa" w:w="3437"/>
            <w:shd w:fill="0D2A3F"/>
            <w:vAlign w:val="center"/>
          </w:tcPr>
          <w:p>
            <w:pPr>
              <w:spacing w:after="0"/>
            </w:pPr>
            <w:r>
              <w:rPr>
                <w:rFonts w:ascii="Aptos" w:hAnsi="Aptos" w:eastAsia="Aptos"/>
                <w:b/>
                <w:color w:val="FFFFFF"/>
                <w:sz w:val="16"/>
              </w:rPr>
              <w:t>Contenu</w:t>
            </w:r>
          </w:p>
        </w:tc>
      </w:tr>
      <w:tr>
        <w:tc>
          <w:tcPr>
            <w:tcW w:type="dxa" w:w="3437"/>
            <w:vAlign w:val="center"/>
          </w:tcPr>
          <w:p>
            <w:pPr>
              <w:spacing w:after="0"/>
            </w:pPr>
            <w:r>
              <w:rPr>
                <w:rFonts w:ascii="Aptos" w:hAnsi="Aptos" w:eastAsia="Aptos"/>
                <w:sz w:val="16"/>
              </w:rPr>
              <w:t>Free</w:t>
            </w:r>
          </w:p>
        </w:tc>
        <w:tc>
          <w:tcPr>
            <w:tcW w:type="dxa" w:w="3437"/>
            <w:vAlign w:val="center"/>
          </w:tcPr>
          <w:p>
            <w:pPr>
              <w:spacing w:after="0"/>
            </w:pPr>
            <w:r>
              <w:rPr>
                <w:rFonts w:ascii="Aptos" w:hAnsi="Aptos" w:eastAsia="Aptos"/>
                <w:sz w:val="16"/>
              </w:rPr>
              <w:t>0</w:t>
            </w:r>
          </w:p>
        </w:tc>
        <w:tc>
          <w:tcPr>
            <w:tcW w:type="dxa" w:w="3437"/>
            <w:vAlign w:val="center"/>
          </w:tcPr>
          <w:p>
            <w:pPr>
              <w:spacing w:after="0"/>
            </w:pPr>
            <w:r>
              <w:rPr>
                <w:rFonts w:ascii="Aptos" w:hAnsi="Aptos" w:eastAsia="Aptos"/>
                <w:sz w:val="16"/>
              </w:rPr>
              <w:t>3 signaux / mois pour démontrer la valeur</w:t>
            </w:r>
          </w:p>
        </w:tc>
      </w:tr>
      <w:tr>
        <w:tc>
          <w:tcPr>
            <w:tcW w:type="dxa" w:w="3437"/>
            <w:vAlign w:val="center"/>
            <w:shd w:fill="F4F7F9"/>
          </w:tcPr>
          <w:p>
            <w:pPr>
              <w:spacing w:after="0"/>
            </w:pPr>
            <w:r>
              <w:rPr>
                <w:rFonts w:ascii="Aptos" w:hAnsi="Aptos" w:eastAsia="Aptos"/>
                <w:sz w:val="16"/>
              </w:rPr>
              <w:t>Starter</w:t>
            </w:r>
          </w:p>
        </w:tc>
        <w:tc>
          <w:tcPr>
            <w:tcW w:type="dxa" w:w="3437"/>
            <w:vAlign w:val="center"/>
            <w:shd w:fill="F4F7F9"/>
          </w:tcPr>
          <w:p>
            <w:pPr>
              <w:spacing w:after="0"/>
            </w:pPr>
            <w:r>
              <w:rPr>
                <w:rFonts w:ascii="Aptos" w:hAnsi="Aptos" w:eastAsia="Aptos"/>
                <w:sz w:val="16"/>
              </w:rPr>
              <w:t>29 CHF/€ / mois</w:t>
            </w:r>
          </w:p>
        </w:tc>
        <w:tc>
          <w:tcPr>
            <w:tcW w:type="dxa" w:w="3437"/>
            <w:vAlign w:val="center"/>
            <w:shd w:fill="F4F7F9"/>
          </w:tcPr>
          <w:p>
            <w:pPr>
              <w:spacing w:after="0"/>
            </w:pPr>
            <w:r>
              <w:rPr>
                <w:rFonts w:ascii="Aptos" w:hAnsi="Aptos" w:eastAsia="Aptos"/>
                <w:sz w:val="16"/>
              </w:rPr>
              <w:t>1 ICP, 1 territoire, alertes hebdomadaires</w:t>
            </w:r>
          </w:p>
        </w:tc>
      </w:tr>
      <w:tr>
        <w:tc>
          <w:tcPr>
            <w:tcW w:type="dxa" w:w="3437"/>
            <w:vAlign w:val="center"/>
          </w:tcPr>
          <w:p>
            <w:pPr>
              <w:spacing w:after="0"/>
            </w:pPr>
            <w:r>
              <w:rPr>
                <w:rFonts w:ascii="Aptos" w:hAnsi="Aptos" w:eastAsia="Aptos"/>
                <w:sz w:val="16"/>
              </w:rPr>
              <w:t>Pro</w:t>
            </w:r>
          </w:p>
        </w:tc>
        <w:tc>
          <w:tcPr>
            <w:tcW w:type="dxa" w:w="3437"/>
            <w:vAlign w:val="center"/>
          </w:tcPr>
          <w:p>
            <w:pPr>
              <w:spacing w:after="0"/>
            </w:pPr>
            <w:r>
              <w:rPr>
                <w:rFonts w:ascii="Aptos" w:hAnsi="Aptos" w:eastAsia="Aptos"/>
                <w:sz w:val="16"/>
              </w:rPr>
              <w:t>59 CHF/€ / mois</w:t>
            </w:r>
          </w:p>
        </w:tc>
        <w:tc>
          <w:tcPr>
            <w:tcW w:type="dxa" w:w="3437"/>
            <w:vAlign w:val="center"/>
          </w:tcPr>
          <w:p>
            <w:pPr>
              <w:spacing w:after="0"/>
            </w:pPr>
            <w:r>
              <w:rPr>
                <w:rFonts w:ascii="Aptos" w:hAnsi="Aptos" w:eastAsia="Aptos"/>
                <w:sz w:val="16"/>
              </w:rPr>
              <w:t>plusieurs ICP, territoires, scoring, filtres, historique</w:t>
            </w:r>
          </w:p>
        </w:tc>
      </w:tr>
      <w:tr>
        <w:tc>
          <w:tcPr>
            <w:tcW w:type="dxa" w:w="3437"/>
            <w:vAlign w:val="center"/>
            <w:shd w:fill="F4F7F9"/>
          </w:tcPr>
          <w:p>
            <w:pPr>
              <w:spacing w:after="0"/>
            </w:pPr>
            <w:r>
              <w:rPr>
                <w:rFonts w:ascii="Aptos" w:hAnsi="Aptos" w:eastAsia="Aptos"/>
                <w:sz w:val="16"/>
              </w:rPr>
              <w:t>Business</w:t>
            </w:r>
          </w:p>
        </w:tc>
        <w:tc>
          <w:tcPr>
            <w:tcW w:type="dxa" w:w="3437"/>
            <w:vAlign w:val="center"/>
            <w:shd w:fill="F4F7F9"/>
          </w:tcPr>
          <w:p>
            <w:pPr>
              <w:spacing w:after="0"/>
            </w:pPr>
            <w:r>
              <w:rPr>
                <w:rFonts w:ascii="Aptos" w:hAnsi="Aptos" w:eastAsia="Aptos"/>
                <w:sz w:val="16"/>
              </w:rPr>
              <w:t>129 CHF/€ / mois</w:t>
            </w:r>
          </w:p>
        </w:tc>
        <w:tc>
          <w:tcPr>
            <w:tcW w:type="dxa" w:w="3437"/>
            <w:vAlign w:val="center"/>
            <w:shd w:fill="F4F7F9"/>
          </w:tcPr>
          <w:p>
            <w:pPr>
              <w:spacing w:after="0"/>
            </w:pPr>
            <w:r>
              <w:rPr>
                <w:rFonts w:ascii="Aptos" w:hAnsi="Aptos" w:eastAsia="Aptos"/>
                <w:sz w:val="16"/>
              </w:rPr>
              <w:t>équipe, exports, routage, CRM plus tard</w:t>
            </w:r>
          </w:p>
        </w:tc>
      </w:tr>
    </w:tbl>
    <w:p>
      <w:pPr>
        <w:spacing w:after="20"/>
      </w:pPr>
    </w:p>
    <w:p>
      <w:r>
        <w:rPr>
          <w:rFonts w:ascii="Aptos" w:hAnsi="Aptos" w:eastAsia="Aptos"/>
        </w:rPr>
        <w:t>Hypothèse de mix permettant de dépasser l’objectif : 50 Starter + 60 Pro + 30 Business ≈ 8 860 CHF/mois, soit ≈ 106 000 CHF/an. L’objectif n’est pas de figer ce mix, mais de montrer qu’environ 100 à 150 clients suffisent à l’échelle Suisse + UE.</w:t>
      </w:r>
    </w:p>
    <w:tbl>
      <w:tblPr>
        <w:tblW w:type="auto" w:w="0"/>
        <w:jc w:val="center"/>
        <w:tblLayout w:type="autofit"/>
        <w:tblLook w:firstColumn="1" w:firstRow="1" w:lastColumn="0" w:lastRow="0" w:noHBand="0" w:noVBand="1" w:val="04A0"/>
      </w:tblPr>
      <w:tblGrid>
        <w:gridCol w:w="10312"/>
      </w:tblGrid>
      <w:tr>
        <w:trPr>
          <w:cantSplit/>
        </w:trPr>
        <w:tc>
          <w:tcPr>
            <w:tcW w:type="dxa" w:w="10312"/>
            <w:shd w:fill="ECF7F1"/>
            <w:tcBorders>
              <w:top w:val="nil"/>
              <w:left w:val="single" w:sz="24" w:color="0B7A53"/>
              <w:bottom w:val="nil"/>
              <w:right w:val="nil"/>
            </w:tcBorders>
          </w:tcPr>
          <w:p>
            <w:pPr>
              <w:spacing w:after="20"/>
            </w:pPr>
            <w:r>
              <w:rPr>
                <w:rFonts w:ascii="Aptos" w:hAnsi="Aptos" w:eastAsia="Aptos"/>
                <w:b/>
                <w:color w:val="0B7A53"/>
                <w:sz w:val="15"/>
              </w:rPr>
              <w:t>FOUNDING CUSTOMERS</w:t>
            </w:r>
          </w:p>
          <w:p>
            <w:pPr>
              <w:spacing w:after="20"/>
            </w:pPr>
            <w:r>
              <w:rPr>
                <w:rFonts w:ascii="Aptos" w:hAnsi="Aptos" w:eastAsia="Aptos"/>
                <w:b/>
                <w:color w:val="0D2A3F"/>
                <w:sz w:val="24"/>
              </w:rPr>
              <w:t>Pour les premiers utilisateurs : 19 à 29 CHF/€ / mois pendant une période limitée afin d’acheter de l’apprentissage, obtenir du feedback et mesurer la répétition.</w:t>
            </w:r>
          </w:p>
        </w:tc>
      </w:tr>
    </w:tbl>
    <w:p>
      <w:pPr>
        <w:spacing w:after="0"/>
      </w:pPr>
    </w:p>
    <w:p>
      <w:r>
        <w:br w:type="page"/>
      </w:r>
    </w:p>
    <w:p>
      <w:pPr>
        <w:pStyle w:val="Heading1"/>
        <w:pBdr>
          <w:bottom w:val="single" w:sz="10" w:space="4" w:color="0E9AA7"/>
        </w:pBdr>
      </w:pPr>
      <w:r>
        <w:t>9. Marketing — seulement après validation du MVP</w:t>
      </w:r>
    </w:p>
    <w:p>
      <w:r>
        <w:rPr>
          <w:rFonts w:ascii="Aptos" w:hAnsi="Aptos" w:eastAsia="Aptos"/>
        </w:rPr>
        <w:t>Le marketing ne démarre pas comme une campagne de notoriété. Il part des signaux eux-mêmes : chaque signal peut devenir une démonstration et un prétexte commercial.</w:t>
      </w:r>
    </w:p>
    <w:tbl>
      <w:tblPr>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SIGNAL RÉEL</w:t>
            </w:r>
          </w:p>
        </w:tc>
        <w:tc>
          <w:tcPr>
            <w:tcW w:type="dxa" w:w="171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PROSPECT FOURNISSEUR</w:t>
            </w:r>
          </w:p>
        </w:tc>
        <w:tc>
          <w:tcPr>
            <w:tcW w:type="dxa" w:w="171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EXEMPLE GRATUIT</w:t>
            </w:r>
          </w:p>
        </w:tc>
        <w:tc>
          <w:tcPr>
            <w:tcW w:type="dxa" w:w="171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ESSAI</w:t>
            </w:r>
          </w:p>
        </w:tc>
        <w:tc>
          <w:tcPr>
            <w:tcW w:type="dxa" w:w="1719"/>
            <w:shd w:fill="EAF5F6"/>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ABONNEMENT</w:t>
            </w:r>
          </w:p>
        </w:tc>
        <w:tc>
          <w:tcPr>
            <w:tcW w:type="dxa" w:w="1719"/>
            <w:shd w:fill="F3FBFB"/>
            <w:tcBorders>
              <w:top w:val="single" w:sz="8" w:color="D7E4E8"/>
              <w:left w:val="single" w:sz="8" w:color="D7E4E8"/>
              <w:bottom w:val="single" w:sz="8" w:color="D7E4E8"/>
              <w:right w:val="single" w:sz="8" w:color="D7E4E8"/>
            </w:tcBorders>
          </w:tcPr>
          <w:p>
            <w:pPr>
              <w:spacing w:after="0"/>
              <w:jc w:val="center"/>
            </w:pPr>
            <w:r>
              <w:rPr>
                <w:rFonts w:ascii="Aptos" w:hAnsi="Aptos" w:eastAsia="Aptos"/>
                <w:b/>
                <w:color w:val="0D2A3F"/>
                <w:sz w:val="16"/>
              </w:rPr>
              <w:t>RÉPÉTITION</w:t>
            </w:r>
          </w:p>
        </w:tc>
      </w:tr>
    </w:tbl>
    <w:p>
      <w:pPr>
        <w:spacing w:after="2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Canal</w:t>
            </w:r>
          </w:p>
        </w:tc>
        <w:tc>
          <w:tcPr>
            <w:tcW w:type="dxa" w:w="5156"/>
            <w:shd w:fill="0D2A3F"/>
            <w:vAlign w:val="center"/>
          </w:tcPr>
          <w:p>
            <w:pPr>
              <w:spacing w:after="0"/>
            </w:pPr>
            <w:r>
              <w:rPr>
                <w:rFonts w:ascii="Aptos" w:hAnsi="Aptos" w:eastAsia="Aptos"/>
                <w:b/>
                <w:color w:val="FFFFFF"/>
                <w:sz w:val="16"/>
              </w:rPr>
              <w:t>Mécanique V1</w:t>
            </w:r>
          </w:p>
        </w:tc>
      </w:tr>
      <w:tr>
        <w:tc>
          <w:tcPr>
            <w:tcW w:type="dxa" w:w="5156"/>
            <w:vAlign w:val="center"/>
          </w:tcPr>
          <w:p>
            <w:pPr>
              <w:spacing w:after="0"/>
            </w:pPr>
            <w:r>
              <w:rPr>
                <w:rFonts w:ascii="Aptos" w:hAnsi="Aptos" w:eastAsia="Aptos"/>
                <w:sz w:val="16"/>
              </w:rPr>
              <w:t>Cold email</w:t>
            </w:r>
          </w:p>
        </w:tc>
        <w:tc>
          <w:tcPr>
            <w:tcW w:type="dxa" w:w="5156"/>
            <w:vAlign w:val="center"/>
          </w:tcPr>
          <w:p>
            <w:pPr>
              <w:spacing w:after="0"/>
            </w:pPr>
            <w:r>
              <w:rPr>
                <w:rFonts w:ascii="Aptos" w:hAnsi="Aptos" w:eastAsia="Aptos"/>
                <w:sz w:val="16"/>
              </w:rPr>
              <w:t>“Nous avons détecté X entreprises qui viennent de gagner des contrats correspondant à votre activité.”</w:t>
            </w:r>
          </w:p>
        </w:tc>
      </w:tr>
      <w:tr>
        <w:tc>
          <w:tcPr>
            <w:tcW w:type="dxa" w:w="5156"/>
            <w:vAlign w:val="center"/>
            <w:shd w:fill="F4F7F9"/>
          </w:tcPr>
          <w:p>
            <w:pPr>
              <w:spacing w:after="0"/>
            </w:pPr>
            <w:r>
              <w:rPr>
                <w:rFonts w:ascii="Aptos" w:hAnsi="Aptos" w:eastAsia="Aptos"/>
                <w:sz w:val="16"/>
              </w:rPr>
              <w:t>LinkedIn</w:t>
            </w:r>
          </w:p>
        </w:tc>
        <w:tc>
          <w:tcPr>
            <w:tcW w:type="dxa" w:w="5156"/>
            <w:vAlign w:val="center"/>
            <w:shd w:fill="F4F7F9"/>
          </w:tcPr>
          <w:p>
            <w:pPr>
              <w:spacing w:after="0"/>
            </w:pPr>
            <w:r>
              <w:rPr>
                <w:rFonts w:ascii="Aptos" w:hAnsi="Aptos" w:eastAsia="Aptos"/>
                <w:sz w:val="16"/>
              </w:rPr>
              <w:t>Exemples anonymisés ou publics de signaux + pédagogie sur le timing commercial</w:t>
            </w:r>
          </w:p>
        </w:tc>
      </w:tr>
      <w:tr>
        <w:tc>
          <w:tcPr>
            <w:tcW w:type="dxa" w:w="5156"/>
            <w:vAlign w:val="center"/>
          </w:tcPr>
          <w:p>
            <w:pPr>
              <w:spacing w:after="0"/>
            </w:pPr>
            <w:r>
              <w:rPr>
                <w:rFonts w:ascii="Aptos" w:hAnsi="Aptos" w:eastAsia="Aptos"/>
                <w:sz w:val="16"/>
              </w:rPr>
              <w:t>SEO</w:t>
            </w:r>
          </w:p>
        </w:tc>
        <w:tc>
          <w:tcPr>
            <w:tcW w:type="dxa" w:w="5156"/>
            <w:vAlign w:val="center"/>
          </w:tcPr>
          <w:p>
            <w:pPr>
              <w:spacing w:after="0"/>
            </w:pPr>
            <w:r>
              <w:rPr>
                <w:rFonts w:ascii="Aptos" w:hAnsi="Aptos" w:eastAsia="Aptos"/>
                <w:sz w:val="16"/>
              </w:rPr>
              <w:t>Pages et articles orientés “contract award leads”, “public procurement sales signals”, verticales/pays</w:t>
            </w:r>
          </w:p>
        </w:tc>
      </w:tr>
      <w:tr>
        <w:tc>
          <w:tcPr>
            <w:tcW w:type="dxa" w:w="5156"/>
            <w:vAlign w:val="center"/>
            <w:shd w:fill="F4F7F9"/>
          </w:tcPr>
          <w:p>
            <w:pPr>
              <w:spacing w:after="0"/>
            </w:pPr>
            <w:r>
              <w:rPr>
                <w:rFonts w:ascii="Aptos" w:hAnsi="Aptos" w:eastAsia="Aptos"/>
                <w:sz w:val="16"/>
              </w:rPr>
              <w:t>Partenariats</w:t>
            </w:r>
          </w:p>
        </w:tc>
        <w:tc>
          <w:tcPr>
            <w:tcW w:type="dxa" w:w="5156"/>
            <w:vAlign w:val="center"/>
            <w:shd w:fill="F4F7F9"/>
          </w:tcPr>
          <w:p>
            <w:pPr>
              <w:spacing w:after="0"/>
            </w:pPr>
            <w:r>
              <w:rPr>
                <w:rFonts w:ascii="Aptos" w:hAnsi="Aptos" w:eastAsia="Aptos"/>
                <w:sz w:val="16"/>
              </w:rPr>
              <w:t>Associations professionnelles, outils CRM, agences commerciales, consultants sectoriels</w:t>
            </w:r>
          </w:p>
        </w:tc>
      </w:tr>
      <w:tr>
        <w:tc>
          <w:tcPr>
            <w:tcW w:type="dxa" w:w="5156"/>
            <w:vAlign w:val="center"/>
          </w:tcPr>
          <w:p>
            <w:pPr>
              <w:spacing w:after="0"/>
            </w:pPr>
            <w:r>
              <w:rPr>
                <w:rFonts w:ascii="Aptos" w:hAnsi="Aptos" w:eastAsia="Aptos"/>
                <w:sz w:val="16"/>
              </w:rPr>
              <w:t>Referral</w:t>
            </w:r>
          </w:p>
        </w:tc>
        <w:tc>
          <w:tcPr>
            <w:tcW w:type="dxa" w:w="5156"/>
            <w:vAlign w:val="center"/>
          </w:tcPr>
          <w:p>
            <w:pPr>
              <w:spacing w:after="0"/>
            </w:pPr>
            <w:r>
              <w:rPr>
                <w:rFonts w:ascii="Aptos" w:hAnsi="Aptos" w:eastAsia="Aptos"/>
                <w:sz w:val="16"/>
              </w:rPr>
              <w:t>Inviter un collègue / partenaire pour débloquer des signaux supplémentaires</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MESSAGE D’ACQUISITION</w:t>
            </w:r>
          </w:p>
          <w:p>
            <w:pPr>
              <w:spacing w:after="20"/>
            </w:pPr>
            <w:r>
              <w:rPr>
                <w:rFonts w:ascii="Aptos" w:hAnsi="Aptos" w:eastAsia="Aptos"/>
                <w:b/>
                <w:color w:val="0D2A3F"/>
                <w:sz w:val="24"/>
              </w:rPr>
              <w:t>Cette semaine, nous avons détecté des entreprises qui viennent de gagner de nouveaux contrats publics dans votre zone. Voici les 3 plus pertinentes pour votre activité.</w:t>
            </w:r>
          </w:p>
        </w:tc>
      </w:tr>
    </w:tbl>
    <w:p>
      <w:pPr>
        <w:spacing w:after="0"/>
      </w:pPr>
    </w:p>
    <w:p>
      <w:r>
        <w:rPr>
          <w:rFonts w:ascii="Aptos" w:hAnsi="Aptos" w:eastAsia="Aptos"/>
        </w:rPr>
        <w:t>L’activation n’est pas l’inscription. L’activation est : le client voit un signal qu’il juge assez pertinent pour envisager ou effectuer une prise de contact.</w:t>
      </w:r>
    </w:p>
    <w:p>
      <w:pPr>
        <w:pStyle w:val="Heading1"/>
        <w:pBdr>
          <w:bottom w:val="single" w:sz="10" w:space="4" w:color="0E9AA7"/>
        </w:pBdr>
      </w:pPr>
      <w:r>
        <w:t>10. KPI et North Star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KPI</w:t>
            </w:r>
          </w:p>
        </w:tc>
        <w:tc>
          <w:tcPr>
            <w:tcW w:type="dxa" w:w="5156"/>
            <w:shd w:fill="0D2A3F"/>
            <w:vAlign w:val="center"/>
          </w:tcPr>
          <w:p>
            <w:pPr>
              <w:spacing w:after="0"/>
            </w:pPr>
            <w:r>
              <w:rPr>
                <w:rFonts w:ascii="Aptos" w:hAnsi="Aptos" w:eastAsia="Aptos"/>
                <w:b/>
                <w:color w:val="FFFFFF"/>
                <w:sz w:val="16"/>
              </w:rPr>
              <w:t>Ce qu’il mesure</w:t>
            </w:r>
          </w:p>
        </w:tc>
      </w:tr>
      <w:tr>
        <w:tc>
          <w:tcPr>
            <w:tcW w:type="dxa" w:w="5156"/>
            <w:vAlign w:val="center"/>
          </w:tcPr>
          <w:p>
            <w:pPr>
              <w:spacing w:after="0"/>
            </w:pPr>
            <w:r>
              <w:rPr>
                <w:rFonts w:ascii="Aptos" w:hAnsi="Aptos" w:eastAsia="Aptos"/>
                <w:sz w:val="16"/>
              </w:rPr>
              <w:t>Awards ingérés</w:t>
            </w:r>
          </w:p>
        </w:tc>
        <w:tc>
          <w:tcPr>
            <w:tcW w:type="dxa" w:w="5156"/>
            <w:vAlign w:val="center"/>
          </w:tcPr>
          <w:p>
            <w:pPr>
              <w:spacing w:after="0"/>
            </w:pPr>
            <w:r>
              <w:rPr>
                <w:rFonts w:ascii="Aptos" w:hAnsi="Aptos" w:eastAsia="Aptos"/>
                <w:sz w:val="16"/>
              </w:rPr>
              <w:t>Couverture data</w:t>
            </w:r>
          </w:p>
        </w:tc>
      </w:tr>
      <w:tr>
        <w:tc>
          <w:tcPr>
            <w:tcW w:type="dxa" w:w="5156"/>
            <w:vAlign w:val="center"/>
            <w:shd w:fill="F4F7F9"/>
          </w:tcPr>
          <w:p>
            <w:pPr>
              <w:spacing w:after="0"/>
            </w:pPr>
            <w:r>
              <w:rPr>
                <w:rFonts w:ascii="Aptos" w:hAnsi="Aptos" w:eastAsia="Aptos"/>
                <w:sz w:val="16"/>
              </w:rPr>
              <w:t>Signaux générés</w:t>
            </w:r>
          </w:p>
        </w:tc>
        <w:tc>
          <w:tcPr>
            <w:tcW w:type="dxa" w:w="5156"/>
            <w:vAlign w:val="center"/>
            <w:shd w:fill="F4F7F9"/>
          </w:tcPr>
          <w:p>
            <w:pPr>
              <w:spacing w:after="0"/>
            </w:pPr>
            <w:r>
              <w:rPr>
                <w:rFonts w:ascii="Aptos" w:hAnsi="Aptos" w:eastAsia="Aptos"/>
                <w:sz w:val="16"/>
              </w:rPr>
              <w:t>Capacité du moteur</w:t>
            </w:r>
          </w:p>
        </w:tc>
      </w:tr>
      <w:tr>
        <w:tc>
          <w:tcPr>
            <w:tcW w:type="dxa" w:w="5156"/>
            <w:vAlign w:val="center"/>
          </w:tcPr>
          <w:p>
            <w:pPr>
              <w:spacing w:after="0"/>
            </w:pPr>
            <w:r>
              <w:rPr>
                <w:rFonts w:ascii="Aptos" w:hAnsi="Aptos" w:eastAsia="Aptos"/>
                <w:sz w:val="16"/>
              </w:rPr>
              <w:t>Signaux jugés utiles</w:t>
            </w:r>
          </w:p>
        </w:tc>
        <w:tc>
          <w:tcPr>
            <w:tcW w:type="dxa" w:w="5156"/>
            <w:vAlign w:val="center"/>
          </w:tcPr>
          <w:p>
            <w:pPr>
              <w:spacing w:after="0"/>
            </w:pPr>
            <w:r>
              <w:rPr>
                <w:rFonts w:ascii="Aptos" w:hAnsi="Aptos" w:eastAsia="Aptos"/>
                <w:sz w:val="16"/>
              </w:rPr>
              <w:t>Qualité</w:t>
            </w:r>
          </w:p>
        </w:tc>
      </w:tr>
      <w:tr>
        <w:tc>
          <w:tcPr>
            <w:tcW w:type="dxa" w:w="5156"/>
            <w:vAlign w:val="center"/>
            <w:shd w:fill="F4F7F9"/>
          </w:tcPr>
          <w:p>
            <w:pPr>
              <w:spacing w:after="0"/>
            </w:pPr>
            <w:r>
              <w:rPr>
                <w:rFonts w:ascii="Aptos" w:hAnsi="Aptos" w:eastAsia="Aptos"/>
                <w:sz w:val="16"/>
              </w:rPr>
              <w:t>Signaux ouverts</w:t>
            </w:r>
          </w:p>
        </w:tc>
        <w:tc>
          <w:tcPr>
            <w:tcW w:type="dxa" w:w="5156"/>
            <w:vAlign w:val="center"/>
            <w:shd w:fill="F4F7F9"/>
          </w:tcPr>
          <w:p>
            <w:pPr>
              <w:spacing w:after="0"/>
            </w:pPr>
            <w:r>
              <w:rPr>
                <w:rFonts w:ascii="Aptos" w:hAnsi="Aptos" w:eastAsia="Aptos"/>
                <w:sz w:val="16"/>
              </w:rPr>
              <w:t>Engagement</w:t>
            </w:r>
          </w:p>
        </w:tc>
      </w:tr>
      <w:tr>
        <w:tc>
          <w:tcPr>
            <w:tcW w:type="dxa" w:w="5156"/>
            <w:vAlign w:val="center"/>
          </w:tcPr>
          <w:p>
            <w:pPr>
              <w:spacing w:after="0"/>
            </w:pPr>
            <w:r>
              <w:rPr>
                <w:rFonts w:ascii="Aptos" w:hAnsi="Aptos" w:eastAsia="Aptos"/>
                <w:sz w:val="16"/>
              </w:rPr>
              <w:t>Entreprises contactées</w:t>
            </w:r>
          </w:p>
        </w:tc>
        <w:tc>
          <w:tcPr>
            <w:tcW w:type="dxa" w:w="5156"/>
            <w:vAlign w:val="center"/>
          </w:tcPr>
          <w:p>
            <w:pPr>
              <w:spacing w:after="0"/>
            </w:pPr>
            <w:r>
              <w:rPr>
                <w:rFonts w:ascii="Aptos" w:hAnsi="Aptos" w:eastAsia="Aptos"/>
                <w:sz w:val="16"/>
              </w:rPr>
              <w:t>Action commerciale réelle</w:t>
            </w:r>
          </w:p>
        </w:tc>
      </w:tr>
      <w:tr>
        <w:tc>
          <w:tcPr>
            <w:tcW w:type="dxa" w:w="5156"/>
            <w:vAlign w:val="center"/>
            <w:shd w:fill="F4F7F9"/>
          </w:tcPr>
          <w:p>
            <w:pPr>
              <w:spacing w:after="0"/>
            </w:pPr>
            <w:r>
              <w:rPr>
                <w:rFonts w:ascii="Aptos" w:hAnsi="Aptos" w:eastAsia="Aptos"/>
                <w:sz w:val="16"/>
              </w:rPr>
              <w:t>Réponses / rendez-vous</w:t>
            </w:r>
          </w:p>
        </w:tc>
        <w:tc>
          <w:tcPr>
            <w:tcW w:type="dxa" w:w="5156"/>
            <w:vAlign w:val="center"/>
            <w:shd w:fill="F4F7F9"/>
          </w:tcPr>
          <w:p>
            <w:pPr>
              <w:spacing w:after="0"/>
            </w:pPr>
            <w:r>
              <w:rPr>
                <w:rFonts w:ascii="Aptos" w:hAnsi="Aptos" w:eastAsia="Aptos"/>
                <w:sz w:val="16"/>
              </w:rPr>
              <w:t>Valeur aval</w:t>
            </w:r>
          </w:p>
        </w:tc>
      </w:tr>
      <w:tr>
        <w:tc>
          <w:tcPr>
            <w:tcW w:type="dxa" w:w="5156"/>
            <w:vAlign w:val="center"/>
          </w:tcPr>
          <w:p>
            <w:pPr>
              <w:spacing w:after="0"/>
            </w:pPr>
            <w:r>
              <w:rPr>
                <w:rFonts w:ascii="Aptos" w:hAnsi="Aptos" w:eastAsia="Aptos"/>
                <w:sz w:val="16"/>
              </w:rPr>
              <w:t>Conversion Free → Paid</w:t>
            </w:r>
          </w:p>
        </w:tc>
        <w:tc>
          <w:tcPr>
            <w:tcW w:type="dxa" w:w="5156"/>
            <w:vAlign w:val="center"/>
          </w:tcPr>
          <w:p>
            <w:pPr>
              <w:spacing w:after="0"/>
            </w:pPr>
            <w:r>
              <w:rPr>
                <w:rFonts w:ascii="Aptos" w:hAnsi="Aptos" w:eastAsia="Aptos"/>
                <w:sz w:val="16"/>
              </w:rPr>
              <w:t>Monétisation</w:t>
            </w:r>
          </w:p>
        </w:tc>
      </w:tr>
      <w:tr>
        <w:tc>
          <w:tcPr>
            <w:tcW w:type="dxa" w:w="5156"/>
            <w:vAlign w:val="center"/>
            <w:shd w:fill="F4F7F9"/>
          </w:tcPr>
          <w:p>
            <w:pPr>
              <w:spacing w:after="0"/>
            </w:pPr>
            <w:r>
              <w:rPr>
                <w:rFonts w:ascii="Aptos" w:hAnsi="Aptos" w:eastAsia="Aptos"/>
                <w:sz w:val="16"/>
              </w:rPr>
              <w:t>Clients actifs 30 jours</w:t>
            </w:r>
          </w:p>
        </w:tc>
        <w:tc>
          <w:tcPr>
            <w:tcW w:type="dxa" w:w="5156"/>
            <w:vAlign w:val="center"/>
            <w:shd w:fill="F4F7F9"/>
          </w:tcPr>
          <w:p>
            <w:pPr>
              <w:spacing w:after="0"/>
            </w:pPr>
            <w:r>
              <w:rPr>
                <w:rFonts w:ascii="Aptos" w:hAnsi="Aptos" w:eastAsia="Aptos"/>
                <w:sz w:val="16"/>
              </w:rPr>
              <w:t>Rétention</w:t>
            </w:r>
          </w:p>
        </w:tc>
      </w:tr>
      <w:tr>
        <w:tc>
          <w:tcPr>
            <w:tcW w:type="dxa" w:w="5156"/>
            <w:vAlign w:val="center"/>
          </w:tcPr>
          <w:p>
            <w:pPr>
              <w:spacing w:after="0"/>
            </w:pPr>
            <w:r>
              <w:rPr>
                <w:rFonts w:ascii="Aptos" w:hAnsi="Aptos" w:eastAsia="Aptos"/>
                <w:sz w:val="16"/>
              </w:rPr>
              <w:t>Churn</w:t>
            </w:r>
          </w:p>
        </w:tc>
        <w:tc>
          <w:tcPr>
            <w:tcW w:type="dxa" w:w="5156"/>
            <w:vAlign w:val="center"/>
          </w:tcPr>
          <w:p>
            <w:pPr>
              <w:spacing w:after="0"/>
            </w:pPr>
            <w:r>
              <w:rPr>
                <w:rFonts w:ascii="Aptos" w:hAnsi="Aptos" w:eastAsia="Aptos"/>
                <w:sz w:val="16"/>
              </w:rPr>
              <w:t>Durabilité</w:t>
            </w:r>
          </w:p>
        </w:tc>
      </w:tr>
      <w:tr>
        <w:tc>
          <w:tcPr>
            <w:tcW w:type="dxa" w:w="5156"/>
            <w:vAlign w:val="center"/>
            <w:shd w:fill="F4F7F9"/>
          </w:tcPr>
          <w:p>
            <w:pPr>
              <w:spacing w:after="0"/>
            </w:pPr>
            <w:r>
              <w:rPr>
                <w:rFonts w:ascii="Aptos" w:hAnsi="Aptos" w:eastAsia="Aptos"/>
                <w:sz w:val="16"/>
              </w:rPr>
              <w:t>MRR / ARR</w:t>
            </w:r>
          </w:p>
        </w:tc>
        <w:tc>
          <w:tcPr>
            <w:tcW w:type="dxa" w:w="5156"/>
            <w:vAlign w:val="center"/>
            <w:shd w:fill="F4F7F9"/>
          </w:tcPr>
          <w:p>
            <w:pPr>
              <w:spacing w:after="0"/>
            </w:pPr>
            <w:r>
              <w:rPr>
                <w:rFonts w:ascii="Aptos" w:hAnsi="Aptos" w:eastAsia="Aptos"/>
                <w:sz w:val="16"/>
              </w:rPr>
              <w:t>Trajectoire 100k</w:t>
            </w:r>
          </w:p>
        </w:tc>
      </w:tr>
    </w:tbl>
    <w:p>
      <w:pPr>
        <w:spacing w:after="20"/>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NORTH STAR CANDIDATE</w:t>
            </w:r>
          </w:p>
          <w:p>
            <w:pPr>
              <w:spacing w:after="20"/>
            </w:pPr>
            <w:r>
              <w:rPr>
                <w:rFonts w:ascii="Aptos" w:hAnsi="Aptos" w:eastAsia="Aptos"/>
                <w:b/>
                <w:color w:val="0D2A3F"/>
                <w:sz w:val="24"/>
              </w:rPr>
              <w:t>Nombre de clients ayant utilisé au moins un signal pour déclencher une action commerciale au cours des 30 derniers jours.</w:t>
            </w:r>
          </w:p>
        </w:tc>
      </w:tr>
    </w:tbl>
    <w:p>
      <w:pPr>
        <w:spacing w:after="0"/>
      </w:pPr>
    </w:p>
    <w:p>
      <w:r>
        <w:br w:type="page"/>
      </w:r>
    </w:p>
    <w:p>
      <w:pPr>
        <w:pStyle w:val="Heading1"/>
        <w:pBdr>
          <w:bottom w:val="single" w:sz="10" w:space="4" w:color="0E9AA7"/>
        </w:pBdr>
      </w:pPr>
      <w:r>
        <w:t>11. Moat et règles non négociables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D2A3F"/>
            <w:vAlign w:val="center"/>
          </w:tcPr>
          <w:p>
            <w:pPr>
              <w:spacing w:after="0"/>
            </w:pPr>
            <w:r>
              <w:rPr>
                <w:rFonts w:ascii="Aptos" w:hAnsi="Aptos" w:eastAsia="Aptos"/>
                <w:b/>
                <w:color w:val="FFFFFF"/>
                <w:sz w:val="16"/>
              </w:rPr>
              <w:t>#</w:t>
            </w:r>
          </w:p>
        </w:tc>
        <w:tc>
          <w:tcPr>
            <w:tcW w:type="dxa" w:w="5156"/>
            <w:shd w:fill="0D2A3F"/>
            <w:vAlign w:val="center"/>
          </w:tcPr>
          <w:p>
            <w:pPr>
              <w:spacing w:after="0"/>
            </w:pPr>
            <w:r>
              <w:rPr>
                <w:rFonts w:ascii="Aptos" w:hAnsi="Aptos" w:eastAsia="Aptos"/>
                <w:b/>
                <w:color w:val="FFFFFF"/>
                <w:sz w:val="16"/>
              </w:rPr>
              <w:t>Règle</w:t>
            </w:r>
          </w:p>
        </w:tc>
      </w:tr>
      <w:tr>
        <w:tc>
          <w:tcPr>
            <w:tcW w:type="dxa" w:w="5156"/>
            <w:vAlign w:val="center"/>
          </w:tcPr>
          <w:p>
            <w:pPr>
              <w:spacing w:after="0"/>
            </w:pPr>
            <w:r>
              <w:rPr>
                <w:rFonts w:ascii="Aptos" w:hAnsi="Aptos" w:eastAsia="Aptos"/>
                <w:sz w:val="16"/>
              </w:rPr>
              <w:t>1</w:t>
            </w:r>
          </w:p>
        </w:tc>
        <w:tc>
          <w:tcPr>
            <w:tcW w:type="dxa" w:w="5156"/>
            <w:vAlign w:val="center"/>
          </w:tcPr>
          <w:p>
            <w:pPr>
              <w:spacing w:after="0"/>
            </w:pPr>
            <w:r>
              <w:rPr>
                <w:rFonts w:ascii="Aptos" w:hAnsi="Aptos" w:eastAsia="Aptos"/>
                <w:sz w:val="16"/>
              </w:rPr>
              <w:t>Le produit vend des signaux actionnables, pas une copie de TED/SIMAP.</w:t>
            </w:r>
          </w:p>
        </w:tc>
      </w:tr>
      <w:tr>
        <w:tc>
          <w:tcPr>
            <w:tcW w:type="dxa" w:w="5156"/>
            <w:vAlign w:val="center"/>
            <w:shd w:fill="F4F7F9"/>
          </w:tcPr>
          <w:p>
            <w:pPr>
              <w:spacing w:after="0"/>
            </w:pPr>
            <w:r>
              <w:rPr>
                <w:rFonts w:ascii="Aptos" w:hAnsi="Aptos" w:eastAsia="Aptos"/>
                <w:sz w:val="16"/>
              </w:rPr>
              <w:t>2</w:t>
            </w:r>
          </w:p>
        </w:tc>
        <w:tc>
          <w:tcPr>
            <w:tcW w:type="dxa" w:w="5156"/>
            <w:vAlign w:val="center"/>
            <w:shd w:fill="F4F7F9"/>
          </w:tcPr>
          <w:p>
            <w:pPr>
              <w:spacing w:after="0"/>
            </w:pPr>
            <w:r>
              <w:rPr>
                <w:rFonts w:ascii="Aptos" w:hAnsi="Aptos" w:eastAsia="Aptos"/>
                <w:sz w:val="16"/>
              </w:rPr>
              <w:t>La donnée publique brute n’est pas le moat ; le Need Graph, le timing, le matching et le feedback le sont.</w:t>
            </w:r>
          </w:p>
        </w:tc>
      </w:tr>
      <w:tr>
        <w:tc>
          <w:tcPr>
            <w:tcW w:type="dxa" w:w="5156"/>
            <w:vAlign w:val="center"/>
          </w:tcPr>
          <w:p>
            <w:pPr>
              <w:spacing w:after="0"/>
            </w:pPr>
            <w:r>
              <w:rPr>
                <w:rFonts w:ascii="Aptos" w:hAnsi="Aptos" w:eastAsia="Aptos"/>
                <w:sz w:val="16"/>
              </w:rPr>
              <w:t>3</w:t>
            </w:r>
          </w:p>
        </w:tc>
        <w:tc>
          <w:tcPr>
            <w:tcW w:type="dxa" w:w="5156"/>
            <w:vAlign w:val="center"/>
          </w:tcPr>
          <w:p>
            <w:pPr>
              <w:spacing w:after="0"/>
            </w:pPr>
            <w:r>
              <w:rPr>
                <w:rFonts w:ascii="Aptos" w:hAnsi="Aptos" w:eastAsia="Aptos"/>
                <w:sz w:val="16"/>
              </w:rPr>
              <w:t>Fait et inférence sont toujours séparés.</w:t>
            </w:r>
          </w:p>
        </w:tc>
      </w:tr>
      <w:tr>
        <w:tc>
          <w:tcPr>
            <w:tcW w:type="dxa" w:w="5156"/>
            <w:vAlign w:val="center"/>
            <w:shd w:fill="F4F7F9"/>
          </w:tcPr>
          <w:p>
            <w:pPr>
              <w:spacing w:after="0"/>
            </w:pPr>
            <w:r>
              <w:rPr>
                <w:rFonts w:ascii="Aptos" w:hAnsi="Aptos" w:eastAsia="Aptos"/>
                <w:sz w:val="16"/>
              </w:rPr>
              <w:t>4</w:t>
            </w:r>
          </w:p>
        </w:tc>
        <w:tc>
          <w:tcPr>
            <w:tcW w:type="dxa" w:w="5156"/>
            <w:vAlign w:val="center"/>
            <w:shd w:fill="F4F7F9"/>
          </w:tcPr>
          <w:p>
            <w:pPr>
              <w:spacing w:after="0"/>
            </w:pPr>
            <w:r>
              <w:rPr>
                <w:rFonts w:ascii="Aptos" w:hAnsi="Aptos" w:eastAsia="Aptos"/>
                <w:sz w:val="16"/>
              </w:rPr>
              <w:t>Toute affirmation factuelle importante conserve une preuve.</w:t>
            </w:r>
          </w:p>
        </w:tc>
      </w:tr>
      <w:tr>
        <w:tc>
          <w:tcPr>
            <w:tcW w:type="dxa" w:w="5156"/>
            <w:vAlign w:val="center"/>
          </w:tcPr>
          <w:p>
            <w:pPr>
              <w:spacing w:after="0"/>
            </w:pPr>
            <w:r>
              <w:rPr>
                <w:rFonts w:ascii="Aptos" w:hAnsi="Aptos" w:eastAsia="Aptos"/>
                <w:sz w:val="16"/>
              </w:rPr>
              <w:t>5</w:t>
            </w:r>
          </w:p>
        </w:tc>
        <w:tc>
          <w:tcPr>
            <w:tcW w:type="dxa" w:w="5156"/>
            <w:vAlign w:val="center"/>
          </w:tcPr>
          <w:p>
            <w:pPr>
              <w:spacing w:after="0"/>
            </w:pPr>
            <w:r>
              <w:rPr>
                <w:rFonts w:ascii="Aptos" w:hAnsi="Aptos" w:eastAsia="Aptos"/>
                <w:sz w:val="16"/>
              </w:rPr>
              <w:t>Le client reçoit moins de bruit, pas davantage de données.</w:t>
            </w:r>
          </w:p>
        </w:tc>
      </w:tr>
      <w:tr>
        <w:tc>
          <w:tcPr>
            <w:tcW w:type="dxa" w:w="5156"/>
            <w:vAlign w:val="center"/>
            <w:shd w:fill="F4F7F9"/>
          </w:tcPr>
          <w:p>
            <w:pPr>
              <w:spacing w:after="0"/>
            </w:pPr>
            <w:r>
              <w:rPr>
                <w:rFonts w:ascii="Aptos" w:hAnsi="Aptos" w:eastAsia="Aptos"/>
                <w:sz w:val="16"/>
              </w:rPr>
              <w:t>6</w:t>
            </w:r>
          </w:p>
        </w:tc>
        <w:tc>
          <w:tcPr>
            <w:tcW w:type="dxa" w:w="5156"/>
            <w:vAlign w:val="center"/>
            <w:shd w:fill="F4F7F9"/>
          </w:tcPr>
          <w:p>
            <w:pPr>
              <w:spacing w:after="0"/>
            </w:pPr>
            <w:r>
              <w:rPr>
                <w:rFonts w:ascii="Aptos" w:hAnsi="Aptos" w:eastAsia="Aptos"/>
                <w:sz w:val="16"/>
              </w:rPr>
              <w:t>Le MVP reste focalisé sur Award &amp; Sales Signals.</w:t>
            </w:r>
          </w:p>
        </w:tc>
      </w:tr>
      <w:tr>
        <w:tc>
          <w:tcPr>
            <w:tcW w:type="dxa" w:w="5156"/>
            <w:vAlign w:val="center"/>
          </w:tcPr>
          <w:p>
            <w:pPr>
              <w:spacing w:after="0"/>
            </w:pPr>
            <w:r>
              <w:rPr>
                <w:rFonts w:ascii="Aptos" w:hAnsi="Aptos" w:eastAsia="Aptos"/>
                <w:sz w:val="16"/>
              </w:rPr>
              <w:t>7</w:t>
            </w:r>
          </w:p>
        </w:tc>
        <w:tc>
          <w:tcPr>
            <w:tcW w:type="dxa" w:w="5156"/>
            <w:vAlign w:val="center"/>
          </w:tcPr>
          <w:p>
            <w:pPr>
              <w:spacing w:after="0"/>
            </w:pPr>
            <w:r>
              <w:rPr>
                <w:rFonts w:ascii="Aptos" w:hAnsi="Aptos" w:eastAsia="Aptos"/>
                <w:sz w:val="16"/>
              </w:rPr>
              <w:t>Aucune extension Market/Buyer/Competitor/Forecast avant paiements répétés.</w:t>
            </w:r>
          </w:p>
        </w:tc>
      </w:tr>
      <w:tr>
        <w:tc>
          <w:tcPr>
            <w:tcW w:type="dxa" w:w="5156"/>
            <w:vAlign w:val="center"/>
            <w:shd w:fill="F4F7F9"/>
          </w:tcPr>
          <w:p>
            <w:pPr>
              <w:spacing w:after="0"/>
            </w:pPr>
            <w:r>
              <w:rPr>
                <w:rFonts w:ascii="Aptos" w:hAnsi="Aptos" w:eastAsia="Aptos"/>
                <w:sz w:val="16"/>
              </w:rPr>
              <w:t>8</w:t>
            </w:r>
          </w:p>
        </w:tc>
        <w:tc>
          <w:tcPr>
            <w:tcW w:type="dxa" w:w="5156"/>
            <w:vAlign w:val="center"/>
            <w:shd w:fill="F4F7F9"/>
          </w:tcPr>
          <w:p>
            <w:pPr>
              <w:spacing w:after="0"/>
            </w:pPr>
            <w:r>
              <w:rPr>
                <w:rFonts w:ascii="Aptos" w:hAnsi="Aptos" w:eastAsia="Aptos"/>
                <w:sz w:val="16"/>
              </w:rPr>
              <w:t>Le code déterministe garde les calculs sûrs ; le LLM comprend et structure.</w:t>
            </w:r>
          </w:p>
        </w:tc>
      </w:tr>
      <w:tr>
        <w:tc>
          <w:tcPr>
            <w:tcW w:type="dxa" w:w="5156"/>
            <w:vAlign w:val="center"/>
          </w:tcPr>
          <w:p>
            <w:pPr>
              <w:spacing w:after="0"/>
            </w:pPr>
            <w:r>
              <w:rPr>
                <w:rFonts w:ascii="Aptos" w:hAnsi="Aptos" w:eastAsia="Aptos"/>
                <w:sz w:val="16"/>
              </w:rPr>
              <w:t>9</w:t>
            </w:r>
          </w:p>
        </w:tc>
        <w:tc>
          <w:tcPr>
            <w:tcW w:type="dxa" w:w="5156"/>
            <w:vAlign w:val="center"/>
          </w:tcPr>
          <w:p>
            <w:pPr>
              <w:spacing w:after="0"/>
            </w:pPr>
            <w:r>
              <w:rPr>
                <w:rFonts w:ascii="Aptos" w:hAnsi="Aptos" w:eastAsia="Aptos"/>
                <w:sz w:val="16"/>
              </w:rPr>
              <w:t>Le moteur apprend des signaux réellement utilisés ou ignorés.</w:t>
            </w:r>
          </w:p>
        </w:tc>
      </w:tr>
      <w:tr>
        <w:tc>
          <w:tcPr>
            <w:tcW w:type="dxa" w:w="5156"/>
            <w:vAlign w:val="center"/>
            <w:shd w:fill="F4F7F9"/>
          </w:tcPr>
          <w:p>
            <w:pPr>
              <w:spacing w:after="0"/>
            </w:pPr>
            <w:r>
              <w:rPr>
                <w:rFonts w:ascii="Aptos" w:hAnsi="Aptos" w:eastAsia="Aptos"/>
                <w:sz w:val="16"/>
              </w:rPr>
              <w:t>10</w:t>
            </w:r>
          </w:p>
        </w:tc>
        <w:tc>
          <w:tcPr>
            <w:tcW w:type="dxa" w:w="5156"/>
            <w:vAlign w:val="center"/>
            <w:shd w:fill="F4F7F9"/>
          </w:tcPr>
          <w:p>
            <w:pPr>
              <w:spacing w:after="0"/>
            </w:pPr>
            <w:r>
              <w:rPr>
                <w:rFonts w:ascii="Aptos" w:hAnsi="Aptos" w:eastAsia="Aptos"/>
                <w:sz w:val="16"/>
              </w:rPr>
              <w:t>Suisse + UE doivent partager un modèle de données commun.</w:t>
            </w:r>
          </w:p>
        </w:tc>
      </w:tr>
    </w:tbl>
    <w:p>
      <w:pPr>
        <w:spacing w:after="20"/>
      </w:pPr>
    </w:p>
    <w:p>
      <w:pPr>
        <w:pStyle w:val="Heading1"/>
        <w:pBdr>
          <w:bottom w:val="single" w:sz="10" w:space="4" w:color="0E9AA7"/>
        </w:pBdr>
      </w:pPr>
      <w:r>
        <w:t>12. Définition actuelle du produit</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DÉFINITION</w:t>
            </w:r>
          </w:p>
          <w:p>
            <w:pPr>
              <w:spacing w:after="20"/>
            </w:pPr>
            <w:r>
              <w:rPr>
                <w:rFonts w:ascii="Aptos" w:hAnsi="Aptos" w:eastAsia="Aptos"/>
                <w:b/>
                <w:color w:val="0D2A3F"/>
                <w:sz w:val="24"/>
              </w:rPr>
              <w:t>Le produit observe les adjudications publiques en Suisse et dans l’Union européenne, identifie les entreprises gagnantes, comprend les contrats, déduit des besoins commerciaux plausibles et transmet uniquement les signaux pertinents aux fournisseurs capables d’en tirer une opportunité.</w:t>
            </w:r>
          </w:p>
        </w:tc>
      </w:tr>
    </w:tbl>
    <w:p>
      <w:pPr>
        <w:spacing w:after="0"/>
      </w:pPr>
    </w:p>
    <w:p>
      <w:r>
        <w:rPr>
          <w:rFonts w:ascii="Aptos" w:hAnsi="Aptos" w:eastAsia="Aptos"/>
        </w:rPr>
        <w:t>Les autres formes d’intelligence sur les marchés publics restent des options d’expansion futures. Elles ne font pas partie de la validation initiale.</w:t>
      </w:r>
    </w:p>
    <w:p>
      <w:pPr>
        <w:pStyle w:val="Heading1"/>
        <w:pBdr>
          <w:bottom w:val="single" w:sz="10" w:space="4" w:color="0E9AA7"/>
        </w:pBdr>
      </w:pPr>
      <w:r>
        <w:t>13. Étape suivante</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5F6"/>
            <w:tcBorders>
              <w:top w:val="nil"/>
              <w:left w:val="single" w:sz="24" w:color="0E9AA7"/>
              <w:bottom w:val="nil"/>
              <w:right w:val="nil"/>
            </w:tcBorders>
          </w:tcPr>
          <w:p>
            <w:pPr>
              <w:spacing w:after="20"/>
            </w:pPr>
            <w:r>
              <w:rPr>
                <w:rFonts w:ascii="Aptos" w:hAnsi="Aptos" w:eastAsia="Aptos"/>
                <w:b/>
                <w:color w:val="0E9AA7"/>
                <w:sz w:val="15"/>
              </w:rPr>
              <w:t>EXÉCUTION</w:t>
            </w:r>
          </w:p>
          <w:p>
            <w:pPr>
              <w:spacing w:after="20"/>
            </w:pPr>
            <w:r>
              <w:rPr>
                <w:rFonts w:ascii="Aptos" w:hAnsi="Aptos" w:eastAsia="Aptos"/>
                <w:b/>
                <w:color w:val="0D2A3F"/>
                <w:sz w:val="24"/>
              </w:rPr>
              <w:t>Construire le MVP data + Signal Engine, produire 100 vrais signaux, les faire utiliser par 10 professionnels, obtenir une première prise de contact déclenchée et un premier paiement. Ensuite seulement : marketing reproductible.</w:t>
            </w:r>
          </w:p>
        </w:tc>
      </w:tr>
    </w:tbl>
    <w:p>
      <w:pPr>
        <w:spacing w:after="0"/>
      </w:pPr>
    </w:p>
    <w:sectPr w:rsidR="00FC693F" w:rsidRPr="0006063C" w:rsidSect="00034616">
      <w:headerReference w:type="default" r:id="rId9"/>
      <w:footerReference w:type="default" r:id="rId10"/>
      <w:pgSz w:w="12240" w:h="15840"/>
      <w:pgMar w:top="850" w:right="964" w:bottom="794" w:left="96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19"/>
      <w:gridCol w:w="4819"/>
    </w:tblGrid>
    <w:tr>
      <w:tc>
        <w:tcPr>
          <w:tcW w:type="dxa" w:w="6803"/>
        </w:tcPr>
        <w:p>
          <w:r>
            <w:rPr>
              <w:rFonts w:ascii="Aptos" w:hAnsi="Aptos" w:eastAsia="Aptos"/>
              <w:color w:val="667784"/>
              <w:sz w:val="15"/>
            </w:rPr>
            <w:t>Document de référence — v2.0 • 16 août 2026</w:t>
          </w:r>
        </w:p>
      </w:tc>
      <w:tc>
        <w:tcPr>
          <w:tcW w:type="dxa" w:w="2835"/>
        </w:tcPr>
        <w:p>
          <w:pPr>
            <w:jc w:val="right"/>
          </w:pPr>
          <w:r>
            <w:rPr>
              <w:rFonts w:ascii="Aptos" w:hAnsi="Aptos" w:eastAsia="Aptos"/>
              <w:color w:val="667784"/>
              <w:sz w:val="16"/>
            </w:rPr>
            <w:t xml:space="preserve">Page </w:t>
            <w:fldChar w:fldCharType="begin"/>
            <w:instrText xml:space="preserve"> PAGE </w:instrText>
            <w:fldChar w:fldCharType="end"/>
          </w:r>
          <w:r>
            <w:rPr>
              <w:rFonts w:ascii="Aptos" w:hAnsi="Aptos" w:eastAsia="Aptos"/>
              <w:color w:val="667784"/>
              <w:sz w:val="16"/>
            </w:rPr>
            <w:t xml:space="preserve"> / </w:t>
          </w:r>
          <w: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color w:val="667784"/>
        <w:sz w:val="15"/>
      </w:rPr>
      <w:t>Projet Award &amp; Sales Signals / Plan directeur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E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D2A3F"/>
      <w:sz w:val="4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0E9AA7"/>
      <w:sz w:val="26"/>
      <w:szCs w:val="26"/>
    </w:rPr>
  </w:style>
  <w:style w:type="paragraph" w:styleId="Heading3">
    <w:name w:val="heading 3"/>
    <w:basedOn w:val="Normal"/>
    <w:next w:val="Normal"/>
    <w:link w:val="Heading3Char"/>
    <w:uiPriority w:val="9"/>
    <w:unhideWhenUsed/>
    <w:qFormat/>
    <w:rsid w:val="00FC693F"/>
    <w:pPr>
      <w:keepNext/>
      <w:keepLines/>
      <w:spacing w:before="40" w:after="80"/>
      <w:outlineLvl w:val="2"/>
    </w:pPr>
    <w:rPr>
      <w:rFonts w:asciiTheme="majorHAnsi" w:eastAsiaTheme="majorEastAsia" w:hAnsiTheme="majorHAnsi" w:cstheme="majorBidi" w:ascii="Aptos Display" w:hAnsi="Aptos Display"/>
      <w:b/>
      <w:bCs/>
      <w:color w:val="0D2A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D2A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40"/>
    </w:pPr>
    <w:rPr>
      <w:rFonts w:ascii="Aptos" w:hAnsi="Aptos"/>
      <w:b/>
      <w:color w:val="0E9AA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