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4"/>
          <w:szCs w:val="24"/>
          <w:lang w:val="en-GB"/>
        </w:rPr>
        <w:id w:val="15553799"/>
        <w:docPartObj>
          <w:docPartGallery w:val="Cover Pages"/>
          <w:docPartUnique/>
        </w:docPartObj>
      </w:sdtPr>
      <w:sdtContent>
        <w:p w14:paraId="1C6F3562" w14:textId="77777777" w:rsidR="00F86347" w:rsidRPr="006D4060" w:rsidRDefault="00F86347">
          <w:pPr>
            <w:rPr>
              <w:lang w:val="en-GB"/>
            </w:rPr>
          </w:pPr>
        </w:p>
        <w:p w14:paraId="715FB143" w14:textId="77777777" w:rsidR="00297DC8" w:rsidRPr="006D4060" w:rsidRDefault="00BE1742" w:rsidP="00887178">
          <w:pPr>
            <w:pStyle w:val="BasicTextCentered"/>
            <w:jc w:val="left"/>
          </w:pPr>
          <w:r>
            <w:rPr>
              <w:noProof/>
            </w:rPr>
            <mc:AlternateContent>
              <mc:Choice Requires="wps">
                <w:drawing>
                  <wp:anchor distT="0" distB="0" distL="114300" distR="114300" simplePos="0" relativeHeight="251658241" behindDoc="0" locked="0" layoutInCell="1" allowOverlap="1" wp14:anchorId="1D68E37E" wp14:editId="0E1BA04F">
                    <wp:simplePos x="0" y="0"/>
                    <wp:positionH relativeFrom="column">
                      <wp:posOffset>1129030</wp:posOffset>
                    </wp:positionH>
                    <wp:positionV relativeFrom="paragraph">
                      <wp:posOffset>6869430</wp:posOffset>
                    </wp:positionV>
                    <wp:extent cx="4107600" cy="2209800"/>
                    <wp:effectExtent l="0" t="0" r="7620" b="0"/>
                    <wp:wrapNone/>
                    <wp:docPr id="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7600" cy="2209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EEA2EA" w14:textId="5740473E" w:rsidR="00B55610" w:rsidRPr="00834CBC" w:rsidRDefault="00B55610" w:rsidP="00B55610">
                                <w:pPr>
                                  <w:pStyle w:val="BasicTextIndentation"/>
                                  <w:ind w:left="1985" w:hanging="1985"/>
                                  <w:rPr>
                                    <w:lang w:val="en-US"/>
                                  </w:rPr>
                                </w:pPr>
                                <w:r>
                                  <w:rPr>
                                    <w:lang w:val="en-US"/>
                                  </w:rPr>
                                  <w:t>Supervisor:</w:t>
                                </w:r>
                                <w:r>
                                  <w:rPr>
                                    <w:lang w:val="en-US"/>
                                  </w:rPr>
                                  <w:tab/>
                                  <w:t>?</w:t>
                                </w:r>
                              </w:p>
                              <w:p w14:paraId="2BECC140" w14:textId="54AC664A" w:rsidR="00B55610" w:rsidRPr="00AF48D3" w:rsidRDefault="00B55610" w:rsidP="00B55610">
                                <w:pPr>
                                  <w:pStyle w:val="BasicTextIndentation"/>
                                  <w:ind w:left="1985" w:hanging="1985"/>
                                  <w:rPr>
                                    <w:lang w:val="en-US"/>
                                  </w:rPr>
                                </w:pPr>
                                <w:r>
                                  <w:rPr>
                                    <w:lang w:val="en-US"/>
                                  </w:rPr>
                                  <w:t>Tutor:</w:t>
                                </w:r>
                                <w:r>
                                  <w:rPr>
                                    <w:lang w:val="en-US"/>
                                  </w:rPr>
                                  <w:tab/>
                                  <w:t>?</w:t>
                                </w:r>
                              </w:p>
                              <w:p w14:paraId="34BE90B6" w14:textId="77777777" w:rsidR="00B55610" w:rsidRPr="00AF48D3" w:rsidRDefault="00B55610" w:rsidP="00B55610">
                                <w:pPr>
                                  <w:pStyle w:val="BasicTextIndentation"/>
                                  <w:ind w:left="1985" w:hanging="1985"/>
                                  <w:rPr>
                                    <w:lang w:val="en-US"/>
                                  </w:rPr>
                                </w:pPr>
                              </w:p>
                              <w:p w14:paraId="4C62517F" w14:textId="20FDB325" w:rsidR="0079198E" w:rsidRDefault="00B55610" w:rsidP="00B55610">
                                <w:pPr>
                                  <w:pStyle w:val="BasicTextIndentation"/>
                                  <w:ind w:left="1985" w:hanging="1985"/>
                                  <w:rPr>
                                    <w:lang w:val="en-US"/>
                                  </w:rPr>
                                </w:pPr>
                                <w:r>
                                  <w:rPr>
                                    <w:lang w:val="en-US"/>
                                  </w:rPr>
                                  <w:t>Presented by:</w:t>
                                </w:r>
                                <w:r>
                                  <w:rPr>
                                    <w:lang w:val="en-US"/>
                                  </w:rPr>
                                  <w:tab/>
                                  <w:t xml:space="preserve">Nico Borm </w:t>
                                </w:r>
                              </w:p>
                              <w:p w14:paraId="0DC27581" w14:textId="2E918F4C" w:rsidR="00B55610" w:rsidRDefault="0079198E" w:rsidP="00B55610">
                                <w:pPr>
                                  <w:pStyle w:val="BasicTextIndentation"/>
                                  <w:ind w:left="1985" w:hanging="1985"/>
                                  <w:rPr>
                                    <w:lang w:val="en-US"/>
                                  </w:rPr>
                                </w:pPr>
                                <w:r>
                                  <w:rPr>
                                    <w:lang w:val="en-US"/>
                                  </w:rPr>
                                  <w:t xml:space="preserve">                                 Nele Johanna Bross</w:t>
                                </w:r>
                                <w:r>
                                  <w:rPr>
                                    <w:lang w:val="en-US"/>
                                  </w:rPr>
                                  <w:br/>
                                  <w:t>Yannick Fabio Piero Brusa</w:t>
                                </w:r>
                                <w:r>
                                  <w:rPr>
                                    <w:lang w:val="en-US"/>
                                  </w:rPr>
                                  <w:br/>
                                  <w:t>Sagar Ghimire</w:t>
                                </w:r>
                                <w:r>
                                  <w:rPr>
                                    <w:lang w:val="en-US"/>
                                  </w:rPr>
                                  <w:br/>
                                  <w:t>Frederik Gies</w:t>
                                </w:r>
                                <w:r>
                                  <w:rPr>
                                    <w:lang w:val="en-US"/>
                                  </w:rPr>
                                  <w:br/>
                                  <w:t>Sishan Maharjan</w:t>
                                </w:r>
                              </w:p>
                              <w:p w14:paraId="43DAB018" w14:textId="223889EF" w:rsidR="004676AA" w:rsidRPr="0079198E" w:rsidRDefault="004676AA" w:rsidP="00B55610">
                                <w:pPr>
                                  <w:pStyle w:val="BasicTextIndentation"/>
                                  <w:ind w:left="1985" w:hanging="1985"/>
                                  <w:rPr>
                                    <w:lang w:val="en-US"/>
                                  </w:rPr>
                                </w:pPr>
                                <w:r>
                                  <w:rPr>
                                    <w:lang w:val="en-US"/>
                                  </w:rPr>
                                  <w:t xml:space="preserve">                                 Bastian Schmid</w:t>
                                </w:r>
                              </w:p>
                              <w:p w14:paraId="7822921A" w14:textId="77777777" w:rsidR="00B55610" w:rsidRPr="0079198E" w:rsidRDefault="00B55610" w:rsidP="00B55610">
                                <w:pPr>
                                  <w:pStyle w:val="BasicTextIndentation"/>
                                  <w:ind w:left="1985" w:hanging="1985"/>
                                  <w:rPr>
                                    <w:lang w:val="en-US"/>
                                  </w:rPr>
                                </w:pPr>
                              </w:p>
                              <w:p w14:paraId="614BF125" w14:textId="77777777" w:rsidR="00887178" w:rsidRPr="00B55610" w:rsidRDefault="00B55610" w:rsidP="00B55610">
                                <w:pPr>
                                  <w:pStyle w:val="BasicTextIndentation"/>
                                  <w:ind w:left="1985" w:hanging="1985"/>
                                </w:pPr>
                                <w:r>
                                  <w:t>Date of Submission:</w:t>
                                </w:r>
                                <w:r>
                                  <w:tab/>
                                  <w:t>JJJJ-MM-TT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D68E37E" id="_x0000_t202" coordsize="21600,21600" o:spt="202" path="m,l,21600r21600,l21600,xe">
                    <v:stroke joinstyle="miter"/>
                    <v:path gradientshapeok="t" o:connecttype="rect"/>
                  </v:shapetype>
                  <v:shape id="Text Box 10" o:spid="_x0000_s1026" type="#_x0000_t202" style="position:absolute;margin-left:88.9pt;margin-top:540.9pt;width:323.45pt;height:17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jcfX8QEAAMsDAAAOAAAAZHJzL2Uyb0RvYy54bWysU9uO2yAQfa/Uf0C8N3aidC9WnNU2q1SV&#13;&#10;thdp2w/AGNuomKEDiZ1+fQfszabtW1UeEMMMZ+acGTZ3Y2/YUaHXYEu+XOScKSuh1rYt+bev+zc3&#13;&#10;nPkgbC0MWFXyk/L8bvv61WZwhVpBB6ZWyAjE+mJwJe9CcEWWedmpXvgFOGXJ2QD2IpCJbVajGAi9&#13;&#10;N9kqz6+yAbB2CFJ5T7cPk5NvE37TKBk+N41XgZmSU20h7Zj2Ku7ZdiOKFoXrtJzLEP9QRS+0paRn&#13;&#10;qAcRBDug/guq1xLBQxMWEvoMmkZLlTgQm2X+B5unTjiVuJA43p1l8v8PVn46PrkvyML4DkZqYCLh&#13;&#10;3SPI755Z2HXCtuoeEYZOiZoSL6Nk2eB8MT+NUvvCR5Bq+Ag1NVkcAiSgscE+qkI8GaFTA05n0dUY&#13;&#10;mKTL9TK/vsrJJcm3WuW3N2TEHKJ4fu7Qh/cKehYPJUfqaoIXx0cfptDnkJjNg9H1XhuTDGyrnUF2&#13;&#10;FDQB+7Rm9N/CjI3BFuKzCTHeJJ6R2kQyjNVIzsi3gvpEjBGmiaIfQIcO8CdnA01Tyf2Pg0DFmflg&#13;&#10;SbXb5Xodxy8Z67fXKzLw0lNdeoSVBFXywNl03IVpZA8OddtRpqlPFu5J6UYnDV6qmuumiUkqztMd&#13;&#10;R/LSTlEvf3D7CwAA//8DAFBLAwQUAAYACAAAACEAmsgkqeMAAAASAQAADwAAAGRycy9kb3ducmV2&#13;&#10;LnhtbExPy26DMBC8V+o/WBupl6oxQTQmBBP1oVa9Js0HLLABFGwj7ATy992e2stqZh+zM/luNr24&#13;&#10;0ug7ZzWslhEIspWrO9toOH5/PKUgfEBbY+8sabiRh11xf5djVrvJ7ul6CI1gEesz1NCGMGRS+qol&#13;&#10;g37pBrI8O7nRYGA6NrIecWJx08s4itbSYGf5Q4sDvbVUnQ8Xo+H0NT0+b6byMxzVPlm/YqdKd9P6&#13;&#10;YTG/b7m8bEEEmsPfBfxmYP9QsLHSXWztRc9cKfYfGETpihGvpHGiQJTcSuJNCrLI5f8oxQ8AAAD/&#13;&#10;/wMAUEsBAi0AFAAGAAgAAAAhALaDOJL+AAAA4QEAABMAAAAAAAAAAAAAAAAAAAAAAFtDb250ZW50&#13;&#10;X1R5cGVzXS54bWxQSwECLQAUAAYACAAAACEAOP0h/9YAAACUAQAACwAAAAAAAAAAAAAAAAAvAQAA&#13;&#10;X3JlbHMvLnJlbHNQSwECLQAUAAYACAAAACEAe43H1/EBAADLAwAADgAAAAAAAAAAAAAAAAAuAgAA&#13;&#10;ZHJzL2Uyb0RvYy54bWxQSwECLQAUAAYACAAAACEAmsgkqeMAAAASAQAADwAAAAAAAAAAAAAAAABL&#13;&#10;BAAAZHJzL2Rvd25yZXYueG1sUEsFBgAAAAAEAAQA8wAAAFsFAAAAAA==&#13;&#10;" stroked="f">
                    <v:textbox>
                      <w:txbxContent>
                        <w:p w14:paraId="26EEA2EA" w14:textId="5740473E" w:rsidR="00B55610" w:rsidRPr="00834CBC" w:rsidRDefault="00B55610" w:rsidP="00B55610">
                          <w:pPr>
                            <w:pStyle w:val="BasicTextIndentation"/>
                            <w:ind w:left="1985" w:hanging="1985"/>
                            <w:rPr>
                              <w:lang w:val="en-US"/>
                            </w:rPr>
                          </w:pPr>
                          <w:r>
                            <w:rPr>
                              <w:lang w:val="en-US"/>
                            </w:rPr>
                            <w:t>Supervisor:</w:t>
                          </w:r>
                          <w:r>
                            <w:rPr>
                              <w:lang w:val="en-US"/>
                            </w:rPr>
                            <w:tab/>
                            <w:t>?</w:t>
                          </w:r>
                        </w:p>
                        <w:p w14:paraId="2BECC140" w14:textId="54AC664A" w:rsidR="00B55610" w:rsidRPr="00AF48D3" w:rsidRDefault="00B55610" w:rsidP="00B55610">
                          <w:pPr>
                            <w:pStyle w:val="BasicTextIndentation"/>
                            <w:ind w:left="1985" w:hanging="1985"/>
                            <w:rPr>
                              <w:lang w:val="en-US"/>
                            </w:rPr>
                          </w:pPr>
                          <w:r>
                            <w:rPr>
                              <w:lang w:val="en-US"/>
                            </w:rPr>
                            <w:t>Tutor:</w:t>
                          </w:r>
                          <w:r>
                            <w:rPr>
                              <w:lang w:val="en-US"/>
                            </w:rPr>
                            <w:tab/>
                            <w:t>?</w:t>
                          </w:r>
                        </w:p>
                        <w:p w14:paraId="34BE90B6" w14:textId="77777777" w:rsidR="00B55610" w:rsidRPr="00AF48D3" w:rsidRDefault="00B55610" w:rsidP="00B55610">
                          <w:pPr>
                            <w:pStyle w:val="BasicTextIndentation"/>
                            <w:ind w:left="1985" w:hanging="1985"/>
                            <w:rPr>
                              <w:lang w:val="en-US"/>
                            </w:rPr>
                          </w:pPr>
                        </w:p>
                        <w:p w14:paraId="4C62517F" w14:textId="20FDB325" w:rsidR="0079198E" w:rsidRDefault="00B55610" w:rsidP="00B55610">
                          <w:pPr>
                            <w:pStyle w:val="BasicTextIndentation"/>
                            <w:ind w:left="1985" w:hanging="1985"/>
                            <w:rPr>
                              <w:lang w:val="en-US"/>
                            </w:rPr>
                          </w:pPr>
                          <w:r>
                            <w:rPr>
                              <w:lang w:val="en-US"/>
                            </w:rPr>
                            <w:t>Presented by:</w:t>
                          </w:r>
                          <w:r>
                            <w:rPr>
                              <w:lang w:val="en-US"/>
                            </w:rPr>
                            <w:tab/>
                            <w:t xml:space="preserve">Nico Borm </w:t>
                          </w:r>
                        </w:p>
                        <w:p w14:paraId="0DC27581" w14:textId="2E918F4C" w:rsidR="00B55610" w:rsidRDefault="0079198E" w:rsidP="00B55610">
                          <w:pPr>
                            <w:pStyle w:val="BasicTextIndentation"/>
                            <w:ind w:left="1985" w:hanging="1985"/>
                            <w:rPr>
                              <w:lang w:val="en-US"/>
                            </w:rPr>
                          </w:pPr>
                          <w:r>
                            <w:rPr>
                              <w:lang w:val="en-US"/>
                            </w:rPr>
                            <w:t xml:space="preserve">                                 Nele Johanna Bross</w:t>
                          </w:r>
                          <w:r>
                            <w:rPr>
                              <w:lang w:val="en-US"/>
                            </w:rPr>
                            <w:br/>
                            <w:t>Yannick Fabio Piero Brusa</w:t>
                          </w:r>
                          <w:r>
                            <w:rPr>
                              <w:lang w:val="en-US"/>
                            </w:rPr>
                            <w:br/>
                            <w:t>Sagar Ghimire</w:t>
                          </w:r>
                          <w:r>
                            <w:rPr>
                              <w:lang w:val="en-US"/>
                            </w:rPr>
                            <w:br/>
                            <w:t>Frederik Gies</w:t>
                          </w:r>
                          <w:r>
                            <w:rPr>
                              <w:lang w:val="en-US"/>
                            </w:rPr>
                            <w:br/>
                            <w:t>Sishan Maharjan</w:t>
                          </w:r>
                        </w:p>
                        <w:p w14:paraId="43DAB018" w14:textId="223889EF" w:rsidR="004676AA" w:rsidRPr="0079198E" w:rsidRDefault="004676AA" w:rsidP="00B55610">
                          <w:pPr>
                            <w:pStyle w:val="BasicTextIndentation"/>
                            <w:ind w:left="1985" w:hanging="1985"/>
                            <w:rPr>
                              <w:lang w:val="en-US"/>
                            </w:rPr>
                          </w:pPr>
                          <w:r>
                            <w:rPr>
                              <w:lang w:val="en-US"/>
                            </w:rPr>
                            <w:t xml:space="preserve">                                 Bastian Schmid</w:t>
                          </w:r>
                        </w:p>
                        <w:p w14:paraId="7822921A" w14:textId="77777777" w:rsidR="00B55610" w:rsidRPr="0079198E" w:rsidRDefault="00B55610" w:rsidP="00B55610">
                          <w:pPr>
                            <w:pStyle w:val="BasicTextIndentation"/>
                            <w:ind w:left="1985" w:hanging="1985"/>
                            <w:rPr>
                              <w:lang w:val="en-US"/>
                            </w:rPr>
                          </w:pPr>
                        </w:p>
                        <w:p w14:paraId="614BF125" w14:textId="77777777" w:rsidR="00887178" w:rsidRPr="00B55610" w:rsidRDefault="00B55610" w:rsidP="00B55610">
                          <w:pPr>
                            <w:pStyle w:val="BasicTextIndentation"/>
                            <w:ind w:left="1985" w:hanging="1985"/>
                          </w:pPr>
                          <w:r>
                            <w:t>Date of Submission:</w:t>
                          </w:r>
                          <w:r>
                            <w:tab/>
                            <w:t>JJJJ-MM-TT</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0E72CD51" wp14:editId="653B481B">
                    <wp:simplePos x="0" y="0"/>
                    <wp:positionH relativeFrom="column">
                      <wp:posOffset>-17780</wp:posOffset>
                    </wp:positionH>
                    <wp:positionV relativeFrom="paragraph">
                      <wp:posOffset>1470660</wp:posOffset>
                    </wp:positionV>
                    <wp:extent cx="5911215" cy="2512695"/>
                    <wp:effectExtent l="0" t="1905" r="0" b="0"/>
                    <wp:wrapNone/>
                    <wp:docPr id="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215" cy="2512695"/>
                            </a:xfrm>
                            <a:prstGeom prst="rect">
                              <a:avLst/>
                            </a:prstGeom>
                            <a:noFill/>
                            <a:ln>
                              <a:noFill/>
                            </a:ln>
                            <a:extLst>
                              <a:ext uri="{909E8E84-426E-40DD-AFC4-6F175D3DCCD1}">
                                <a14:hiddenFill xmlns:a14="http://schemas.microsoft.com/office/drawing/2010/main">
                                  <a:solidFill>
                                    <a:schemeClr val="bg1">
                                      <a:lumMod val="95000"/>
                                      <a:lumOff val="0"/>
                                      <a:alpha val="7000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BE69E4" w14:textId="01F782F5" w:rsidR="00B55610" w:rsidRPr="00491BFC" w:rsidRDefault="00B55610" w:rsidP="005D3209">
                                <w:pPr>
                                  <w:pStyle w:val="BasicTextCentered"/>
                                  <w:jc w:val="left"/>
                                  <w:rPr>
                                    <w:lang w:val="en-US"/>
                                  </w:rPr>
                                </w:pPr>
                              </w:p>
                              <w:p w14:paraId="0DF147CB" w14:textId="77777777" w:rsidR="00B55610" w:rsidRPr="00491BFC" w:rsidRDefault="00B55610" w:rsidP="00B55610">
                                <w:pPr>
                                  <w:pStyle w:val="BasicTextCentered"/>
                                  <w:rPr>
                                    <w:lang w:val="en-US"/>
                                  </w:rPr>
                                </w:pPr>
                              </w:p>
                              <w:p w14:paraId="7C5BE2E0" w14:textId="424908DF" w:rsidR="00B55610" w:rsidRPr="00491BFC" w:rsidRDefault="005D3209" w:rsidP="00B55610">
                                <w:pPr>
                                  <w:pStyle w:val="BasicTextCentered"/>
                                  <w:rPr>
                                    <w:lang w:val="en-US"/>
                                  </w:rPr>
                                </w:pPr>
                                <w:r>
                                  <w:rPr>
                                    <w:rStyle w:val="BasicCharBold"/>
                                    <w:lang w:val="en-US"/>
                                  </w:rPr>
                                  <w:t>TITLE</w:t>
                                </w:r>
                              </w:p>
                              <w:p w14:paraId="7C7DFF57" w14:textId="77777777" w:rsidR="00B55610" w:rsidRPr="00491BFC" w:rsidRDefault="00B55610" w:rsidP="005D3209">
                                <w:pPr>
                                  <w:pStyle w:val="BasicTextCentered"/>
                                  <w:jc w:val="left"/>
                                  <w:rPr>
                                    <w:lang w:val="en-US"/>
                                  </w:rPr>
                                </w:pPr>
                              </w:p>
                              <w:p w14:paraId="08B9A2EC" w14:textId="77777777" w:rsidR="00B55610" w:rsidRPr="00491BFC" w:rsidRDefault="00B55610" w:rsidP="00B55610">
                                <w:pPr>
                                  <w:pStyle w:val="BasicTextCentered"/>
                                  <w:rPr>
                                    <w:lang w:val="en-US"/>
                                  </w:rPr>
                                </w:pPr>
                              </w:p>
                              <w:p w14:paraId="54ABE404" w14:textId="23E26DC8" w:rsidR="00B55610" w:rsidRPr="00491BFC" w:rsidRDefault="00FE6830" w:rsidP="00B55610">
                                <w:pPr>
                                  <w:pStyle w:val="BasicTextCentered"/>
                                  <w:rPr>
                                    <w:lang w:val="en-US"/>
                                  </w:rPr>
                                </w:pPr>
                                <w:r>
                                  <w:rPr>
                                    <w:rStyle w:val="BasicCharBold"/>
                                    <w:lang w:val="en-US"/>
                                  </w:rPr>
                                  <w:t>Project Seminar Documentation</w:t>
                                </w:r>
                              </w:p>
                              <w:p w14:paraId="615754B4" w14:textId="58EDB7B0" w:rsidR="00B55610" w:rsidRPr="00491BFC" w:rsidRDefault="00BE1742" w:rsidP="00B55610">
                                <w:pPr>
                                  <w:pStyle w:val="BasicTextCentered"/>
                                  <w:rPr>
                                    <w:lang w:val="en-US"/>
                                  </w:rPr>
                                </w:pPr>
                                <w:r>
                                  <w:rPr>
                                    <w:lang w:val="en-US"/>
                                  </w:rPr>
                                  <w:t>in the context of the seminar “Flows &amp; Funds: Process Mining in Finance”</w:t>
                                </w:r>
                              </w:p>
                              <w:p w14:paraId="6E5962C4" w14:textId="77777777" w:rsidR="00B55610" w:rsidRPr="00491BFC" w:rsidRDefault="00B55610" w:rsidP="00B55610">
                                <w:pPr>
                                  <w:pStyle w:val="BasicTextCentered"/>
                                  <w:rPr>
                                    <w:lang w:val="en-US"/>
                                  </w:rPr>
                                </w:pPr>
                              </w:p>
                              <w:p w14:paraId="762EF030" w14:textId="77777777" w:rsidR="00B55610" w:rsidRDefault="00B55610" w:rsidP="00B55610">
                                <w:pPr>
                                  <w:pStyle w:val="BasicTextCentered"/>
                                  <w:rPr>
                                    <w:lang w:val="en-US"/>
                                  </w:rPr>
                                </w:pPr>
                                <w:r>
                                  <w:rPr>
                                    <w:lang w:val="en-US"/>
                                  </w:rPr>
                                  <w:t>at the Chair for Information Systems and Information Management</w:t>
                                </w:r>
                              </w:p>
                              <w:p w14:paraId="01C14C5D" w14:textId="51228DAC" w:rsidR="00BE1742" w:rsidRPr="00491BFC" w:rsidRDefault="00BE1742" w:rsidP="00B55610">
                                <w:pPr>
                                  <w:pStyle w:val="BasicTextCentered"/>
                                  <w:rPr>
                                    <w:lang w:val="en-US"/>
                                  </w:rPr>
                                </w:pPr>
                                <w:r>
                                  <w:rPr>
                                    <w:lang w:val="en-US"/>
                                  </w:rPr>
                                  <w:t>(University of Münster)</w:t>
                                </w:r>
                              </w:p>
                              <w:p w14:paraId="6F9B470D" w14:textId="77777777" w:rsidR="00B55610" w:rsidRPr="00491BFC" w:rsidRDefault="00B55610" w:rsidP="00B55610">
                                <w:pPr>
                                  <w:spacing w:after="200" w:line="276" w:lineRule="auto"/>
                                  <w:rPr>
                                    <w:lang w:val="en-US"/>
                                  </w:rPr>
                                </w:pPr>
                              </w:p>
                              <w:p w14:paraId="3301B191" w14:textId="77777777" w:rsidR="00887178" w:rsidRPr="00B55610" w:rsidRDefault="00887178">
                                <w:pPr>
                                  <w:rPr>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72CD51" id="Text Box 9" o:spid="_x0000_s1027" type="#_x0000_t202" style="position:absolute;margin-left:-1.4pt;margin-top:115.8pt;width:465.45pt;height:197.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v2t54wEAAKkDAAAOAAAAZHJzL2Uyb0RvYy54bWysU8GO0zAQvSPxD5bvNE3ULDRqulp2tQhp&#13;&#10;YZEWPsBxnMQi8Zix26R8PWMn2y1wQ1wsz4zz5r03k931NPTsqNBpMCVPV2vOlJFQa9OW/NvX+zfv&#13;&#10;OHNemFr0YFTJT8rx6/3rV7vRFiqDDvpaISMQ44rRlrzz3hZJ4mSnBuFWYJWhYgM4CE8htkmNYiT0&#13;&#10;oU+y9foqGQFriyCVc5S9m4t8H/GbRkn/2DROedaXnLj5eGI8q3Am+50oWhS203KhIf6BxSC0oaZn&#13;&#10;qDvhBTug/gtq0BLBQeNXEoYEmkZLFTWQmnT9h5qnTlgVtZA5zp5tcv8PVn4+PtkvyPz0HiYaYBTh&#13;&#10;7API744ZuO2EadUNIoydEjU1ToNlyWhdsXwarHaFCyDV+AlqGrI4eIhAU4NDcIV0MkKnAZzOpqvJ&#13;&#10;M0nJfJumWZpzJqmW5Wl2tc1jD1E8f27R+Q8KBhYuJUeaaoQXxwfnAx1RPD8J3Qzc676Pk+3Nbwl6&#13;&#10;GDKRfmA8c/dTNTFdL9qCmgrqE+lBmPeF9psuHeBPzkbalZK7HweBirP+oyFPtulmE5YrBpv8bUYB&#13;&#10;Xlaqy4owkqBK7jmbr7d+XsiDRd121GmegoEb8rHRUeELq4U+7UMUvuxuWLjLOL56+cP2vwAAAP//&#13;&#10;AwBQSwMEFAAGAAgAAAAhAPZy1QTlAAAADwEAAA8AAABkcnMvZG93bnJldi54bWxMj8FOwzAQRO9I&#13;&#10;/IO1SNxaJ65I0zROBRQEEgdEgbsbL4lFvLZitw18PeYEl5VGuzvzpt5MdmBHHINxJCGfZ8CQWqcN&#13;&#10;dRLeXu9nJbAQFWk1OEIJXxhg05yf1arS7kQveNzFjiUTCpWS0MfoK85D26NVYe48Utp9uNGqmOTY&#13;&#10;cT2qUzK3AxdZVnCrDKWEXnm87bH93B2shPfvu3zpH546KlfPeLUtzKO/MVJeXkzbdRrXa2ARp/j3&#13;&#10;Ab8dEj80CWzvDqQDGyTMRMKPEsQiL4Clg5Uoc2B7CYVYLoA3Nf/fo/kBAAD//wMAUEsBAi0AFAAG&#13;&#10;AAgAAAAhALaDOJL+AAAA4QEAABMAAAAAAAAAAAAAAAAAAAAAAFtDb250ZW50X1R5cGVzXS54bWxQ&#13;&#10;SwECLQAUAAYACAAAACEAOP0h/9YAAACUAQAACwAAAAAAAAAAAAAAAAAvAQAAX3JlbHMvLnJlbHNQ&#13;&#10;SwECLQAUAAYACAAAACEALb9reeMBAACpAwAADgAAAAAAAAAAAAAAAAAuAgAAZHJzL2Uyb0RvYy54&#13;&#10;bWxQSwECLQAUAAYACAAAACEA9nLVBOUAAAAPAQAADwAAAAAAAAAAAAAAAAA9BAAAZHJzL2Rvd25y&#13;&#10;ZXYueG1sUEsFBgAAAAAEAAQA8wAAAE8FAAAAAA==&#13;&#10;" filled="f" fillcolor="#f2f2f2 [3052]" stroked="f">
                    <v:fill opacity="46003f"/>
                    <v:textbox>
                      <w:txbxContent>
                        <w:p w14:paraId="72BE69E4" w14:textId="01F782F5" w:rsidR="00B55610" w:rsidRPr="00491BFC" w:rsidRDefault="00B55610" w:rsidP="005D3209">
                          <w:pPr>
                            <w:pStyle w:val="BasicTextCentered"/>
                            <w:jc w:val="left"/>
                            <w:rPr>
                              <w:lang w:val="en-US"/>
                            </w:rPr>
                          </w:pPr>
                        </w:p>
                        <w:p w14:paraId="0DF147CB" w14:textId="77777777" w:rsidR="00B55610" w:rsidRPr="00491BFC" w:rsidRDefault="00B55610" w:rsidP="00B55610">
                          <w:pPr>
                            <w:pStyle w:val="BasicTextCentered"/>
                            <w:rPr>
                              <w:lang w:val="en-US"/>
                            </w:rPr>
                          </w:pPr>
                        </w:p>
                        <w:p w14:paraId="7C5BE2E0" w14:textId="424908DF" w:rsidR="00B55610" w:rsidRPr="00491BFC" w:rsidRDefault="005D3209" w:rsidP="00B55610">
                          <w:pPr>
                            <w:pStyle w:val="BasicTextCentered"/>
                            <w:rPr>
                              <w:lang w:val="en-US"/>
                            </w:rPr>
                          </w:pPr>
                          <w:r>
                            <w:rPr>
                              <w:rStyle w:val="BasicCharBold"/>
                              <w:lang w:val="en-US"/>
                            </w:rPr>
                            <w:t>TITLE</w:t>
                          </w:r>
                        </w:p>
                        <w:p w14:paraId="7C7DFF57" w14:textId="77777777" w:rsidR="00B55610" w:rsidRPr="00491BFC" w:rsidRDefault="00B55610" w:rsidP="005D3209">
                          <w:pPr>
                            <w:pStyle w:val="BasicTextCentered"/>
                            <w:jc w:val="left"/>
                            <w:rPr>
                              <w:lang w:val="en-US"/>
                            </w:rPr>
                          </w:pPr>
                        </w:p>
                        <w:p w14:paraId="08B9A2EC" w14:textId="77777777" w:rsidR="00B55610" w:rsidRPr="00491BFC" w:rsidRDefault="00B55610" w:rsidP="00B55610">
                          <w:pPr>
                            <w:pStyle w:val="BasicTextCentered"/>
                            <w:rPr>
                              <w:lang w:val="en-US"/>
                            </w:rPr>
                          </w:pPr>
                        </w:p>
                        <w:p w14:paraId="54ABE404" w14:textId="23E26DC8" w:rsidR="00B55610" w:rsidRPr="00491BFC" w:rsidRDefault="00FE6830" w:rsidP="00B55610">
                          <w:pPr>
                            <w:pStyle w:val="BasicTextCentered"/>
                            <w:rPr>
                              <w:lang w:val="en-US"/>
                            </w:rPr>
                          </w:pPr>
                          <w:r>
                            <w:rPr>
                              <w:rStyle w:val="BasicCharBold"/>
                              <w:lang w:val="en-US"/>
                            </w:rPr>
                            <w:t>Project Seminar Documentation</w:t>
                          </w:r>
                        </w:p>
                        <w:p w14:paraId="615754B4" w14:textId="58EDB7B0" w:rsidR="00B55610" w:rsidRPr="00491BFC" w:rsidRDefault="00BE1742" w:rsidP="00B55610">
                          <w:pPr>
                            <w:pStyle w:val="BasicTextCentered"/>
                            <w:rPr>
                              <w:lang w:val="en-US"/>
                            </w:rPr>
                          </w:pPr>
                          <w:r>
                            <w:rPr>
                              <w:lang w:val="en-US"/>
                            </w:rPr>
                            <w:t>in the context of the seminar “Flows &amp; Funds: Process Mining in Finance”</w:t>
                          </w:r>
                        </w:p>
                        <w:p w14:paraId="6E5962C4" w14:textId="77777777" w:rsidR="00B55610" w:rsidRPr="00491BFC" w:rsidRDefault="00B55610" w:rsidP="00B55610">
                          <w:pPr>
                            <w:pStyle w:val="BasicTextCentered"/>
                            <w:rPr>
                              <w:lang w:val="en-US"/>
                            </w:rPr>
                          </w:pPr>
                        </w:p>
                        <w:p w14:paraId="762EF030" w14:textId="77777777" w:rsidR="00B55610" w:rsidRDefault="00B55610" w:rsidP="00B55610">
                          <w:pPr>
                            <w:pStyle w:val="BasicTextCentered"/>
                            <w:rPr>
                              <w:lang w:val="en-US"/>
                            </w:rPr>
                          </w:pPr>
                          <w:r>
                            <w:rPr>
                              <w:lang w:val="en-US"/>
                            </w:rPr>
                            <w:t>at the Chair for Information Systems and Information Management</w:t>
                          </w:r>
                        </w:p>
                        <w:p w14:paraId="01C14C5D" w14:textId="51228DAC" w:rsidR="00BE1742" w:rsidRPr="00491BFC" w:rsidRDefault="00BE1742" w:rsidP="00B55610">
                          <w:pPr>
                            <w:pStyle w:val="BasicTextCentered"/>
                            <w:rPr>
                              <w:lang w:val="en-US"/>
                            </w:rPr>
                          </w:pPr>
                          <w:r>
                            <w:rPr>
                              <w:lang w:val="en-US"/>
                            </w:rPr>
                            <w:t>(University of Münster)</w:t>
                          </w:r>
                        </w:p>
                        <w:p w14:paraId="6F9B470D" w14:textId="77777777" w:rsidR="00B55610" w:rsidRPr="00491BFC" w:rsidRDefault="00B55610" w:rsidP="00B55610">
                          <w:pPr>
                            <w:spacing w:after="200" w:line="276" w:lineRule="auto"/>
                            <w:rPr>
                              <w:lang w:val="en-US"/>
                            </w:rPr>
                          </w:pPr>
                        </w:p>
                        <w:p w14:paraId="3301B191" w14:textId="77777777" w:rsidR="00887178" w:rsidRPr="00B55610" w:rsidRDefault="00887178">
                          <w:pPr>
                            <w:rPr>
                              <w:lang w:val="en-US"/>
                            </w:rPr>
                          </w:pPr>
                        </w:p>
                      </w:txbxContent>
                    </v:textbox>
                  </v:shape>
                </w:pict>
              </mc:Fallback>
            </mc:AlternateContent>
          </w:r>
          <w:r>
            <w:br w:type="page"/>
          </w:r>
        </w:p>
      </w:sdtContent>
    </w:sdt>
    <w:p w14:paraId="7F204E2C" w14:textId="77777777" w:rsidR="00297DC8" w:rsidRPr="00EF35B9" w:rsidRDefault="00EF35B9" w:rsidP="00722BA2">
      <w:pPr>
        <w:pStyle w:val="BasicTextHeading1look-alike"/>
      </w:pPr>
      <w:r>
        <w:lastRenderedPageBreak/>
        <w:t>Content</w:t>
      </w:r>
    </w:p>
    <w:p w14:paraId="653F2923" w14:textId="332C2C80" w:rsidR="00A12F57" w:rsidRDefault="006560B1">
      <w:pPr>
        <w:pStyle w:val="TOC1"/>
        <w:rPr>
          <w:rFonts w:asciiTheme="minorHAnsi" w:eastAsiaTheme="minorEastAsia" w:hAnsiTheme="minorHAnsi" w:cstheme="minorBidi"/>
          <w:kern w:val="2"/>
          <w:szCs w:val="24"/>
          <w:lang w:val="en-DE" w:eastAsia="en-GB"/>
          <w14:ligatures w14:val="standardContextual"/>
        </w:rPr>
      </w:pPr>
      <w:r>
        <w:rPr>
          <w:i/>
          <w:lang w:val="en-GB"/>
        </w:rPr>
        <w:fldChar w:fldCharType="begin"/>
      </w:r>
      <w:r>
        <w:rPr>
          <w:i/>
          <w:lang w:val="en-GB"/>
        </w:rPr>
        <w:instrText xml:space="preserve"> TOC \o "1-4" \h \z \t "Überschrift 8;2;Überschrift 9;3;Grundtext (wie Überschr1);1" </w:instrText>
      </w:r>
      <w:r>
        <w:rPr>
          <w:i/>
          <w:lang w:val="en-GB"/>
        </w:rPr>
        <w:fldChar w:fldCharType="separate"/>
      </w:r>
      <w:hyperlink w:anchor="_Toc236492705" w:history="1">
        <w:r w:rsidR="00A12F57" w:rsidRPr="00212979">
          <w:rPr>
            <w:rStyle w:val="Hyperlink"/>
          </w:rPr>
          <w:t>Figures</w:t>
        </w:r>
        <w:r w:rsidR="00A12F57">
          <w:rPr>
            <w:webHidden/>
          </w:rPr>
          <w:tab/>
        </w:r>
        <w:r w:rsidR="00A12F57">
          <w:rPr>
            <w:webHidden/>
          </w:rPr>
          <w:fldChar w:fldCharType="begin"/>
        </w:r>
        <w:r w:rsidR="00A12F57">
          <w:rPr>
            <w:webHidden/>
          </w:rPr>
          <w:instrText xml:space="preserve"> PAGEREF _Toc236492705 \h </w:instrText>
        </w:r>
        <w:r w:rsidR="00A12F57">
          <w:rPr>
            <w:webHidden/>
          </w:rPr>
        </w:r>
        <w:r w:rsidR="00A12F57">
          <w:rPr>
            <w:webHidden/>
          </w:rPr>
          <w:fldChar w:fldCharType="separate"/>
        </w:r>
        <w:r w:rsidR="00A12F57">
          <w:rPr>
            <w:webHidden/>
          </w:rPr>
          <w:t>V</w:t>
        </w:r>
        <w:r w:rsidR="00A12F57">
          <w:rPr>
            <w:webHidden/>
          </w:rPr>
          <w:fldChar w:fldCharType="end"/>
        </w:r>
      </w:hyperlink>
    </w:p>
    <w:p w14:paraId="431A1E86" w14:textId="1C32CFA9"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06" w:history="1">
        <w:r w:rsidRPr="00212979">
          <w:rPr>
            <w:rStyle w:val="Hyperlink"/>
          </w:rPr>
          <w:t>Tables</w:t>
        </w:r>
        <w:r>
          <w:rPr>
            <w:webHidden/>
          </w:rPr>
          <w:tab/>
        </w:r>
        <w:r>
          <w:rPr>
            <w:webHidden/>
          </w:rPr>
          <w:fldChar w:fldCharType="begin"/>
        </w:r>
        <w:r>
          <w:rPr>
            <w:webHidden/>
          </w:rPr>
          <w:instrText xml:space="preserve"> PAGEREF _Toc236492706 \h </w:instrText>
        </w:r>
        <w:r>
          <w:rPr>
            <w:webHidden/>
          </w:rPr>
        </w:r>
        <w:r>
          <w:rPr>
            <w:webHidden/>
          </w:rPr>
          <w:fldChar w:fldCharType="separate"/>
        </w:r>
        <w:r>
          <w:rPr>
            <w:webHidden/>
          </w:rPr>
          <w:t>VI</w:t>
        </w:r>
        <w:r>
          <w:rPr>
            <w:webHidden/>
          </w:rPr>
          <w:fldChar w:fldCharType="end"/>
        </w:r>
      </w:hyperlink>
    </w:p>
    <w:p w14:paraId="5C11C95A" w14:textId="1C42F859"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07" w:history="1">
        <w:r w:rsidRPr="00212979">
          <w:rPr>
            <w:rStyle w:val="Hyperlink"/>
          </w:rPr>
          <w:t>Abbreviations</w:t>
        </w:r>
        <w:r>
          <w:rPr>
            <w:webHidden/>
          </w:rPr>
          <w:tab/>
        </w:r>
        <w:r>
          <w:rPr>
            <w:webHidden/>
          </w:rPr>
          <w:fldChar w:fldCharType="begin"/>
        </w:r>
        <w:r>
          <w:rPr>
            <w:webHidden/>
          </w:rPr>
          <w:instrText xml:space="preserve"> PAGEREF _Toc236492707 \h </w:instrText>
        </w:r>
        <w:r>
          <w:rPr>
            <w:webHidden/>
          </w:rPr>
        </w:r>
        <w:r>
          <w:rPr>
            <w:webHidden/>
          </w:rPr>
          <w:fldChar w:fldCharType="separate"/>
        </w:r>
        <w:r>
          <w:rPr>
            <w:webHidden/>
          </w:rPr>
          <w:t>VII</w:t>
        </w:r>
        <w:r>
          <w:rPr>
            <w:webHidden/>
          </w:rPr>
          <w:fldChar w:fldCharType="end"/>
        </w:r>
      </w:hyperlink>
    </w:p>
    <w:p w14:paraId="31667742" w14:textId="619CC03E"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08" w:history="1">
        <w:r w:rsidRPr="00212979">
          <w:rPr>
            <w:rStyle w:val="Hyperlink"/>
          </w:rPr>
          <w:t>Symbols</w:t>
        </w:r>
        <w:r>
          <w:rPr>
            <w:webHidden/>
          </w:rPr>
          <w:tab/>
        </w:r>
        <w:r>
          <w:rPr>
            <w:webHidden/>
          </w:rPr>
          <w:fldChar w:fldCharType="begin"/>
        </w:r>
        <w:r>
          <w:rPr>
            <w:webHidden/>
          </w:rPr>
          <w:instrText xml:space="preserve"> PAGEREF _Toc236492708 \h </w:instrText>
        </w:r>
        <w:r>
          <w:rPr>
            <w:webHidden/>
          </w:rPr>
        </w:r>
        <w:r>
          <w:rPr>
            <w:webHidden/>
          </w:rPr>
          <w:fldChar w:fldCharType="separate"/>
        </w:r>
        <w:r>
          <w:rPr>
            <w:webHidden/>
          </w:rPr>
          <w:t>VIII</w:t>
        </w:r>
        <w:r>
          <w:rPr>
            <w:webHidden/>
          </w:rPr>
          <w:fldChar w:fldCharType="end"/>
        </w:r>
      </w:hyperlink>
    </w:p>
    <w:p w14:paraId="42F9F897" w14:textId="1E613601"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09" w:history="1">
        <w:r w:rsidRPr="00212979">
          <w:rPr>
            <w:rStyle w:val="Hyperlink"/>
          </w:rPr>
          <w:t>1</w:t>
        </w:r>
        <w:r>
          <w:rPr>
            <w:rFonts w:asciiTheme="minorHAnsi" w:eastAsiaTheme="minorEastAsia" w:hAnsiTheme="minorHAnsi" w:cstheme="minorBidi"/>
            <w:kern w:val="2"/>
            <w:szCs w:val="24"/>
            <w:lang w:val="en-DE" w:eastAsia="en-GB"/>
            <w14:ligatures w14:val="standardContextual"/>
          </w:rPr>
          <w:tab/>
        </w:r>
        <w:r w:rsidRPr="00212979">
          <w:rPr>
            <w:rStyle w:val="Hyperlink"/>
          </w:rPr>
          <w:t>Introduction</w:t>
        </w:r>
        <w:r>
          <w:rPr>
            <w:webHidden/>
          </w:rPr>
          <w:tab/>
        </w:r>
        <w:r>
          <w:rPr>
            <w:webHidden/>
          </w:rPr>
          <w:fldChar w:fldCharType="begin"/>
        </w:r>
        <w:r>
          <w:rPr>
            <w:webHidden/>
          </w:rPr>
          <w:instrText xml:space="preserve"> PAGEREF _Toc236492709 \h </w:instrText>
        </w:r>
        <w:r>
          <w:rPr>
            <w:webHidden/>
          </w:rPr>
        </w:r>
        <w:r>
          <w:rPr>
            <w:webHidden/>
          </w:rPr>
          <w:fldChar w:fldCharType="separate"/>
        </w:r>
        <w:r>
          <w:rPr>
            <w:webHidden/>
          </w:rPr>
          <w:t>2</w:t>
        </w:r>
        <w:r>
          <w:rPr>
            <w:webHidden/>
          </w:rPr>
          <w:fldChar w:fldCharType="end"/>
        </w:r>
      </w:hyperlink>
    </w:p>
    <w:p w14:paraId="0AC29BFD" w14:textId="717A6A1C"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10" w:history="1">
        <w:r w:rsidRPr="00212979">
          <w:rPr>
            <w:rStyle w:val="Hyperlink"/>
          </w:rPr>
          <w:t>1.1</w:t>
        </w:r>
        <w:r>
          <w:rPr>
            <w:rFonts w:asciiTheme="minorHAnsi" w:eastAsiaTheme="minorEastAsia" w:hAnsiTheme="minorHAnsi" w:cstheme="minorBidi"/>
            <w:kern w:val="2"/>
            <w:szCs w:val="24"/>
            <w:lang w:val="en-DE" w:eastAsia="en-GB"/>
            <w14:ligatures w14:val="standardContextual"/>
          </w:rPr>
          <w:tab/>
        </w:r>
        <w:r w:rsidRPr="00212979">
          <w:rPr>
            <w:rStyle w:val="Hyperlink"/>
          </w:rPr>
          <w:t>Motivation and Institutional Context</w:t>
        </w:r>
        <w:r>
          <w:rPr>
            <w:webHidden/>
          </w:rPr>
          <w:tab/>
        </w:r>
        <w:r>
          <w:rPr>
            <w:webHidden/>
          </w:rPr>
          <w:fldChar w:fldCharType="begin"/>
        </w:r>
        <w:r>
          <w:rPr>
            <w:webHidden/>
          </w:rPr>
          <w:instrText xml:space="preserve"> PAGEREF _Toc236492710 \h </w:instrText>
        </w:r>
        <w:r>
          <w:rPr>
            <w:webHidden/>
          </w:rPr>
        </w:r>
        <w:r>
          <w:rPr>
            <w:webHidden/>
          </w:rPr>
          <w:fldChar w:fldCharType="separate"/>
        </w:r>
        <w:r>
          <w:rPr>
            <w:webHidden/>
          </w:rPr>
          <w:t>2</w:t>
        </w:r>
        <w:r>
          <w:rPr>
            <w:webHidden/>
          </w:rPr>
          <w:fldChar w:fldCharType="end"/>
        </w:r>
      </w:hyperlink>
    </w:p>
    <w:p w14:paraId="66E6F84C" w14:textId="203F732D"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11" w:history="1">
        <w:r w:rsidRPr="00212979">
          <w:rPr>
            <w:rStyle w:val="Hyperlink"/>
          </w:rPr>
          <w:t>1.2</w:t>
        </w:r>
        <w:r>
          <w:rPr>
            <w:rFonts w:asciiTheme="minorHAnsi" w:eastAsiaTheme="minorEastAsia" w:hAnsiTheme="minorHAnsi" w:cstheme="minorBidi"/>
            <w:kern w:val="2"/>
            <w:szCs w:val="24"/>
            <w:lang w:val="en-DE" w:eastAsia="en-GB"/>
            <w14:ligatures w14:val="standardContextual"/>
          </w:rPr>
          <w:tab/>
        </w:r>
        <w:r w:rsidRPr="00212979">
          <w:rPr>
            <w:rStyle w:val="Hyperlink"/>
          </w:rPr>
          <w:t>Problem Conceptualisation</w:t>
        </w:r>
        <w:r>
          <w:rPr>
            <w:webHidden/>
          </w:rPr>
          <w:tab/>
        </w:r>
        <w:r>
          <w:rPr>
            <w:webHidden/>
          </w:rPr>
          <w:fldChar w:fldCharType="begin"/>
        </w:r>
        <w:r>
          <w:rPr>
            <w:webHidden/>
          </w:rPr>
          <w:instrText xml:space="preserve"> PAGEREF _Toc236492711 \h </w:instrText>
        </w:r>
        <w:r>
          <w:rPr>
            <w:webHidden/>
          </w:rPr>
        </w:r>
        <w:r>
          <w:rPr>
            <w:webHidden/>
          </w:rPr>
          <w:fldChar w:fldCharType="separate"/>
        </w:r>
        <w:r>
          <w:rPr>
            <w:webHidden/>
          </w:rPr>
          <w:t>2</w:t>
        </w:r>
        <w:r>
          <w:rPr>
            <w:webHidden/>
          </w:rPr>
          <w:fldChar w:fldCharType="end"/>
        </w:r>
      </w:hyperlink>
    </w:p>
    <w:p w14:paraId="45D06F13" w14:textId="23D0099D"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12" w:history="1">
        <w:r w:rsidRPr="00212979">
          <w:rPr>
            <w:rStyle w:val="Hyperlink"/>
          </w:rPr>
          <w:t>1.3</w:t>
        </w:r>
        <w:r>
          <w:rPr>
            <w:rFonts w:asciiTheme="minorHAnsi" w:eastAsiaTheme="minorEastAsia" w:hAnsiTheme="minorHAnsi" w:cstheme="minorBidi"/>
            <w:kern w:val="2"/>
            <w:szCs w:val="24"/>
            <w:lang w:val="en-DE" w:eastAsia="en-GB"/>
            <w14:ligatures w14:val="standardContextual"/>
          </w:rPr>
          <w:tab/>
        </w:r>
        <w:r w:rsidRPr="00212979">
          <w:rPr>
            <w:rStyle w:val="Hyperlink"/>
          </w:rPr>
          <w:t>Objectives and Criteria for Success</w:t>
        </w:r>
        <w:r>
          <w:rPr>
            <w:webHidden/>
          </w:rPr>
          <w:tab/>
        </w:r>
        <w:r>
          <w:rPr>
            <w:webHidden/>
          </w:rPr>
          <w:fldChar w:fldCharType="begin"/>
        </w:r>
        <w:r>
          <w:rPr>
            <w:webHidden/>
          </w:rPr>
          <w:instrText xml:space="preserve"> PAGEREF _Toc236492712 \h </w:instrText>
        </w:r>
        <w:r>
          <w:rPr>
            <w:webHidden/>
          </w:rPr>
        </w:r>
        <w:r>
          <w:rPr>
            <w:webHidden/>
          </w:rPr>
          <w:fldChar w:fldCharType="separate"/>
        </w:r>
        <w:r>
          <w:rPr>
            <w:webHidden/>
          </w:rPr>
          <w:t>2</w:t>
        </w:r>
        <w:r>
          <w:rPr>
            <w:webHidden/>
          </w:rPr>
          <w:fldChar w:fldCharType="end"/>
        </w:r>
      </w:hyperlink>
    </w:p>
    <w:p w14:paraId="68420238" w14:textId="49929BD6"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13" w:history="1">
        <w:r w:rsidRPr="00212979">
          <w:rPr>
            <w:rStyle w:val="Hyperlink"/>
          </w:rPr>
          <w:t>1.4</w:t>
        </w:r>
        <w:r>
          <w:rPr>
            <w:rFonts w:asciiTheme="minorHAnsi" w:eastAsiaTheme="minorEastAsia" w:hAnsiTheme="minorHAnsi" w:cstheme="minorBidi"/>
            <w:kern w:val="2"/>
            <w:szCs w:val="24"/>
            <w:lang w:val="en-DE" w:eastAsia="en-GB"/>
            <w14:ligatures w14:val="standardContextual"/>
          </w:rPr>
          <w:tab/>
        </w:r>
        <w:r w:rsidRPr="00212979">
          <w:rPr>
            <w:rStyle w:val="Hyperlink"/>
          </w:rPr>
          <w:t>Scope and Delimitation</w:t>
        </w:r>
        <w:r>
          <w:rPr>
            <w:webHidden/>
          </w:rPr>
          <w:tab/>
        </w:r>
        <w:r>
          <w:rPr>
            <w:webHidden/>
          </w:rPr>
          <w:fldChar w:fldCharType="begin"/>
        </w:r>
        <w:r>
          <w:rPr>
            <w:webHidden/>
          </w:rPr>
          <w:instrText xml:space="preserve"> PAGEREF _Toc236492713 \h </w:instrText>
        </w:r>
        <w:r>
          <w:rPr>
            <w:webHidden/>
          </w:rPr>
        </w:r>
        <w:r>
          <w:rPr>
            <w:webHidden/>
          </w:rPr>
          <w:fldChar w:fldCharType="separate"/>
        </w:r>
        <w:r>
          <w:rPr>
            <w:webHidden/>
          </w:rPr>
          <w:t>2</w:t>
        </w:r>
        <w:r>
          <w:rPr>
            <w:webHidden/>
          </w:rPr>
          <w:fldChar w:fldCharType="end"/>
        </w:r>
      </w:hyperlink>
    </w:p>
    <w:p w14:paraId="475C01C6" w14:textId="005E3A48"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14" w:history="1">
        <w:r w:rsidRPr="00212979">
          <w:rPr>
            <w:rStyle w:val="Hyperlink"/>
          </w:rPr>
          <w:t>1.5</w:t>
        </w:r>
        <w:r>
          <w:rPr>
            <w:rFonts w:asciiTheme="minorHAnsi" w:eastAsiaTheme="minorEastAsia" w:hAnsiTheme="minorHAnsi" w:cstheme="minorBidi"/>
            <w:kern w:val="2"/>
            <w:szCs w:val="24"/>
            <w:lang w:val="en-DE" w:eastAsia="en-GB"/>
            <w14:ligatures w14:val="standardContextual"/>
          </w:rPr>
          <w:tab/>
        </w:r>
        <w:r w:rsidRPr="00212979">
          <w:rPr>
            <w:rStyle w:val="Hyperlink"/>
          </w:rPr>
          <w:t>Structure of the Report</w:t>
        </w:r>
        <w:r>
          <w:rPr>
            <w:webHidden/>
          </w:rPr>
          <w:tab/>
        </w:r>
        <w:r>
          <w:rPr>
            <w:webHidden/>
          </w:rPr>
          <w:fldChar w:fldCharType="begin"/>
        </w:r>
        <w:r>
          <w:rPr>
            <w:webHidden/>
          </w:rPr>
          <w:instrText xml:space="preserve"> PAGEREF _Toc236492714 \h </w:instrText>
        </w:r>
        <w:r>
          <w:rPr>
            <w:webHidden/>
          </w:rPr>
        </w:r>
        <w:r>
          <w:rPr>
            <w:webHidden/>
          </w:rPr>
          <w:fldChar w:fldCharType="separate"/>
        </w:r>
        <w:r>
          <w:rPr>
            <w:webHidden/>
          </w:rPr>
          <w:t>2</w:t>
        </w:r>
        <w:r>
          <w:rPr>
            <w:webHidden/>
          </w:rPr>
          <w:fldChar w:fldCharType="end"/>
        </w:r>
      </w:hyperlink>
    </w:p>
    <w:p w14:paraId="2FBCE432" w14:textId="6B27D186"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15" w:history="1">
        <w:r w:rsidRPr="00212979">
          <w:rPr>
            <w:rStyle w:val="Hyperlink"/>
          </w:rPr>
          <w:t>2</w:t>
        </w:r>
        <w:r>
          <w:rPr>
            <w:rFonts w:asciiTheme="minorHAnsi" w:eastAsiaTheme="minorEastAsia" w:hAnsiTheme="minorHAnsi" w:cstheme="minorBidi"/>
            <w:kern w:val="2"/>
            <w:szCs w:val="24"/>
            <w:lang w:val="en-DE" w:eastAsia="en-GB"/>
            <w14:ligatures w14:val="standardContextual"/>
          </w:rPr>
          <w:tab/>
        </w:r>
        <w:r w:rsidRPr="00212979">
          <w:rPr>
            <w:rStyle w:val="Hyperlink"/>
          </w:rPr>
          <w:t>Conceptual Foundations</w:t>
        </w:r>
        <w:r>
          <w:rPr>
            <w:webHidden/>
          </w:rPr>
          <w:tab/>
        </w:r>
        <w:r>
          <w:rPr>
            <w:webHidden/>
          </w:rPr>
          <w:fldChar w:fldCharType="begin"/>
        </w:r>
        <w:r>
          <w:rPr>
            <w:webHidden/>
          </w:rPr>
          <w:instrText xml:space="preserve"> PAGEREF _Toc236492715 \h </w:instrText>
        </w:r>
        <w:r>
          <w:rPr>
            <w:webHidden/>
          </w:rPr>
        </w:r>
        <w:r>
          <w:rPr>
            <w:webHidden/>
          </w:rPr>
          <w:fldChar w:fldCharType="separate"/>
        </w:r>
        <w:r>
          <w:rPr>
            <w:webHidden/>
          </w:rPr>
          <w:t>4</w:t>
        </w:r>
        <w:r>
          <w:rPr>
            <w:webHidden/>
          </w:rPr>
          <w:fldChar w:fldCharType="end"/>
        </w:r>
      </w:hyperlink>
    </w:p>
    <w:p w14:paraId="7C8B0EC7" w14:textId="4D8CE9A5"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16" w:history="1">
        <w:r w:rsidRPr="00212979">
          <w:rPr>
            <w:rStyle w:val="Hyperlink"/>
          </w:rPr>
          <w:t>2.1</w:t>
        </w:r>
        <w:r>
          <w:rPr>
            <w:rFonts w:asciiTheme="minorHAnsi" w:eastAsiaTheme="minorEastAsia" w:hAnsiTheme="minorHAnsi" w:cstheme="minorBidi"/>
            <w:kern w:val="2"/>
            <w:szCs w:val="24"/>
            <w:lang w:val="en-DE" w:eastAsia="en-GB"/>
            <w14:ligatures w14:val="standardContextual"/>
          </w:rPr>
          <w:tab/>
        </w:r>
        <w:r w:rsidRPr="00212979">
          <w:rPr>
            <w:rStyle w:val="Hyperlink"/>
          </w:rPr>
          <w:t>Process Mining: Terminology and Data Basis</w:t>
        </w:r>
        <w:r>
          <w:rPr>
            <w:webHidden/>
          </w:rPr>
          <w:tab/>
        </w:r>
        <w:r>
          <w:rPr>
            <w:webHidden/>
          </w:rPr>
          <w:fldChar w:fldCharType="begin"/>
        </w:r>
        <w:r>
          <w:rPr>
            <w:webHidden/>
          </w:rPr>
          <w:instrText xml:space="preserve"> PAGEREF _Toc236492716 \h </w:instrText>
        </w:r>
        <w:r>
          <w:rPr>
            <w:webHidden/>
          </w:rPr>
        </w:r>
        <w:r>
          <w:rPr>
            <w:webHidden/>
          </w:rPr>
          <w:fldChar w:fldCharType="separate"/>
        </w:r>
        <w:r>
          <w:rPr>
            <w:webHidden/>
          </w:rPr>
          <w:t>4</w:t>
        </w:r>
        <w:r>
          <w:rPr>
            <w:webHidden/>
          </w:rPr>
          <w:fldChar w:fldCharType="end"/>
        </w:r>
      </w:hyperlink>
    </w:p>
    <w:p w14:paraId="7DC2E678" w14:textId="21F56E03"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17" w:history="1">
        <w:r w:rsidRPr="00212979">
          <w:rPr>
            <w:rStyle w:val="Hyperlink"/>
          </w:rPr>
          <w:t>2.2</w:t>
        </w:r>
        <w:r>
          <w:rPr>
            <w:rFonts w:asciiTheme="minorHAnsi" w:eastAsiaTheme="minorEastAsia" w:hAnsiTheme="minorHAnsi" w:cstheme="minorBidi"/>
            <w:kern w:val="2"/>
            <w:szCs w:val="24"/>
            <w:lang w:val="en-DE" w:eastAsia="en-GB"/>
            <w14:ligatures w14:val="standardContextual"/>
          </w:rPr>
          <w:tab/>
        </w:r>
        <w:r w:rsidRPr="00212979">
          <w:rPr>
            <w:rStyle w:val="Hyperlink"/>
          </w:rPr>
          <w:t>The Analytical Disciplines</w:t>
        </w:r>
        <w:r>
          <w:rPr>
            <w:webHidden/>
          </w:rPr>
          <w:tab/>
        </w:r>
        <w:r>
          <w:rPr>
            <w:webHidden/>
          </w:rPr>
          <w:fldChar w:fldCharType="begin"/>
        </w:r>
        <w:r>
          <w:rPr>
            <w:webHidden/>
          </w:rPr>
          <w:instrText xml:space="preserve"> PAGEREF _Toc236492717 \h </w:instrText>
        </w:r>
        <w:r>
          <w:rPr>
            <w:webHidden/>
          </w:rPr>
        </w:r>
        <w:r>
          <w:rPr>
            <w:webHidden/>
          </w:rPr>
          <w:fldChar w:fldCharType="separate"/>
        </w:r>
        <w:r>
          <w:rPr>
            <w:webHidden/>
          </w:rPr>
          <w:t>4</w:t>
        </w:r>
        <w:r>
          <w:rPr>
            <w:webHidden/>
          </w:rPr>
          <w:fldChar w:fldCharType="end"/>
        </w:r>
      </w:hyperlink>
    </w:p>
    <w:p w14:paraId="3910854D" w14:textId="7327AF3A"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18" w:history="1">
        <w:r w:rsidRPr="00212979">
          <w:rPr>
            <w:rStyle w:val="Hyperlink"/>
          </w:rPr>
          <w:t>2.3</w:t>
        </w:r>
        <w:r>
          <w:rPr>
            <w:rFonts w:asciiTheme="minorHAnsi" w:eastAsiaTheme="minorEastAsia" w:hAnsiTheme="minorHAnsi" w:cstheme="minorBidi"/>
            <w:kern w:val="2"/>
            <w:szCs w:val="24"/>
            <w:lang w:val="en-DE" w:eastAsia="en-GB"/>
            <w14:ligatures w14:val="standardContextual"/>
          </w:rPr>
          <w:tab/>
        </w:r>
        <w:r w:rsidRPr="00212979">
          <w:rPr>
            <w:rStyle w:val="Hyperlink"/>
          </w:rPr>
          <w:t>Model Notations and Performance Measures</w:t>
        </w:r>
        <w:r>
          <w:rPr>
            <w:webHidden/>
          </w:rPr>
          <w:tab/>
        </w:r>
        <w:r>
          <w:rPr>
            <w:webHidden/>
          </w:rPr>
          <w:fldChar w:fldCharType="begin"/>
        </w:r>
        <w:r>
          <w:rPr>
            <w:webHidden/>
          </w:rPr>
          <w:instrText xml:space="preserve"> PAGEREF _Toc236492718 \h </w:instrText>
        </w:r>
        <w:r>
          <w:rPr>
            <w:webHidden/>
          </w:rPr>
        </w:r>
        <w:r>
          <w:rPr>
            <w:webHidden/>
          </w:rPr>
          <w:fldChar w:fldCharType="separate"/>
        </w:r>
        <w:r>
          <w:rPr>
            <w:webHidden/>
          </w:rPr>
          <w:t>4</w:t>
        </w:r>
        <w:r>
          <w:rPr>
            <w:webHidden/>
          </w:rPr>
          <w:fldChar w:fldCharType="end"/>
        </w:r>
      </w:hyperlink>
    </w:p>
    <w:p w14:paraId="49D6B09E" w14:textId="523B6E49"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19" w:history="1">
        <w:r w:rsidRPr="00212979">
          <w:rPr>
            <w:rStyle w:val="Hyperlink"/>
          </w:rPr>
          <w:t>2.4</w:t>
        </w:r>
        <w:r>
          <w:rPr>
            <w:rFonts w:asciiTheme="minorHAnsi" w:eastAsiaTheme="minorEastAsia" w:hAnsiTheme="minorHAnsi" w:cstheme="minorBidi"/>
            <w:kern w:val="2"/>
            <w:szCs w:val="24"/>
            <w:lang w:val="en-DE" w:eastAsia="en-GB"/>
            <w14:ligatures w14:val="standardContextual"/>
          </w:rPr>
          <w:tab/>
        </w:r>
        <w:r w:rsidRPr="00212979">
          <w:rPr>
            <w:rStyle w:val="Hyperlink"/>
          </w:rPr>
          <w:t>Platforms versus Libraries: A Conceptual Distinction</w:t>
        </w:r>
        <w:r>
          <w:rPr>
            <w:webHidden/>
          </w:rPr>
          <w:tab/>
        </w:r>
        <w:r>
          <w:rPr>
            <w:webHidden/>
          </w:rPr>
          <w:fldChar w:fldCharType="begin"/>
        </w:r>
        <w:r>
          <w:rPr>
            <w:webHidden/>
          </w:rPr>
          <w:instrText xml:space="preserve"> PAGEREF _Toc236492719 \h </w:instrText>
        </w:r>
        <w:r>
          <w:rPr>
            <w:webHidden/>
          </w:rPr>
        </w:r>
        <w:r>
          <w:rPr>
            <w:webHidden/>
          </w:rPr>
          <w:fldChar w:fldCharType="separate"/>
        </w:r>
        <w:r>
          <w:rPr>
            <w:webHidden/>
          </w:rPr>
          <w:t>4</w:t>
        </w:r>
        <w:r>
          <w:rPr>
            <w:webHidden/>
          </w:rPr>
          <w:fldChar w:fldCharType="end"/>
        </w:r>
      </w:hyperlink>
    </w:p>
    <w:p w14:paraId="4C42687A" w14:textId="5AB32654"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20" w:history="1">
        <w:r w:rsidRPr="00212979">
          <w:rPr>
            <w:rStyle w:val="Hyperlink"/>
          </w:rPr>
          <w:t>3</w:t>
        </w:r>
        <w:r>
          <w:rPr>
            <w:rFonts w:asciiTheme="minorHAnsi" w:eastAsiaTheme="minorEastAsia" w:hAnsiTheme="minorHAnsi" w:cstheme="minorBidi"/>
            <w:kern w:val="2"/>
            <w:szCs w:val="24"/>
            <w:lang w:val="en-DE" w:eastAsia="en-GB"/>
            <w14:ligatures w14:val="standardContextual"/>
          </w:rPr>
          <w:tab/>
        </w:r>
        <w:r w:rsidRPr="00212979">
          <w:rPr>
            <w:rStyle w:val="Hyperlink"/>
          </w:rPr>
          <w:t>Existing Platforms and Positioning</w:t>
        </w:r>
        <w:r>
          <w:rPr>
            <w:webHidden/>
          </w:rPr>
          <w:tab/>
        </w:r>
        <w:r>
          <w:rPr>
            <w:webHidden/>
          </w:rPr>
          <w:fldChar w:fldCharType="begin"/>
        </w:r>
        <w:r>
          <w:rPr>
            <w:webHidden/>
          </w:rPr>
          <w:instrText xml:space="preserve"> PAGEREF _Toc236492720 \h </w:instrText>
        </w:r>
        <w:r>
          <w:rPr>
            <w:webHidden/>
          </w:rPr>
        </w:r>
        <w:r>
          <w:rPr>
            <w:webHidden/>
          </w:rPr>
          <w:fldChar w:fldCharType="separate"/>
        </w:r>
        <w:r>
          <w:rPr>
            <w:webHidden/>
          </w:rPr>
          <w:t>5</w:t>
        </w:r>
        <w:r>
          <w:rPr>
            <w:webHidden/>
          </w:rPr>
          <w:fldChar w:fldCharType="end"/>
        </w:r>
      </w:hyperlink>
    </w:p>
    <w:p w14:paraId="2AAEEA50" w14:textId="3FBE3844"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21" w:history="1">
        <w:r w:rsidRPr="00212979">
          <w:rPr>
            <w:rStyle w:val="Hyperlink"/>
          </w:rPr>
          <w:t>3.1</w:t>
        </w:r>
        <w:r>
          <w:rPr>
            <w:rFonts w:asciiTheme="minorHAnsi" w:eastAsiaTheme="minorEastAsia" w:hAnsiTheme="minorHAnsi" w:cstheme="minorBidi"/>
            <w:kern w:val="2"/>
            <w:szCs w:val="24"/>
            <w:lang w:val="en-DE" w:eastAsia="en-GB"/>
            <w14:ligatures w14:val="standardContextual"/>
          </w:rPr>
          <w:tab/>
        </w:r>
        <w:r w:rsidRPr="00212979">
          <w:rPr>
            <w:rStyle w:val="Hyperlink"/>
          </w:rPr>
          <w:t>Evaluation Framework</w:t>
        </w:r>
        <w:r>
          <w:rPr>
            <w:webHidden/>
          </w:rPr>
          <w:tab/>
        </w:r>
        <w:r>
          <w:rPr>
            <w:webHidden/>
          </w:rPr>
          <w:fldChar w:fldCharType="begin"/>
        </w:r>
        <w:r>
          <w:rPr>
            <w:webHidden/>
          </w:rPr>
          <w:instrText xml:space="preserve"> PAGEREF _Toc236492721 \h </w:instrText>
        </w:r>
        <w:r>
          <w:rPr>
            <w:webHidden/>
          </w:rPr>
        </w:r>
        <w:r>
          <w:rPr>
            <w:webHidden/>
          </w:rPr>
          <w:fldChar w:fldCharType="separate"/>
        </w:r>
        <w:r>
          <w:rPr>
            <w:webHidden/>
          </w:rPr>
          <w:t>5</w:t>
        </w:r>
        <w:r>
          <w:rPr>
            <w:webHidden/>
          </w:rPr>
          <w:fldChar w:fldCharType="end"/>
        </w:r>
      </w:hyperlink>
    </w:p>
    <w:p w14:paraId="135FB850" w14:textId="61F548BB"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22" w:history="1">
        <w:r w:rsidRPr="00212979">
          <w:rPr>
            <w:rStyle w:val="Hyperlink"/>
          </w:rPr>
          <w:t>3.2</w:t>
        </w:r>
        <w:r>
          <w:rPr>
            <w:rFonts w:asciiTheme="minorHAnsi" w:eastAsiaTheme="minorEastAsia" w:hAnsiTheme="minorHAnsi" w:cstheme="minorBidi"/>
            <w:kern w:val="2"/>
            <w:szCs w:val="24"/>
            <w:lang w:val="en-DE" w:eastAsia="en-GB"/>
            <w14:ligatures w14:val="standardContextual"/>
          </w:rPr>
          <w:tab/>
        </w:r>
        <w:r w:rsidRPr="00212979">
          <w:rPr>
            <w:rStyle w:val="Hyperlink"/>
          </w:rPr>
          <w:t>Commercial Process Mining Suites</w:t>
        </w:r>
        <w:r>
          <w:rPr>
            <w:webHidden/>
          </w:rPr>
          <w:tab/>
        </w:r>
        <w:r>
          <w:rPr>
            <w:webHidden/>
          </w:rPr>
          <w:fldChar w:fldCharType="begin"/>
        </w:r>
        <w:r>
          <w:rPr>
            <w:webHidden/>
          </w:rPr>
          <w:instrText xml:space="preserve"> PAGEREF _Toc236492722 \h </w:instrText>
        </w:r>
        <w:r>
          <w:rPr>
            <w:webHidden/>
          </w:rPr>
        </w:r>
        <w:r>
          <w:rPr>
            <w:webHidden/>
          </w:rPr>
          <w:fldChar w:fldCharType="separate"/>
        </w:r>
        <w:r>
          <w:rPr>
            <w:webHidden/>
          </w:rPr>
          <w:t>5</w:t>
        </w:r>
        <w:r>
          <w:rPr>
            <w:webHidden/>
          </w:rPr>
          <w:fldChar w:fldCharType="end"/>
        </w:r>
      </w:hyperlink>
    </w:p>
    <w:p w14:paraId="5A2E7FD8" w14:textId="2A6C1C52"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23" w:history="1">
        <w:r w:rsidRPr="00212979">
          <w:rPr>
            <w:rStyle w:val="Hyperlink"/>
          </w:rPr>
          <w:t>3.3</w:t>
        </w:r>
        <w:r>
          <w:rPr>
            <w:rFonts w:asciiTheme="minorHAnsi" w:eastAsiaTheme="minorEastAsia" w:hAnsiTheme="minorHAnsi" w:cstheme="minorBidi"/>
            <w:kern w:val="2"/>
            <w:szCs w:val="24"/>
            <w:lang w:val="en-DE" w:eastAsia="en-GB"/>
            <w14:ligatures w14:val="standardContextual"/>
          </w:rPr>
          <w:tab/>
        </w:r>
        <w:r w:rsidRPr="00212979">
          <w:rPr>
            <w:rStyle w:val="Hyperlink"/>
          </w:rPr>
          <w:t>Open-Source and Academic Platforms</w:t>
        </w:r>
        <w:r>
          <w:rPr>
            <w:webHidden/>
          </w:rPr>
          <w:tab/>
        </w:r>
        <w:r>
          <w:rPr>
            <w:webHidden/>
          </w:rPr>
          <w:fldChar w:fldCharType="begin"/>
        </w:r>
        <w:r>
          <w:rPr>
            <w:webHidden/>
          </w:rPr>
          <w:instrText xml:space="preserve"> PAGEREF _Toc236492723 \h </w:instrText>
        </w:r>
        <w:r>
          <w:rPr>
            <w:webHidden/>
          </w:rPr>
        </w:r>
        <w:r>
          <w:rPr>
            <w:webHidden/>
          </w:rPr>
          <w:fldChar w:fldCharType="separate"/>
        </w:r>
        <w:r>
          <w:rPr>
            <w:webHidden/>
          </w:rPr>
          <w:t>5</w:t>
        </w:r>
        <w:r>
          <w:rPr>
            <w:webHidden/>
          </w:rPr>
          <w:fldChar w:fldCharType="end"/>
        </w:r>
      </w:hyperlink>
    </w:p>
    <w:p w14:paraId="44EB76CE" w14:textId="1CF83527"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24" w:history="1">
        <w:r w:rsidRPr="00212979">
          <w:rPr>
            <w:rStyle w:val="Hyperlink"/>
          </w:rPr>
          <w:t>3.4</w:t>
        </w:r>
        <w:r>
          <w:rPr>
            <w:rFonts w:asciiTheme="minorHAnsi" w:eastAsiaTheme="minorEastAsia" w:hAnsiTheme="minorHAnsi" w:cstheme="minorBidi"/>
            <w:kern w:val="2"/>
            <w:szCs w:val="24"/>
            <w:lang w:val="en-DE" w:eastAsia="en-GB"/>
            <w14:ligatures w14:val="standardContextual"/>
          </w:rPr>
          <w:tab/>
        </w:r>
        <w:r w:rsidRPr="00212979">
          <w:rPr>
            <w:rStyle w:val="Hyperlink"/>
          </w:rPr>
          <w:t>Extension Models in Direct Comparison</w:t>
        </w:r>
        <w:r>
          <w:rPr>
            <w:webHidden/>
          </w:rPr>
          <w:tab/>
        </w:r>
        <w:r>
          <w:rPr>
            <w:webHidden/>
          </w:rPr>
          <w:fldChar w:fldCharType="begin"/>
        </w:r>
        <w:r>
          <w:rPr>
            <w:webHidden/>
          </w:rPr>
          <w:instrText xml:space="preserve"> PAGEREF _Toc236492724 \h </w:instrText>
        </w:r>
        <w:r>
          <w:rPr>
            <w:webHidden/>
          </w:rPr>
        </w:r>
        <w:r>
          <w:rPr>
            <w:webHidden/>
          </w:rPr>
          <w:fldChar w:fldCharType="separate"/>
        </w:r>
        <w:r>
          <w:rPr>
            <w:webHidden/>
          </w:rPr>
          <w:t>5</w:t>
        </w:r>
        <w:r>
          <w:rPr>
            <w:webHidden/>
          </w:rPr>
          <w:fldChar w:fldCharType="end"/>
        </w:r>
      </w:hyperlink>
    </w:p>
    <w:p w14:paraId="1839A7E9" w14:textId="79A4A3D7"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25" w:history="1">
        <w:r w:rsidRPr="00212979">
          <w:rPr>
            <w:rStyle w:val="Hyperlink"/>
          </w:rPr>
          <w:t>3.5</w:t>
        </w:r>
        <w:r>
          <w:rPr>
            <w:rFonts w:asciiTheme="minorHAnsi" w:eastAsiaTheme="minorEastAsia" w:hAnsiTheme="minorHAnsi" w:cstheme="minorBidi"/>
            <w:kern w:val="2"/>
            <w:szCs w:val="24"/>
            <w:lang w:val="en-DE" w:eastAsia="en-GB"/>
            <w14:ligatures w14:val="standardContextual"/>
          </w:rPr>
          <w:tab/>
        </w:r>
        <w:r w:rsidRPr="00212979">
          <w:rPr>
            <w:rStyle w:val="Hyperlink"/>
          </w:rPr>
          <w:t>Synthesis: Identified Gap and Positioning of Mate</w:t>
        </w:r>
        <w:r>
          <w:rPr>
            <w:webHidden/>
          </w:rPr>
          <w:tab/>
        </w:r>
        <w:r>
          <w:rPr>
            <w:webHidden/>
          </w:rPr>
          <w:fldChar w:fldCharType="begin"/>
        </w:r>
        <w:r>
          <w:rPr>
            <w:webHidden/>
          </w:rPr>
          <w:instrText xml:space="preserve"> PAGEREF _Toc236492725 \h </w:instrText>
        </w:r>
        <w:r>
          <w:rPr>
            <w:webHidden/>
          </w:rPr>
        </w:r>
        <w:r>
          <w:rPr>
            <w:webHidden/>
          </w:rPr>
          <w:fldChar w:fldCharType="separate"/>
        </w:r>
        <w:r>
          <w:rPr>
            <w:webHidden/>
          </w:rPr>
          <w:t>5</w:t>
        </w:r>
        <w:r>
          <w:rPr>
            <w:webHidden/>
          </w:rPr>
          <w:fldChar w:fldCharType="end"/>
        </w:r>
      </w:hyperlink>
    </w:p>
    <w:p w14:paraId="76EB5EC6" w14:textId="27057951"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26" w:history="1">
        <w:r w:rsidRPr="00212979">
          <w:rPr>
            <w:rStyle w:val="Hyperlink"/>
          </w:rPr>
          <w:t>4</w:t>
        </w:r>
        <w:r>
          <w:rPr>
            <w:rFonts w:asciiTheme="minorHAnsi" w:eastAsiaTheme="minorEastAsia" w:hAnsiTheme="minorHAnsi" w:cstheme="minorBidi"/>
            <w:kern w:val="2"/>
            <w:szCs w:val="24"/>
            <w:lang w:val="en-DE" w:eastAsia="en-GB"/>
            <w14:ligatures w14:val="standardContextual"/>
          </w:rPr>
          <w:tab/>
        </w:r>
        <w:r w:rsidRPr="00212979">
          <w:rPr>
            <w:rStyle w:val="Hyperlink"/>
          </w:rPr>
          <w:t>Platform Architecture</w:t>
        </w:r>
        <w:r>
          <w:rPr>
            <w:webHidden/>
          </w:rPr>
          <w:tab/>
        </w:r>
        <w:r>
          <w:rPr>
            <w:webHidden/>
          </w:rPr>
          <w:fldChar w:fldCharType="begin"/>
        </w:r>
        <w:r>
          <w:rPr>
            <w:webHidden/>
          </w:rPr>
          <w:instrText xml:space="preserve"> PAGEREF _Toc236492726 \h </w:instrText>
        </w:r>
        <w:r>
          <w:rPr>
            <w:webHidden/>
          </w:rPr>
        </w:r>
        <w:r>
          <w:rPr>
            <w:webHidden/>
          </w:rPr>
          <w:fldChar w:fldCharType="separate"/>
        </w:r>
        <w:r>
          <w:rPr>
            <w:webHidden/>
          </w:rPr>
          <w:t>6</w:t>
        </w:r>
        <w:r>
          <w:rPr>
            <w:webHidden/>
          </w:rPr>
          <w:fldChar w:fldCharType="end"/>
        </w:r>
      </w:hyperlink>
    </w:p>
    <w:p w14:paraId="3E9FB68F" w14:textId="6AE57152"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27" w:history="1">
        <w:r w:rsidRPr="00212979">
          <w:rPr>
            <w:rStyle w:val="Hyperlink"/>
          </w:rPr>
          <w:t>4.1</w:t>
        </w:r>
        <w:r>
          <w:rPr>
            <w:rFonts w:asciiTheme="minorHAnsi" w:eastAsiaTheme="minorEastAsia" w:hAnsiTheme="minorHAnsi" w:cstheme="minorBidi"/>
            <w:kern w:val="2"/>
            <w:szCs w:val="24"/>
            <w:lang w:val="en-DE" w:eastAsia="en-GB"/>
            <w14:ligatures w14:val="standardContextual"/>
          </w:rPr>
          <w:tab/>
        </w:r>
        <w:r w:rsidRPr="00212979">
          <w:rPr>
            <w:rStyle w:val="Hyperlink"/>
          </w:rPr>
          <w:t>Architectural Overview</w:t>
        </w:r>
        <w:r>
          <w:rPr>
            <w:webHidden/>
          </w:rPr>
          <w:tab/>
        </w:r>
        <w:r>
          <w:rPr>
            <w:webHidden/>
          </w:rPr>
          <w:fldChar w:fldCharType="begin"/>
        </w:r>
        <w:r>
          <w:rPr>
            <w:webHidden/>
          </w:rPr>
          <w:instrText xml:space="preserve"> PAGEREF _Toc236492727 \h </w:instrText>
        </w:r>
        <w:r>
          <w:rPr>
            <w:webHidden/>
          </w:rPr>
        </w:r>
        <w:r>
          <w:rPr>
            <w:webHidden/>
          </w:rPr>
          <w:fldChar w:fldCharType="separate"/>
        </w:r>
        <w:r>
          <w:rPr>
            <w:webHidden/>
          </w:rPr>
          <w:t>6</w:t>
        </w:r>
        <w:r>
          <w:rPr>
            <w:webHidden/>
          </w:rPr>
          <w:fldChar w:fldCharType="end"/>
        </w:r>
      </w:hyperlink>
    </w:p>
    <w:p w14:paraId="102B63B2" w14:textId="363C68A1"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28" w:history="1">
        <w:r w:rsidRPr="00212979">
          <w:rPr>
            <w:rStyle w:val="Hyperlink"/>
          </w:rPr>
          <w:t>4.2</w:t>
        </w:r>
        <w:r>
          <w:rPr>
            <w:rFonts w:asciiTheme="minorHAnsi" w:eastAsiaTheme="minorEastAsia" w:hAnsiTheme="minorHAnsi" w:cstheme="minorBidi"/>
            <w:kern w:val="2"/>
            <w:szCs w:val="24"/>
            <w:lang w:val="en-DE" w:eastAsia="en-GB"/>
            <w14:ligatures w14:val="standardContextual"/>
          </w:rPr>
          <w:tab/>
        </w:r>
        <w:r w:rsidRPr="00212979">
          <w:rPr>
            <w:rStyle w:val="Hyperlink"/>
          </w:rPr>
          <w:t>Technology Stack and Its Rationale</w:t>
        </w:r>
        <w:r>
          <w:rPr>
            <w:webHidden/>
          </w:rPr>
          <w:tab/>
        </w:r>
        <w:r>
          <w:rPr>
            <w:webHidden/>
          </w:rPr>
          <w:fldChar w:fldCharType="begin"/>
        </w:r>
        <w:r>
          <w:rPr>
            <w:webHidden/>
          </w:rPr>
          <w:instrText xml:space="preserve"> PAGEREF _Toc236492728 \h </w:instrText>
        </w:r>
        <w:r>
          <w:rPr>
            <w:webHidden/>
          </w:rPr>
        </w:r>
        <w:r>
          <w:rPr>
            <w:webHidden/>
          </w:rPr>
          <w:fldChar w:fldCharType="separate"/>
        </w:r>
        <w:r>
          <w:rPr>
            <w:webHidden/>
          </w:rPr>
          <w:t>6</w:t>
        </w:r>
        <w:r>
          <w:rPr>
            <w:webHidden/>
          </w:rPr>
          <w:fldChar w:fldCharType="end"/>
        </w:r>
      </w:hyperlink>
    </w:p>
    <w:p w14:paraId="6B9C4BAC" w14:textId="424BC8EE"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29" w:history="1">
        <w:r w:rsidRPr="00212979">
          <w:rPr>
            <w:rStyle w:val="Hyperlink"/>
          </w:rPr>
          <w:t>4.3</w:t>
        </w:r>
        <w:r>
          <w:rPr>
            <w:rFonts w:asciiTheme="minorHAnsi" w:eastAsiaTheme="minorEastAsia" w:hAnsiTheme="minorHAnsi" w:cstheme="minorBidi"/>
            <w:kern w:val="2"/>
            <w:szCs w:val="24"/>
            <w:lang w:val="en-DE" w:eastAsia="en-GB"/>
            <w14:ligatures w14:val="standardContextual"/>
          </w:rPr>
          <w:tab/>
        </w:r>
        <w:r w:rsidRPr="00212979">
          <w:rPr>
            <w:rStyle w:val="Hyperlink"/>
          </w:rPr>
          <w:t>Infrastructure and Deployment Modes</w:t>
        </w:r>
        <w:r>
          <w:rPr>
            <w:webHidden/>
          </w:rPr>
          <w:tab/>
        </w:r>
        <w:r>
          <w:rPr>
            <w:webHidden/>
          </w:rPr>
          <w:fldChar w:fldCharType="begin"/>
        </w:r>
        <w:r>
          <w:rPr>
            <w:webHidden/>
          </w:rPr>
          <w:instrText xml:space="preserve"> PAGEREF _Toc236492729 \h </w:instrText>
        </w:r>
        <w:r>
          <w:rPr>
            <w:webHidden/>
          </w:rPr>
        </w:r>
        <w:r>
          <w:rPr>
            <w:webHidden/>
          </w:rPr>
          <w:fldChar w:fldCharType="separate"/>
        </w:r>
        <w:r>
          <w:rPr>
            <w:webHidden/>
          </w:rPr>
          <w:t>6</w:t>
        </w:r>
        <w:r>
          <w:rPr>
            <w:webHidden/>
          </w:rPr>
          <w:fldChar w:fldCharType="end"/>
        </w:r>
      </w:hyperlink>
    </w:p>
    <w:p w14:paraId="66100589" w14:textId="0C63D5D8"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30" w:history="1">
        <w:r w:rsidRPr="00212979">
          <w:rPr>
            <w:rStyle w:val="Hyperlink"/>
          </w:rPr>
          <w:t>4.4</w:t>
        </w:r>
        <w:r>
          <w:rPr>
            <w:rFonts w:asciiTheme="minorHAnsi" w:eastAsiaTheme="minorEastAsia" w:hAnsiTheme="minorHAnsi" w:cstheme="minorBidi"/>
            <w:kern w:val="2"/>
            <w:szCs w:val="24"/>
            <w:lang w:val="en-DE" w:eastAsia="en-GB"/>
            <w14:ligatures w14:val="standardContextual"/>
          </w:rPr>
          <w:tab/>
        </w:r>
        <w:r w:rsidRPr="00212979">
          <w:rPr>
            <w:rStyle w:val="Hyperlink"/>
          </w:rPr>
          <w:t>Authentication, Authorisation, and Administration</w:t>
        </w:r>
        <w:r>
          <w:rPr>
            <w:webHidden/>
          </w:rPr>
          <w:tab/>
        </w:r>
        <w:r>
          <w:rPr>
            <w:webHidden/>
          </w:rPr>
          <w:fldChar w:fldCharType="begin"/>
        </w:r>
        <w:r>
          <w:rPr>
            <w:webHidden/>
          </w:rPr>
          <w:instrText xml:space="preserve"> PAGEREF _Toc236492730 \h </w:instrText>
        </w:r>
        <w:r>
          <w:rPr>
            <w:webHidden/>
          </w:rPr>
        </w:r>
        <w:r>
          <w:rPr>
            <w:webHidden/>
          </w:rPr>
          <w:fldChar w:fldCharType="separate"/>
        </w:r>
        <w:r>
          <w:rPr>
            <w:webHidden/>
          </w:rPr>
          <w:t>6</w:t>
        </w:r>
        <w:r>
          <w:rPr>
            <w:webHidden/>
          </w:rPr>
          <w:fldChar w:fldCharType="end"/>
        </w:r>
      </w:hyperlink>
    </w:p>
    <w:p w14:paraId="0FB142F2" w14:textId="71260F68"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31" w:history="1">
        <w:r w:rsidRPr="00212979">
          <w:rPr>
            <w:rStyle w:val="Hyperlink"/>
          </w:rPr>
          <w:t>4.5</w:t>
        </w:r>
        <w:r>
          <w:rPr>
            <w:rFonts w:asciiTheme="minorHAnsi" w:eastAsiaTheme="minorEastAsia" w:hAnsiTheme="minorHAnsi" w:cstheme="minorBidi"/>
            <w:kern w:val="2"/>
            <w:szCs w:val="24"/>
            <w:lang w:val="en-DE" w:eastAsia="en-GB"/>
            <w14:ligatures w14:val="standardContextual"/>
          </w:rPr>
          <w:tab/>
        </w:r>
        <w:r w:rsidRPr="00212979">
          <w:rPr>
            <w:rStyle w:val="Hyperlink"/>
          </w:rPr>
          <w:t>Tenant Isolation as a Cross-Cutting Invariant</w:t>
        </w:r>
        <w:r>
          <w:rPr>
            <w:webHidden/>
          </w:rPr>
          <w:tab/>
        </w:r>
        <w:r>
          <w:rPr>
            <w:webHidden/>
          </w:rPr>
          <w:fldChar w:fldCharType="begin"/>
        </w:r>
        <w:r>
          <w:rPr>
            <w:webHidden/>
          </w:rPr>
          <w:instrText xml:space="preserve"> PAGEREF _Toc236492731 \h </w:instrText>
        </w:r>
        <w:r>
          <w:rPr>
            <w:webHidden/>
          </w:rPr>
        </w:r>
        <w:r>
          <w:rPr>
            <w:webHidden/>
          </w:rPr>
          <w:fldChar w:fldCharType="separate"/>
        </w:r>
        <w:r>
          <w:rPr>
            <w:webHidden/>
          </w:rPr>
          <w:t>6</w:t>
        </w:r>
        <w:r>
          <w:rPr>
            <w:webHidden/>
          </w:rPr>
          <w:fldChar w:fldCharType="end"/>
        </w:r>
      </w:hyperlink>
    </w:p>
    <w:p w14:paraId="1E620027" w14:textId="1349FBC5"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32" w:history="1">
        <w:r w:rsidRPr="00212979">
          <w:rPr>
            <w:rStyle w:val="Hyperlink"/>
          </w:rPr>
          <w:t>4.6</w:t>
        </w:r>
        <w:r>
          <w:rPr>
            <w:rFonts w:asciiTheme="minorHAnsi" w:eastAsiaTheme="minorEastAsia" w:hAnsiTheme="minorHAnsi" w:cstheme="minorBidi"/>
            <w:kern w:val="2"/>
            <w:szCs w:val="24"/>
            <w:lang w:val="en-DE" w:eastAsia="en-GB"/>
            <w14:ligatures w14:val="standardContextual"/>
          </w:rPr>
          <w:tab/>
        </w:r>
        <w:r w:rsidRPr="00212979">
          <w:rPr>
            <w:rStyle w:val="Hyperlink"/>
          </w:rPr>
          <w:t>Data Management: Ingest, Columnar Storage, and Offloading</w:t>
        </w:r>
        <w:r>
          <w:rPr>
            <w:webHidden/>
          </w:rPr>
          <w:tab/>
        </w:r>
        <w:r>
          <w:rPr>
            <w:webHidden/>
          </w:rPr>
          <w:fldChar w:fldCharType="begin"/>
        </w:r>
        <w:r>
          <w:rPr>
            <w:webHidden/>
          </w:rPr>
          <w:instrText xml:space="preserve"> PAGEREF _Toc236492732 \h </w:instrText>
        </w:r>
        <w:r>
          <w:rPr>
            <w:webHidden/>
          </w:rPr>
        </w:r>
        <w:r>
          <w:rPr>
            <w:webHidden/>
          </w:rPr>
          <w:fldChar w:fldCharType="separate"/>
        </w:r>
        <w:r>
          <w:rPr>
            <w:webHidden/>
          </w:rPr>
          <w:t>7</w:t>
        </w:r>
        <w:r>
          <w:rPr>
            <w:webHidden/>
          </w:rPr>
          <w:fldChar w:fldCharType="end"/>
        </w:r>
      </w:hyperlink>
    </w:p>
    <w:p w14:paraId="30ACA186" w14:textId="2F8C08B4"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33" w:history="1">
        <w:r w:rsidRPr="00212979">
          <w:rPr>
            <w:rStyle w:val="Hyperlink"/>
          </w:rPr>
          <w:t>4.7</w:t>
        </w:r>
        <w:r>
          <w:rPr>
            <w:rFonts w:asciiTheme="minorHAnsi" w:eastAsiaTheme="minorEastAsia" w:hAnsiTheme="minorHAnsi" w:cstheme="minorBidi"/>
            <w:kern w:val="2"/>
            <w:szCs w:val="24"/>
            <w:lang w:val="en-DE" w:eastAsia="en-GB"/>
            <w14:ligatures w14:val="standardContextual"/>
          </w:rPr>
          <w:tab/>
        </w:r>
        <w:r w:rsidRPr="00212979">
          <w:rPr>
            <w:rStyle w:val="Hyperlink"/>
          </w:rPr>
          <w:t>Backend: API Surface, Job Runtime, and Event Bus</w:t>
        </w:r>
        <w:r>
          <w:rPr>
            <w:webHidden/>
          </w:rPr>
          <w:tab/>
        </w:r>
        <w:r>
          <w:rPr>
            <w:webHidden/>
          </w:rPr>
          <w:fldChar w:fldCharType="begin"/>
        </w:r>
        <w:r>
          <w:rPr>
            <w:webHidden/>
          </w:rPr>
          <w:instrText xml:space="preserve"> PAGEREF _Toc236492733 \h </w:instrText>
        </w:r>
        <w:r>
          <w:rPr>
            <w:webHidden/>
          </w:rPr>
        </w:r>
        <w:r>
          <w:rPr>
            <w:webHidden/>
          </w:rPr>
          <w:fldChar w:fldCharType="separate"/>
        </w:r>
        <w:r>
          <w:rPr>
            <w:webHidden/>
          </w:rPr>
          <w:t>7</w:t>
        </w:r>
        <w:r>
          <w:rPr>
            <w:webHidden/>
          </w:rPr>
          <w:fldChar w:fldCharType="end"/>
        </w:r>
      </w:hyperlink>
    </w:p>
    <w:p w14:paraId="69BD64D9" w14:textId="061E9516"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34" w:history="1">
        <w:r w:rsidRPr="00212979">
          <w:rPr>
            <w:rStyle w:val="Hyperlink"/>
          </w:rPr>
          <w:t>4.8</w:t>
        </w:r>
        <w:r>
          <w:rPr>
            <w:rFonts w:asciiTheme="minorHAnsi" w:eastAsiaTheme="minorEastAsia" w:hAnsiTheme="minorHAnsi" w:cstheme="minorBidi"/>
            <w:kern w:val="2"/>
            <w:szCs w:val="24"/>
            <w:lang w:val="en-DE" w:eastAsia="en-GB"/>
            <w14:ligatures w14:val="standardContextual"/>
          </w:rPr>
          <w:tab/>
        </w:r>
        <w:r w:rsidRPr="00212979">
          <w:rPr>
            <w:rStyle w:val="Hyperlink"/>
          </w:rPr>
          <w:t>Progress Reporting and Readiness Semantics</w:t>
        </w:r>
        <w:r>
          <w:rPr>
            <w:webHidden/>
          </w:rPr>
          <w:tab/>
        </w:r>
        <w:r>
          <w:rPr>
            <w:webHidden/>
          </w:rPr>
          <w:fldChar w:fldCharType="begin"/>
        </w:r>
        <w:r>
          <w:rPr>
            <w:webHidden/>
          </w:rPr>
          <w:instrText xml:space="preserve"> PAGEREF _Toc236492734 \h </w:instrText>
        </w:r>
        <w:r>
          <w:rPr>
            <w:webHidden/>
          </w:rPr>
        </w:r>
        <w:r>
          <w:rPr>
            <w:webHidden/>
          </w:rPr>
          <w:fldChar w:fldCharType="separate"/>
        </w:r>
        <w:r>
          <w:rPr>
            <w:webHidden/>
          </w:rPr>
          <w:t>7</w:t>
        </w:r>
        <w:r>
          <w:rPr>
            <w:webHidden/>
          </w:rPr>
          <w:fldChar w:fldCharType="end"/>
        </w:r>
      </w:hyperlink>
    </w:p>
    <w:p w14:paraId="21D2CA80" w14:textId="75E56D81"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35" w:history="1">
        <w:r w:rsidRPr="00212979">
          <w:rPr>
            <w:rStyle w:val="Hyperlink"/>
          </w:rPr>
          <w:t>4.9</w:t>
        </w:r>
        <w:r>
          <w:rPr>
            <w:rFonts w:asciiTheme="minorHAnsi" w:eastAsiaTheme="minorEastAsia" w:hAnsiTheme="minorHAnsi" w:cstheme="minorBidi"/>
            <w:kern w:val="2"/>
            <w:szCs w:val="24"/>
            <w:lang w:val="en-DE" w:eastAsia="en-GB"/>
            <w14:ligatures w14:val="standardContextual"/>
          </w:rPr>
          <w:tab/>
        </w:r>
        <w:r w:rsidRPr="00212979">
          <w:rPr>
            <w:rStyle w:val="Hyperlink"/>
          </w:rPr>
          <w:t>Frontend: Structure, State, and Interaction Model</w:t>
        </w:r>
        <w:r>
          <w:rPr>
            <w:webHidden/>
          </w:rPr>
          <w:tab/>
        </w:r>
        <w:r>
          <w:rPr>
            <w:webHidden/>
          </w:rPr>
          <w:fldChar w:fldCharType="begin"/>
        </w:r>
        <w:r>
          <w:rPr>
            <w:webHidden/>
          </w:rPr>
          <w:instrText xml:space="preserve"> PAGEREF _Toc236492735 \h </w:instrText>
        </w:r>
        <w:r>
          <w:rPr>
            <w:webHidden/>
          </w:rPr>
        </w:r>
        <w:r>
          <w:rPr>
            <w:webHidden/>
          </w:rPr>
          <w:fldChar w:fldCharType="separate"/>
        </w:r>
        <w:r>
          <w:rPr>
            <w:webHidden/>
          </w:rPr>
          <w:t>7</w:t>
        </w:r>
        <w:r>
          <w:rPr>
            <w:webHidden/>
          </w:rPr>
          <w:fldChar w:fldCharType="end"/>
        </w:r>
      </w:hyperlink>
    </w:p>
    <w:p w14:paraId="2EAF5908" w14:textId="4EDD4C48"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36" w:history="1">
        <w:r w:rsidRPr="00212979">
          <w:rPr>
            <w:rStyle w:val="Hyperlink"/>
          </w:rPr>
          <w:t>4.10</w:t>
        </w:r>
        <w:r>
          <w:rPr>
            <w:rFonts w:asciiTheme="minorHAnsi" w:eastAsiaTheme="minorEastAsia" w:hAnsiTheme="minorHAnsi" w:cstheme="minorBidi"/>
            <w:kern w:val="2"/>
            <w:szCs w:val="24"/>
            <w:lang w:val="en-DE" w:eastAsia="en-GB"/>
            <w14:ligatures w14:val="standardContextual"/>
          </w:rPr>
          <w:tab/>
        </w:r>
        <w:r w:rsidRPr="00212979">
          <w:rPr>
            <w:rStyle w:val="Hyperlink"/>
          </w:rPr>
          <w:t>Error Handling and Operational Robustness</w:t>
        </w:r>
        <w:r>
          <w:rPr>
            <w:webHidden/>
          </w:rPr>
          <w:tab/>
        </w:r>
        <w:r>
          <w:rPr>
            <w:webHidden/>
          </w:rPr>
          <w:fldChar w:fldCharType="begin"/>
        </w:r>
        <w:r>
          <w:rPr>
            <w:webHidden/>
          </w:rPr>
          <w:instrText xml:space="preserve"> PAGEREF _Toc236492736 \h </w:instrText>
        </w:r>
        <w:r>
          <w:rPr>
            <w:webHidden/>
          </w:rPr>
        </w:r>
        <w:r>
          <w:rPr>
            <w:webHidden/>
          </w:rPr>
          <w:fldChar w:fldCharType="separate"/>
        </w:r>
        <w:r>
          <w:rPr>
            <w:webHidden/>
          </w:rPr>
          <w:t>8</w:t>
        </w:r>
        <w:r>
          <w:rPr>
            <w:webHidden/>
          </w:rPr>
          <w:fldChar w:fldCharType="end"/>
        </w:r>
      </w:hyperlink>
    </w:p>
    <w:p w14:paraId="17F75B28" w14:textId="5FFCCCC9"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37" w:history="1">
        <w:r w:rsidRPr="00212979">
          <w:rPr>
            <w:rStyle w:val="Hyperlink"/>
          </w:rPr>
          <w:t>4.11</w:t>
        </w:r>
        <w:r>
          <w:rPr>
            <w:rFonts w:asciiTheme="minorHAnsi" w:eastAsiaTheme="minorEastAsia" w:hAnsiTheme="minorHAnsi" w:cstheme="minorBidi"/>
            <w:kern w:val="2"/>
            <w:szCs w:val="24"/>
            <w:lang w:val="en-DE" w:eastAsia="en-GB"/>
            <w14:ligatures w14:val="standardContextual"/>
          </w:rPr>
          <w:tab/>
        </w:r>
        <w:r w:rsidRPr="00212979">
          <w:rPr>
            <w:rStyle w:val="Hyperlink"/>
          </w:rPr>
          <w:t>Machine Access: MCP Server and Integrated Assistant</w:t>
        </w:r>
        <w:r>
          <w:rPr>
            <w:webHidden/>
          </w:rPr>
          <w:tab/>
        </w:r>
        <w:r>
          <w:rPr>
            <w:webHidden/>
          </w:rPr>
          <w:fldChar w:fldCharType="begin"/>
        </w:r>
        <w:r>
          <w:rPr>
            <w:webHidden/>
          </w:rPr>
          <w:instrText xml:space="preserve"> PAGEREF _Toc236492737 \h </w:instrText>
        </w:r>
        <w:r>
          <w:rPr>
            <w:webHidden/>
          </w:rPr>
        </w:r>
        <w:r>
          <w:rPr>
            <w:webHidden/>
          </w:rPr>
          <w:fldChar w:fldCharType="separate"/>
        </w:r>
        <w:r>
          <w:rPr>
            <w:webHidden/>
          </w:rPr>
          <w:t>8</w:t>
        </w:r>
        <w:r>
          <w:rPr>
            <w:webHidden/>
          </w:rPr>
          <w:fldChar w:fldCharType="end"/>
        </w:r>
      </w:hyperlink>
    </w:p>
    <w:p w14:paraId="0770B971" w14:textId="3F9E8117"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38" w:history="1">
        <w:r w:rsidRPr="00212979">
          <w:rPr>
            <w:rStyle w:val="Hyperlink"/>
          </w:rPr>
          <w:t>5</w:t>
        </w:r>
        <w:r>
          <w:rPr>
            <w:rFonts w:asciiTheme="minorHAnsi" w:eastAsiaTheme="minorEastAsia" w:hAnsiTheme="minorHAnsi" w:cstheme="minorBidi"/>
            <w:kern w:val="2"/>
            <w:szCs w:val="24"/>
            <w:lang w:val="en-DE" w:eastAsia="en-GB"/>
            <w14:ligatures w14:val="standardContextual"/>
          </w:rPr>
          <w:tab/>
        </w:r>
        <w:r w:rsidRPr="00212979">
          <w:rPr>
            <w:rStyle w:val="Hyperlink"/>
          </w:rPr>
          <w:t>Modularity as an Architectural Principle</w:t>
        </w:r>
        <w:r>
          <w:rPr>
            <w:webHidden/>
          </w:rPr>
          <w:tab/>
        </w:r>
        <w:r>
          <w:rPr>
            <w:webHidden/>
          </w:rPr>
          <w:fldChar w:fldCharType="begin"/>
        </w:r>
        <w:r>
          <w:rPr>
            <w:webHidden/>
          </w:rPr>
          <w:instrText xml:space="preserve"> PAGEREF _Toc236492738 \h </w:instrText>
        </w:r>
        <w:r>
          <w:rPr>
            <w:webHidden/>
          </w:rPr>
        </w:r>
        <w:r>
          <w:rPr>
            <w:webHidden/>
          </w:rPr>
          <w:fldChar w:fldCharType="separate"/>
        </w:r>
        <w:r>
          <w:rPr>
            <w:webHidden/>
          </w:rPr>
          <w:t>9</w:t>
        </w:r>
        <w:r>
          <w:rPr>
            <w:webHidden/>
          </w:rPr>
          <w:fldChar w:fldCharType="end"/>
        </w:r>
      </w:hyperlink>
    </w:p>
    <w:p w14:paraId="0A86E877" w14:textId="6487A7EE"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39" w:history="1">
        <w:r w:rsidRPr="00212979">
          <w:rPr>
            <w:rStyle w:val="Hyperlink"/>
          </w:rPr>
          <w:t>5.1</w:t>
        </w:r>
        <w:r>
          <w:rPr>
            <w:rFonts w:asciiTheme="minorHAnsi" w:eastAsiaTheme="minorEastAsia" w:hAnsiTheme="minorHAnsi" w:cstheme="minorBidi"/>
            <w:kern w:val="2"/>
            <w:szCs w:val="24"/>
            <w:lang w:val="en-DE" w:eastAsia="en-GB"/>
            <w14:ligatures w14:val="standardContextual"/>
          </w:rPr>
          <w:tab/>
        </w:r>
        <w:r w:rsidRPr="00212979">
          <w:rPr>
            <w:rStyle w:val="Hyperlink"/>
          </w:rPr>
          <w:t>Design Goals of the Extension Mechanism</w:t>
        </w:r>
        <w:r>
          <w:rPr>
            <w:webHidden/>
          </w:rPr>
          <w:tab/>
        </w:r>
        <w:r>
          <w:rPr>
            <w:webHidden/>
          </w:rPr>
          <w:fldChar w:fldCharType="begin"/>
        </w:r>
        <w:r>
          <w:rPr>
            <w:webHidden/>
          </w:rPr>
          <w:instrText xml:space="preserve"> PAGEREF _Toc236492739 \h </w:instrText>
        </w:r>
        <w:r>
          <w:rPr>
            <w:webHidden/>
          </w:rPr>
        </w:r>
        <w:r>
          <w:rPr>
            <w:webHidden/>
          </w:rPr>
          <w:fldChar w:fldCharType="separate"/>
        </w:r>
        <w:r>
          <w:rPr>
            <w:webHidden/>
          </w:rPr>
          <w:t>9</w:t>
        </w:r>
        <w:r>
          <w:rPr>
            <w:webHidden/>
          </w:rPr>
          <w:fldChar w:fldCharType="end"/>
        </w:r>
      </w:hyperlink>
    </w:p>
    <w:p w14:paraId="7490CA7C" w14:textId="2F8B2669"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40" w:history="1">
        <w:r w:rsidRPr="00212979">
          <w:rPr>
            <w:rStyle w:val="Hyperlink"/>
          </w:rPr>
          <w:t>5.2</w:t>
        </w:r>
        <w:r>
          <w:rPr>
            <w:rFonts w:asciiTheme="minorHAnsi" w:eastAsiaTheme="minorEastAsia" w:hAnsiTheme="minorHAnsi" w:cstheme="minorBidi"/>
            <w:kern w:val="2"/>
            <w:szCs w:val="24"/>
            <w:lang w:val="en-DE" w:eastAsia="en-GB"/>
            <w14:ligatures w14:val="standardContextual"/>
          </w:rPr>
          <w:tab/>
        </w:r>
        <w:r w:rsidRPr="00212979">
          <w:rPr>
            <w:rStyle w:val="Hyperlink"/>
          </w:rPr>
          <w:t>The Module Contract</w:t>
        </w:r>
        <w:r>
          <w:rPr>
            <w:webHidden/>
          </w:rPr>
          <w:tab/>
        </w:r>
        <w:r>
          <w:rPr>
            <w:webHidden/>
          </w:rPr>
          <w:fldChar w:fldCharType="begin"/>
        </w:r>
        <w:r>
          <w:rPr>
            <w:webHidden/>
          </w:rPr>
          <w:instrText xml:space="preserve"> PAGEREF _Toc236492740 \h </w:instrText>
        </w:r>
        <w:r>
          <w:rPr>
            <w:webHidden/>
          </w:rPr>
        </w:r>
        <w:r>
          <w:rPr>
            <w:webHidden/>
          </w:rPr>
          <w:fldChar w:fldCharType="separate"/>
        </w:r>
        <w:r>
          <w:rPr>
            <w:webHidden/>
          </w:rPr>
          <w:t>9</w:t>
        </w:r>
        <w:r>
          <w:rPr>
            <w:webHidden/>
          </w:rPr>
          <w:fldChar w:fldCharType="end"/>
        </w:r>
      </w:hyperlink>
    </w:p>
    <w:p w14:paraId="71B4EC28" w14:textId="29AE0E15"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41" w:history="1">
        <w:r w:rsidRPr="00212979">
          <w:rPr>
            <w:rStyle w:val="Hyperlink"/>
          </w:rPr>
          <w:t>5.3</w:t>
        </w:r>
        <w:r>
          <w:rPr>
            <w:rFonts w:asciiTheme="minorHAnsi" w:eastAsiaTheme="minorEastAsia" w:hAnsiTheme="minorHAnsi" w:cstheme="minorBidi"/>
            <w:kern w:val="2"/>
            <w:szCs w:val="24"/>
            <w:lang w:val="en-DE" w:eastAsia="en-GB"/>
            <w14:ligatures w14:val="standardContextual"/>
          </w:rPr>
          <w:tab/>
        </w:r>
        <w:r w:rsidRPr="00212979">
          <w:rPr>
            <w:rStyle w:val="Hyperlink"/>
          </w:rPr>
          <w:t>Discovery, Dependency Resolution, and Materialisation</w:t>
        </w:r>
        <w:r>
          <w:rPr>
            <w:webHidden/>
          </w:rPr>
          <w:tab/>
        </w:r>
        <w:r>
          <w:rPr>
            <w:webHidden/>
          </w:rPr>
          <w:fldChar w:fldCharType="begin"/>
        </w:r>
        <w:r>
          <w:rPr>
            <w:webHidden/>
          </w:rPr>
          <w:instrText xml:space="preserve"> PAGEREF _Toc236492741 \h </w:instrText>
        </w:r>
        <w:r>
          <w:rPr>
            <w:webHidden/>
          </w:rPr>
        </w:r>
        <w:r>
          <w:rPr>
            <w:webHidden/>
          </w:rPr>
          <w:fldChar w:fldCharType="separate"/>
        </w:r>
        <w:r>
          <w:rPr>
            <w:webHidden/>
          </w:rPr>
          <w:t>9</w:t>
        </w:r>
        <w:r>
          <w:rPr>
            <w:webHidden/>
          </w:rPr>
          <w:fldChar w:fldCharType="end"/>
        </w:r>
      </w:hyperlink>
    </w:p>
    <w:p w14:paraId="44D4B723" w14:textId="1FACE0C1"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42" w:history="1">
        <w:r w:rsidRPr="00212979">
          <w:rPr>
            <w:rStyle w:val="Hyperlink"/>
          </w:rPr>
          <w:t>5.4</w:t>
        </w:r>
        <w:r>
          <w:rPr>
            <w:rFonts w:asciiTheme="minorHAnsi" w:eastAsiaTheme="minorEastAsia" w:hAnsiTheme="minorHAnsi" w:cstheme="minorBidi"/>
            <w:kern w:val="2"/>
            <w:szCs w:val="24"/>
            <w:lang w:val="en-DE" w:eastAsia="en-GB"/>
            <w14:ligatures w14:val="standardContextual"/>
          </w:rPr>
          <w:tab/>
        </w:r>
        <w:r w:rsidRPr="00212979">
          <w:rPr>
            <w:rStyle w:val="Hyperlink"/>
          </w:rPr>
          <w:t>Isolation Levels and Their Trade-offs</w:t>
        </w:r>
        <w:r>
          <w:rPr>
            <w:webHidden/>
          </w:rPr>
          <w:tab/>
        </w:r>
        <w:r>
          <w:rPr>
            <w:webHidden/>
          </w:rPr>
          <w:fldChar w:fldCharType="begin"/>
        </w:r>
        <w:r>
          <w:rPr>
            <w:webHidden/>
          </w:rPr>
          <w:instrText xml:space="preserve"> PAGEREF _Toc236492742 \h </w:instrText>
        </w:r>
        <w:r>
          <w:rPr>
            <w:webHidden/>
          </w:rPr>
        </w:r>
        <w:r>
          <w:rPr>
            <w:webHidden/>
          </w:rPr>
          <w:fldChar w:fldCharType="separate"/>
        </w:r>
        <w:r>
          <w:rPr>
            <w:webHidden/>
          </w:rPr>
          <w:t>9</w:t>
        </w:r>
        <w:r>
          <w:rPr>
            <w:webHidden/>
          </w:rPr>
          <w:fldChar w:fldCharType="end"/>
        </w:r>
      </w:hyperlink>
    </w:p>
    <w:p w14:paraId="2F829641" w14:textId="63161BC1"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43" w:history="1">
        <w:r w:rsidRPr="00212979">
          <w:rPr>
            <w:rStyle w:val="Hyperlink"/>
          </w:rPr>
          <w:t>5.5</w:t>
        </w:r>
        <w:r>
          <w:rPr>
            <w:rFonts w:asciiTheme="minorHAnsi" w:eastAsiaTheme="minorEastAsia" w:hAnsiTheme="minorHAnsi" w:cstheme="minorBidi"/>
            <w:kern w:val="2"/>
            <w:szCs w:val="24"/>
            <w:lang w:val="en-DE" w:eastAsia="en-GB"/>
            <w14:ligatures w14:val="standardContextual"/>
          </w:rPr>
          <w:tab/>
        </w:r>
        <w:r w:rsidRPr="00212979">
          <w:rPr>
            <w:rStyle w:val="Hyperlink"/>
          </w:rPr>
          <w:t>Polyglot Modules and the Host–Worker Protocol</w:t>
        </w:r>
        <w:r>
          <w:rPr>
            <w:webHidden/>
          </w:rPr>
          <w:tab/>
        </w:r>
        <w:r>
          <w:rPr>
            <w:webHidden/>
          </w:rPr>
          <w:fldChar w:fldCharType="begin"/>
        </w:r>
        <w:r>
          <w:rPr>
            <w:webHidden/>
          </w:rPr>
          <w:instrText xml:space="preserve"> PAGEREF _Toc236492743 \h </w:instrText>
        </w:r>
        <w:r>
          <w:rPr>
            <w:webHidden/>
          </w:rPr>
        </w:r>
        <w:r>
          <w:rPr>
            <w:webHidden/>
          </w:rPr>
          <w:fldChar w:fldCharType="separate"/>
        </w:r>
        <w:r>
          <w:rPr>
            <w:webHidden/>
          </w:rPr>
          <w:t>10</w:t>
        </w:r>
        <w:r>
          <w:rPr>
            <w:webHidden/>
          </w:rPr>
          <w:fldChar w:fldCharType="end"/>
        </w:r>
      </w:hyperlink>
    </w:p>
    <w:p w14:paraId="3FCAFB9A" w14:textId="6CA3F6FB"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44" w:history="1">
        <w:r w:rsidRPr="00212979">
          <w:rPr>
            <w:rStyle w:val="Hyperlink"/>
          </w:rPr>
          <w:t>5.6</w:t>
        </w:r>
        <w:r>
          <w:rPr>
            <w:rFonts w:asciiTheme="minorHAnsi" w:eastAsiaTheme="minorEastAsia" w:hAnsiTheme="minorHAnsi" w:cstheme="minorBidi"/>
            <w:kern w:val="2"/>
            <w:szCs w:val="24"/>
            <w:lang w:val="en-DE" w:eastAsia="en-GB"/>
            <w14:ligatures w14:val="standardContextual"/>
          </w:rPr>
          <w:tab/>
        </w:r>
        <w:r w:rsidRPr="00212979">
          <w:rPr>
            <w:rStyle w:val="Hyperlink"/>
          </w:rPr>
          <w:t>Inter-Module Communication</w:t>
        </w:r>
        <w:r>
          <w:rPr>
            <w:webHidden/>
          </w:rPr>
          <w:tab/>
        </w:r>
        <w:r>
          <w:rPr>
            <w:webHidden/>
          </w:rPr>
          <w:fldChar w:fldCharType="begin"/>
        </w:r>
        <w:r>
          <w:rPr>
            <w:webHidden/>
          </w:rPr>
          <w:instrText xml:space="preserve"> PAGEREF _Toc236492744 \h </w:instrText>
        </w:r>
        <w:r>
          <w:rPr>
            <w:webHidden/>
          </w:rPr>
        </w:r>
        <w:r>
          <w:rPr>
            <w:webHidden/>
          </w:rPr>
          <w:fldChar w:fldCharType="separate"/>
        </w:r>
        <w:r>
          <w:rPr>
            <w:webHidden/>
          </w:rPr>
          <w:t>10</w:t>
        </w:r>
        <w:r>
          <w:rPr>
            <w:webHidden/>
          </w:rPr>
          <w:fldChar w:fldCharType="end"/>
        </w:r>
      </w:hyperlink>
    </w:p>
    <w:p w14:paraId="6923216D" w14:textId="728F43FD"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45" w:history="1">
        <w:r w:rsidRPr="00212979">
          <w:rPr>
            <w:rStyle w:val="Hyperlink"/>
          </w:rPr>
          <w:t>5.7</w:t>
        </w:r>
        <w:r>
          <w:rPr>
            <w:rFonts w:asciiTheme="minorHAnsi" w:eastAsiaTheme="minorEastAsia" w:hAnsiTheme="minorHAnsi" w:cstheme="minorBidi"/>
            <w:kern w:val="2"/>
            <w:szCs w:val="24"/>
            <w:lang w:val="en-DE" w:eastAsia="en-GB"/>
            <w14:ligatures w14:val="standardContextual"/>
          </w:rPr>
          <w:tab/>
        </w:r>
        <w:r w:rsidRPr="00212979">
          <w:rPr>
            <w:rStyle w:val="Hyperlink"/>
          </w:rPr>
          <w:t>User Interface Extension through Panels</w:t>
        </w:r>
        <w:r>
          <w:rPr>
            <w:webHidden/>
          </w:rPr>
          <w:tab/>
        </w:r>
        <w:r>
          <w:rPr>
            <w:webHidden/>
          </w:rPr>
          <w:fldChar w:fldCharType="begin"/>
        </w:r>
        <w:r>
          <w:rPr>
            <w:webHidden/>
          </w:rPr>
          <w:instrText xml:space="preserve"> PAGEREF _Toc236492745 \h </w:instrText>
        </w:r>
        <w:r>
          <w:rPr>
            <w:webHidden/>
          </w:rPr>
        </w:r>
        <w:r>
          <w:rPr>
            <w:webHidden/>
          </w:rPr>
          <w:fldChar w:fldCharType="separate"/>
        </w:r>
        <w:r>
          <w:rPr>
            <w:webHidden/>
          </w:rPr>
          <w:t>10</w:t>
        </w:r>
        <w:r>
          <w:rPr>
            <w:webHidden/>
          </w:rPr>
          <w:fldChar w:fldCharType="end"/>
        </w:r>
      </w:hyperlink>
    </w:p>
    <w:p w14:paraId="03C654AD" w14:textId="6CA11635"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46" w:history="1">
        <w:r w:rsidRPr="00212979">
          <w:rPr>
            <w:rStyle w:val="Hyperlink"/>
          </w:rPr>
          <w:t>5.8</w:t>
        </w:r>
        <w:r>
          <w:rPr>
            <w:rFonts w:asciiTheme="minorHAnsi" w:eastAsiaTheme="minorEastAsia" w:hAnsiTheme="minorHAnsi" w:cstheme="minorBidi"/>
            <w:kern w:val="2"/>
            <w:szCs w:val="24"/>
            <w:lang w:val="en-DE" w:eastAsia="en-GB"/>
            <w14:ligatures w14:val="standardContextual"/>
          </w:rPr>
          <w:tab/>
        </w:r>
        <w:r w:rsidRPr="00212979">
          <w:rPr>
            <w:rStyle w:val="Hyperlink"/>
          </w:rPr>
          <w:t>Ownership, Installation, and Lifecycle</w:t>
        </w:r>
        <w:r>
          <w:rPr>
            <w:webHidden/>
          </w:rPr>
          <w:tab/>
        </w:r>
        <w:r>
          <w:rPr>
            <w:webHidden/>
          </w:rPr>
          <w:fldChar w:fldCharType="begin"/>
        </w:r>
        <w:r>
          <w:rPr>
            <w:webHidden/>
          </w:rPr>
          <w:instrText xml:space="preserve"> PAGEREF _Toc236492746 \h </w:instrText>
        </w:r>
        <w:r>
          <w:rPr>
            <w:webHidden/>
          </w:rPr>
        </w:r>
        <w:r>
          <w:rPr>
            <w:webHidden/>
          </w:rPr>
          <w:fldChar w:fldCharType="separate"/>
        </w:r>
        <w:r>
          <w:rPr>
            <w:webHidden/>
          </w:rPr>
          <w:t>10</w:t>
        </w:r>
        <w:r>
          <w:rPr>
            <w:webHidden/>
          </w:rPr>
          <w:fldChar w:fldCharType="end"/>
        </w:r>
      </w:hyperlink>
    </w:p>
    <w:p w14:paraId="6AAB30E9" w14:textId="5EC4F6B8"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47" w:history="1">
        <w:r w:rsidRPr="00212979">
          <w:rPr>
            <w:rStyle w:val="Hyperlink"/>
          </w:rPr>
          <w:t>5.9</w:t>
        </w:r>
        <w:r>
          <w:rPr>
            <w:rFonts w:asciiTheme="minorHAnsi" w:eastAsiaTheme="minorEastAsia" w:hAnsiTheme="minorHAnsi" w:cstheme="minorBidi"/>
            <w:kern w:val="2"/>
            <w:szCs w:val="24"/>
            <w:lang w:val="en-DE" w:eastAsia="en-GB"/>
            <w14:ligatures w14:val="standardContextual"/>
          </w:rPr>
          <w:tab/>
        </w:r>
        <w:r w:rsidRPr="00212979">
          <w:rPr>
            <w:rStyle w:val="Hyperlink"/>
          </w:rPr>
          <w:t>Trust and Security Model for Third-Party Modules</w:t>
        </w:r>
        <w:r>
          <w:rPr>
            <w:webHidden/>
          </w:rPr>
          <w:tab/>
        </w:r>
        <w:r>
          <w:rPr>
            <w:webHidden/>
          </w:rPr>
          <w:fldChar w:fldCharType="begin"/>
        </w:r>
        <w:r>
          <w:rPr>
            <w:webHidden/>
          </w:rPr>
          <w:instrText xml:space="preserve"> PAGEREF _Toc236492747 \h </w:instrText>
        </w:r>
        <w:r>
          <w:rPr>
            <w:webHidden/>
          </w:rPr>
        </w:r>
        <w:r>
          <w:rPr>
            <w:webHidden/>
          </w:rPr>
          <w:fldChar w:fldCharType="separate"/>
        </w:r>
        <w:r>
          <w:rPr>
            <w:webHidden/>
          </w:rPr>
          <w:t>10</w:t>
        </w:r>
        <w:r>
          <w:rPr>
            <w:webHidden/>
          </w:rPr>
          <w:fldChar w:fldCharType="end"/>
        </w:r>
      </w:hyperlink>
    </w:p>
    <w:p w14:paraId="44804019" w14:textId="58B17BAC"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48" w:history="1">
        <w:r w:rsidRPr="00212979">
          <w:rPr>
            <w:rStyle w:val="Hyperlink"/>
          </w:rPr>
          <w:t>5.10</w:t>
        </w:r>
        <w:r>
          <w:rPr>
            <w:rFonts w:asciiTheme="minorHAnsi" w:eastAsiaTheme="minorEastAsia" w:hAnsiTheme="minorHAnsi" w:cstheme="minorBidi"/>
            <w:kern w:val="2"/>
            <w:szCs w:val="24"/>
            <w:lang w:val="en-DE" w:eastAsia="en-GB"/>
            <w14:ligatures w14:val="standardContextual"/>
          </w:rPr>
          <w:tab/>
        </w:r>
        <w:r w:rsidRPr="00212979">
          <w:rPr>
            <w:rStyle w:val="Hyperlink"/>
          </w:rPr>
          <w:t>Deliberate Limitations of the Module Model</w:t>
        </w:r>
        <w:r>
          <w:rPr>
            <w:webHidden/>
          </w:rPr>
          <w:tab/>
        </w:r>
        <w:r>
          <w:rPr>
            <w:webHidden/>
          </w:rPr>
          <w:fldChar w:fldCharType="begin"/>
        </w:r>
        <w:r>
          <w:rPr>
            <w:webHidden/>
          </w:rPr>
          <w:instrText xml:space="preserve"> PAGEREF _Toc236492748 \h </w:instrText>
        </w:r>
        <w:r>
          <w:rPr>
            <w:webHidden/>
          </w:rPr>
        </w:r>
        <w:r>
          <w:rPr>
            <w:webHidden/>
          </w:rPr>
          <w:fldChar w:fldCharType="separate"/>
        </w:r>
        <w:r>
          <w:rPr>
            <w:webHidden/>
          </w:rPr>
          <w:t>11</w:t>
        </w:r>
        <w:r>
          <w:rPr>
            <w:webHidden/>
          </w:rPr>
          <w:fldChar w:fldCharType="end"/>
        </w:r>
      </w:hyperlink>
    </w:p>
    <w:p w14:paraId="0727D6AD" w14:textId="1EF730F5"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49" w:history="1">
        <w:r w:rsidRPr="00212979">
          <w:rPr>
            <w:rStyle w:val="Hyperlink"/>
          </w:rPr>
          <w:t>6</w:t>
        </w:r>
        <w:r>
          <w:rPr>
            <w:rFonts w:asciiTheme="minorHAnsi" w:eastAsiaTheme="minorEastAsia" w:hAnsiTheme="minorHAnsi" w:cstheme="minorBidi"/>
            <w:kern w:val="2"/>
            <w:szCs w:val="24"/>
            <w:lang w:val="en-DE" w:eastAsia="en-GB"/>
            <w14:ligatures w14:val="standardContextual"/>
          </w:rPr>
          <w:tab/>
        </w:r>
        <w:r w:rsidRPr="00212979">
          <w:rPr>
            <w:rStyle w:val="Hyperlink"/>
          </w:rPr>
          <w:t>Extensibility in Practice: Module Integration as Evidence</w:t>
        </w:r>
        <w:r>
          <w:rPr>
            <w:webHidden/>
          </w:rPr>
          <w:tab/>
        </w:r>
        <w:r>
          <w:rPr>
            <w:webHidden/>
          </w:rPr>
          <w:fldChar w:fldCharType="begin"/>
        </w:r>
        <w:r>
          <w:rPr>
            <w:webHidden/>
          </w:rPr>
          <w:instrText xml:space="preserve"> PAGEREF _Toc236492749 \h </w:instrText>
        </w:r>
        <w:r>
          <w:rPr>
            <w:webHidden/>
          </w:rPr>
        </w:r>
        <w:r>
          <w:rPr>
            <w:webHidden/>
          </w:rPr>
          <w:fldChar w:fldCharType="separate"/>
        </w:r>
        <w:r>
          <w:rPr>
            <w:webHidden/>
          </w:rPr>
          <w:t>12</w:t>
        </w:r>
        <w:r>
          <w:rPr>
            <w:webHidden/>
          </w:rPr>
          <w:fldChar w:fldCharType="end"/>
        </w:r>
      </w:hyperlink>
    </w:p>
    <w:p w14:paraId="1E636B4A" w14:textId="34AA69EF"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50" w:history="1">
        <w:r w:rsidRPr="00212979">
          <w:rPr>
            <w:rStyle w:val="Hyperlink"/>
          </w:rPr>
          <w:t>6.1</w:t>
        </w:r>
        <w:r>
          <w:rPr>
            <w:rFonts w:asciiTheme="minorHAnsi" w:eastAsiaTheme="minorEastAsia" w:hAnsiTheme="minorHAnsi" w:cstheme="minorBidi"/>
            <w:kern w:val="2"/>
            <w:szCs w:val="24"/>
            <w:lang w:val="en-DE" w:eastAsia="en-GB"/>
            <w14:ligatures w14:val="standardContextual"/>
          </w:rPr>
          <w:tab/>
        </w:r>
        <w:r w:rsidRPr="00212979">
          <w:rPr>
            <w:rStyle w:val="Hyperlink"/>
          </w:rPr>
          <w:t>Selection Rationale</w:t>
        </w:r>
        <w:r>
          <w:rPr>
            <w:webHidden/>
          </w:rPr>
          <w:tab/>
        </w:r>
        <w:r>
          <w:rPr>
            <w:webHidden/>
          </w:rPr>
          <w:fldChar w:fldCharType="begin"/>
        </w:r>
        <w:r>
          <w:rPr>
            <w:webHidden/>
          </w:rPr>
          <w:instrText xml:space="preserve"> PAGEREF _Toc236492750 \h </w:instrText>
        </w:r>
        <w:r>
          <w:rPr>
            <w:webHidden/>
          </w:rPr>
        </w:r>
        <w:r>
          <w:rPr>
            <w:webHidden/>
          </w:rPr>
          <w:fldChar w:fldCharType="separate"/>
        </w:r>
        <w:r>
          <w:rPr>
            <w:webHidden/>
          </w:rPr>
          <w:t>12</w:t>
        </w:r>
        <w:r>
          <w:rPr>
            <w:webHidden/>
          </w:rPr>
          <w:fldChar w:fldCharType="end"/>
        </w:r>
      </w:hyperlink>
    </w:p>
    <w:p w14:paraId="6717B173" w14:textId="3D3B8FB9"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51" w:history="1">
        <w:r w:rsidRPr="00212979">
          <w:rPr>
            <w:rStyle w:val="Hyperlink"/>
          </w:rPr>
          <w:t>6.2</w:t>
        </w:r>
        <w:r>
          <w:rPr>
            <w:rFonts w:asciiTheme="minorHAnsi" w:eastAsiaTheme="minorEastAsia" w:hAnsiTheme="minorHAnsi" w:cstheme="minorBidi"/>
            <w:kern w:val="2"/>
            <w:szCs w:val="24"/>
            <w:lang w:val="en-DE" w:eastAsia="en-GB"/>
            <w14:ligatures w14:val="standardContextual"/>
          </w:rPr>
          <w:tab/>
        </w:r>
        <w:r w:rsidRPr="00212979">
          <w:rPr>
            <w:rStyle w:val="Hyperlink"/>
          </w:rPr>
          <w:t>Module Profiles</w:t>
        </w:r>
        <w:r>
          <w:rPr>
            <w:webHidden/>
          </w:rPr>
          <w:tab/>
        </w:r>
        <w:r>
          <w:rPr>
            <w:webHidden/>
          </w:rPr>
          <w:fldChar w:fldCharType="begin"/>
        </w:r>
        <w:r>
          <w:rPr>
            <w:webHidden/>
          </w:rPr>
          <w:instrText xml:space="preserve"> PAGEREF _Toc236492751 \h </w:instrText>
        </w:r>
        <w:r>
          <w:rPr>
            <w:webHidden/>
          </w:rPr>
        </w:r>
        <w:r>
          <w:rPr>
            <w:webHidden/>
          </w:rPr>
          <w:fldChar w:fldCharType="separate"/>
        </w:r>
        <w:r>
          <w:rPr>
            <w:webHidden/>
          </w:rPr>
          <w:t>12</w:t>
        </w:r>
        <w:r>
          <w:rPr>
            <w:webHidden/>
          </w:rPr>
          <w:fldChar w:fldCharType="end"/>
        </w:r>
      </w:hyperlink>
    </w:p>
    <w:p w14:paraId="12FF7221" w14:textId="47449921"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52" w:history="1">
        <w:r w:rsidRPr="00212979">
          <w:rPr>
            <w:rStyle w:val="Hyperlink"/>
          </w:rPr>
          <w:t>6.3</w:t>
        </w:r>
        <w:r>
          <w:rPr>
            <w:rFonts w:asciiTheme="minorHAnsi" w:eastAsiaTheme="minorEastAsia" w:hAnsiTheme="minorHAnsi" w:cstheme="minorBidi"/>
            <w:kern w:val="2"/>
            <w:szCs w:val="24"/>
            <w:lang w:val="en-DE" w:eastAsia="en-GB"/>
            <w14:ligatures w14:val="standardContextual"/>
          </w:rPr>
          <w:tab/>
        </w:r>
        <w:r w:rsidRPr="00212979">
          <w:rPr>
            <w:rStyle w:val="Hyperlink"/>
          </w:rPr>
          <w:t>Case Study: Porting Python Research Code into a Module</w:t>
        </w:r>
        <w:r>
          <w:rPr>
            <w:webHidden/>
          </w:rPr>
          <w:tab/>
        </w:r>
        <w:r>
          <w:rPr>
            <w:webHidden/>
          </w:rPr>
          <w:fldChar w:fldCharType="begin"/>
        </w:r>
        <w:r>
          <w:rPr>
            <w:webHidden/>
          </w:rPr>
          <w:instrText xml:space="preserve"> PAGEREF _Toc236492752 \h </w:instrText>
        </w:r>
        <w:r>
          <w:rPr>
            <w:webHidden/>
          </w:rPr>
        </w:r>
        <w:r>
          <w:rPr>
            <w:webHidden/>
          </w:rPr>
          <w:fldChar w:fldCharType="separate"/>
        </w:r>
        <w:r>
          <w:rPr>
            <w:webHidden/>
          </w:rPr>
          <w:t>12</w:t>
        </w:r>
        <w:r>
          <w:rPr>
            <w:webHidden/>
          </w:rPr>
          <w:fldChar w:fldCharType="end"/>
        </w:r>
      </w:hyperlink>
    </w:p>
    <w:p w14:paraId="6CCA1E4C" w14:textId="5CC8E66C"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53" w:history="1">
        <w:r w:rsidRPr="00212979">
          <w:rPr>
            <w:rStyle w:val="Hyperlink"/>
          </w:rPr>
          <w:t>6.4</w:t>
        </w:r>
        <w:r>
          <w:rPr>
            <w:rFonts w:asciiTheme="minorHAnsi" w:eastAsiaTheme="minorEastAsia" w:hAnsiTheme="minorHAnsi" w:cstheme="minorBidi"/>
            <w:kern w:val="2"/>
            <w:szCs w:val="24"/>
            <w:lang w:val="en-DE" w:eastAsia="en-GB"/>
            <w14:ligatures w14:val="standardContextual"/>
          </w:rPr>
          <w:tab/>
        </w:r>
        <w:r w:rsidRPr="00212979">
          <w:rPr>
            <w:rStyle w:val="Hyperlink"/>
          </w:rPr>
          <w:t>Case Study: A Non-Python Module</w:t>
        </w:r>
        <w:r>
          <w:rPr>
            <w:webHidden/>
          </w:rPr>
          <w:tab/>
        </w:r>
        <w:r>
          <w:rPr>
            <w:webHidden/>
          </w:rPr>
          <w:fldChar w:fldCharType="begin"/>
        </w:r>
        <w:r>
          <w:rPr>
            <w:webHidden/>
          </w:rPr>
          <w:instrText xml:space="preserve"> PAGEREF _Toc236492753 \h </w:instrText>
        </w:r>
        <w:r>
          <w:rPr>
            <w:webHidden/>
          </w:rPr>
        </w:r>
        <w:r>
          <w:rPr>
            <w:webHidden/>
          </w:rPr>
          <w:fldChar w:fldCharType="separate"/>
        </w:r>
        <w:r>
          <w:rPr>
            <w:webHidden/>
          </w:rPr>
          <w:t>12</w:t>
        </w:r>
        <w:r>
          <w:rPr>
            <w:webHidden/>
          </w:rPr>
          <w:fldChar w:fldCharType="end"/>
        </w:r>
      </w:hyperlink>
    </w:p>
    <w:p w14:paraId="20F9404C" w14:textId="6AC3203A"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54" w:history="1">
        <w:r w:rsidRPr="00212979">
          <w:rPr>
            <w:rStyle w:val="Hyperlink"/>
          </w:rPr>
          <w:t>6.5</w:t>
        </w:r>
        <w:r>
          <w:rPr>
            <w:rFonts w:asciiTheme="minorHAnsi" w:eastAsiaTheme="minorEastAsia" w:hAnsiTheme="minorHAnsi" w:cstheme="minorBidi"/>
            <w:kern w:val="2"/>
            <w:szCs w:val="24"/>
            <w:lang w:val="en-DE" w:eastAsia="en-GB"/>
            <w14:ligatures w14:val="standardContextual"/>
          </w:rPr>
          <w:tab/>
        </w:r>
        <w:r w:rsidRPr="00212979">
          <w:rPr>
            <w:rStyle w:val="Hyperlink"/>
          </w:rPr>
          <w:t>Case Study: A Module with External Dependencies</w:t>
        </w:r>
        <w:r>
          <w:rPr>
            <w:webHidden/>
          </w:rPr>
          <w:tab/>
        </w:r>
        <w:r>
          <w:rPr>
            <w:webHidden/>
          </w:rPr>
          <w:fldChar w:fldCharType="begin"/>
        </w:r>
        <w:r>
          <w:rPr>
            <w:webHidden/>
          </w:rPr>
          <w:instrText xml:space="preserve"> PAGEREF _Toc236492754 \h </w:instrText>
        </w:r>
        <w:r>
          <w:rPr>
            <w:webHidden/>
          </w:rPr>
        </w:r>
        <w:r>
          <w:rPr>
            <w:webHidden/>
          </w:rPr>
          <w:fldChar w:fldCharType="separate"/>
        </w:r>
        <w:r>
          <w:rPr>
            <w:webHidden/>
          </w:rPr>
          <w:t>12</w:t>
        </w:r>
        <w:r>
          <w:rPr>
            <w:webHidden/>
          </w:rPr>
          <w:fldChar w:fldCharType="end"/>
        </w:r>
      </w:hyperlink>
    </w:p>
    <w:p w14:paraId="152472A9" w14:textId="161375E6"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55" w:history="1">
        <w:r w:rsidRPr="00212979">
          <w:rPr>
            <w:rStyle w:val="Hyperlink"/>
          </w:rPr>
          <w:t>6.6</w:t>
        </w:r>
        <w:r>
          <w:rPr>
            <w:rFonts w:asciiTheme="minorHAnsi" w:eastAsiaTheme="minorEastAsia" w:hAnsiTheme="minorHAnsi" w:cstheme="minorBidi"/>
            <w:kern w:val="2"/>
            <w:szCs w:val="24"/>
            <w:lang w:val="en-DE" w:eastAsia="en-GB"/>
            <w14:ligatures w14:val="standardContextual"/>
          </w:rPr>
          <w:tab/>
        </w:r>
        <w:r w:rsidRPr="00212979">
          <w:rPr>
            <w:rStyle w:val="Hyperlink"/>
          </w:rPr>
          <w:t>Comparative Integration Effort</w:t>
        </w:r>
        <w:r>
          <w:rPr>
            <w:webHidden/>
          </w:rPr>
          <w:tab/>
        </w:r>
        <w:r>
          <w:rPr>
            <w:webHidden/>
          </w:rPr>
          <w:fldChar w:fldCharType="begin"/>
        </w:r>
        <w:r>
          <w:rPr>
            <w:webHidden/>
          </w:rPr>
          <w:instrText xml:space="preserve"> PAGEREF _Toc236492755 \h </w:instrText>
        </w:r>
        <w:r>
          <w:rPr>
            <w:webHidden/>
          </w:rPr>
        </w:r>
        <w:r>
          <w:rPr>
            <w:webHidden/>
          </w:rPr>
          <w:fldChar w:fldCharType="separate"/>
        </w:r>
        <w:r>
          <w:rPr>
            <w:webHidden/>
          </w:rPr>
          <w:t>13</w:t>
        </w:r>
        <w:r>
          <w:rPr>
            <w:webHidden/>
          </w:rPr>
          <w:fldChar w:fldCharType="end"/>
        </w:r>
      </w:hyperlink>
    </w:p>
    <w:p w14:paraId="324F8913" w14:textId="3C59B352"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56" w:history="1">
        <w:r w:rsidRPr="00212979">
          <w:rPr>
            <w:rStyle w:val="Hyperlink"/>
          </w:rPr>
          <w:t>6.7</w:t>
        </w:r>
        <w:r>
          <w:rPr>
            <w:rFonts w:asciiTheme="minorHAnsi" w:eastAsiaTheme="minorEastAsia" w:hAnsiTheme="minorHAnsi" w:cstheme="minorBidi"/>
            <w:kern w:val="2"/>
            <w:szCs w:val="24"/>
            <w:lang w:val="en-DE" w:eastAsia="en-GB"/>
            <w14:ligatures w14:val="standardContextual"/>
          </w:rPr>
          <w:tab/>
        </w:r>
        <w:r w:rsidRPr="00212979">
          <w:rPr>
            <w:rStyle w:val="Hyperlink"/>
          </w:rPr>
          <w:t>Lessons Learned and Resulting Changes to the Contract</w:t>
        </w:r>
        <w:r>
          <w:rPr>
            <w:webHidden/>
          </w:rPr>
          <w:tab/>
        </w:r>
        <w:r>
          <w:rPr>
            <w:webHidden/>
          </w:rPr>
          <w:fldChar w:fldCharType="begin"/>
        </w:r>
        <w:r>
          <w:rPr>
            <w:webHidden/>
          </w:rPr>
          <w:instrText xml:space="preserve"> PAGEREF _Toc236492756 \h </w:instrText>
        </w:r>
        <w:r>
          <w:rPr>
            <w:webHidden/>
          </w:rPr>
        </w:r>
        <w:r>
          <w:rPr>
            <w:webHidden/>
          </w:rPr>
          <w:fldChar w:fldCharType="separate"/>
        </w:r>
        <w:r>
          <w:rPr>
            <w:webHidden/>
          </w:rPr>
          <w:t>13</w:t>
        </w:r>
        <w:r>
          <w:rPr>
            <w:webHidden/>
          </w:rPr>
          <w:fldChar w:fldCharType="end"/>
        </w:r>
      </w:hyperlink>
    </w:p>
    <w:p w14:paraId="304A62EA" w14:textId="48627BE8"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57" w:history="1">
        <w:r w:rsidRPr="00212979">
          <w:rPr>
            <w:rStyle w:val="Hyperlink"/>
          </w:rPr>
          <w:t>7</w:t>
        </w:r>
        <w:r>
          <w:rPr>
            <w:rFonts w:asciiTheme="minorHAnsi" w:eastAsiaTheme="minorEastAsia" w:hAnsiTheme="minorHAnsi" w:cstheme="minorBidi"/>
            <w:kern w:val="2"/>
            <w:szCs w:val="24"/>
            <w:lang w:val="en-DE" w:eastAsia="en-GB"/>
            <w14:ligatures w14:val="standardContextual"/>
          </w:rPr>
          <w:tab/>
        </w:r>
        <w:r w:rsidRPr="00212979">
          <w:rPr>
            <w:rStyle w:val="Hyperlink"/>
          </w:rPr>
          <w:t>Platform Setup and Operation</w:t>
        </w:r>
        <w:r>
          <w:rPr>
            <w:webHidden/>
          </w:rPr>
          <w:tab/>
        </w:r>
        <w:r>
          <w:rPr>
            <w:webHidden/>
          </w:rPr>
          <w:fldChar w:fldCharType="begin"/>
        </w:r>
        <w:r>
          <w:rPr>
            <w:webHidden/>
          </w:rPr>
          <w:instrText xml:space="preserve"> PAGEREF _Toc236492757 \h </w:instrText>
        </w:r>
        <w:r>
          <w:rPr>
            <w:webHidden/>
          </w:rPr>
        </w:r>
        <w:r>
          <w:rPr>
            <w:webHidden/>
          </w:rPr>
          <w:fldChar w:fldCharType="separate"/>
        </w:r>
        <w:r>
          <w:rPr>
            <w:webHidden/>
          </w:rPr>
          <w:t>14</w:t>
        </w:r>
        <w:r>
          <w:rPr>
            <w:webHidden/>
          </w:rPr>
          <w:fldChar w:fldCharType="end"/>
        </w:r>
      </w:hyperlink>
    </w:p>
    <w:p w14:paraId="30C169A6" w14:textId="6445A849"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58" w:history="1">
        <w:r w:rsidRPr="00212979">
          <w:rPr>
            <w:rStyle w:val="Hyperlink"/>
          </w:rPr>
          <w:t>7.1</w:t>
        </w:r>
        <w:r>
          <w:rPr>
            <w:rFonts w:asciiTheme="minorHAnsi" w:eastAsiaTheme="minorEastAsia" w:hAnsiTheme="minorHAnsi" w:cstheme="minorBidi"/>
            <w:kern w:val="2"/>
            <w:szCs w:val="24"/>
            <w:lang w:val="en-DE" w:eastAsia="en-GB"/>
            <w14:ligatures w14:val="standardContextual"/>
          </w:rPr>
          <w:tab/>
        </w:r>
        <w:r w:rsidRPr="00212979">
          <w:rPr>
            <w:rStyle w:val="Hyperlink"/>
          </w:rPr>
          <w:t>Prerequisites and Repository Layout</w:t>
        </w:r>
        <w:r>
          <w:rPr>
            <w:webHidden/>
          </w:rPr>
          <w:tab/>
        </w:r>
        <w:r>
          <w:rPr>
            <w:webHidden/>
          </w:rPr>
          <w:fldChar w:fldCharType="begin"/>
        </w:r>
        <w:r>
          <w:rPr>
            <w:webHidden/>
          </w:rPr>
          <w:instrText xml:space="preserve"> PAGEREF _Toc236492758 \h </w:instrText>
        </w:r>
        <w:r>
          <w:rPr>
            <w:webHidden/>
          </w:rPr>
        </w:r>
        <w:r>
          <w:rPr>
            <w:webHidden/>
          </w:rPr>
          <w:fldChar w:fldCharType="separate"/>
        </w:r>
        <w:r>
          <w:rPr>
            <w:webHidden/>
          </w:rPr>
          <w:t>14</w:t>
        </w:r>
        <w:r>
          <w:rPr>
            <w:webHidden/>
          </w:rPr>
          <w:fldChar w:fldCharType="end"/>
        </w:r>
      </w:hyperlink>
    </w:p>
    <w:p w14:paraId="06FED974" w14:textId="5C086D78"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59" w:history="1">
        <w:r w:rsidRPr="00212979">
          <w:rPr>
            <w:rStyle w:val="Hyperlink"/>
          </w:rPr>
          <w:t>7.2</w:t>
        </w:r>
        <w:r>
          <w:rPr>
            <w:rFonts w:asciiTheme="minorHAnsi" w:eastAsiaTheme="minorEastAsia" w:hAnsiTheme="minorHAnsi" w:cstheme="minorBidi"/>
            <w:kern w:val="2"/>
            <w:szCs w:val="24"/>
            <w:lang w:val="en-DE" w:eastAsia="en-GB"/>
            <w14:ligatures w14:val="standardContextual"/>
          </w:rPr>
          <w:tab/>
        </w:r>
        <w:r w:rsidRPr="00212979">
          <w:rPr>
            <w:rStyle w:val="Hyperlink"/>
          </w:rPr>
          <w:t>Local Setup</w:t>
        </w:r>
        <w:r>
          <w:rPr>
            <w:webHidden/>
          </w:rPr>
          <w:tab/>
        </w:r>
        <w:r>
          <w:rPr>
            <w:webHidden/>
          </w:rPr>
          <w:fldChar w:fldCharType="begin"/>
        </w:r>
        <w:r>
          <w:rPr>
            <w:webHidden/>
          </w:rPr>
          <w:instrText xml:space="preserve"> PAGEREF _Toc236492759 \h </w:instrText>
        </w:r>
        <w:r>
          <w:rPr>
            <w:webHidden/>
          </w:rPr>
        </w:r>
        <w:r>
          <w:rPr>
            <w:webHidden/>
          </w:rPr>
          <w:fldChar w:fldCharType="separate"/>
        </w:r>
        <w:r>
          <w:rPr>
            <w:webHidden/>
          </w:rPr>
          <w:t>14</w:t>
        </w:r>
        <w:r>
          <w:rPr>
            <w:webHidden/>
          </w:rPr>
          <w:fldChar w:fldCharType="end"/>
        </w:r>
      </w:hyperlink>
    </w:p>
    <w:p w14:paraId="79E8E9F0" w14:textId="50745597"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60" w:history="1">
        <w:r w:rsidRPr="00212979">
          <w:rPr>
            <w:rStyle w:val="Hyperlink"/>
          </w:rPr>
          <w:t>7.3</w:t>
        </w:r>
        <w:r>
          <w:rPr>
            <w:rFonts w:asciiTheme="minorHAnsi" w:eastAsiaTheme="minorEastAsia" w:hAnsiTheme="minorHAnsi" w:cstheme="minorBidi"/>
            <w:kern w:val="2"/>
            <w:szCs w:val="24"/>
            <w:lang w:val="en-DE" w:eastAsia="en-GB"/>
            <w14:ligatures w14:val="standardContextual"/>
          </w:rPr>
          <w:tab/>
        </w:r>
        <w:r w:rsidRPr="00212979">
          <w:rPr>
            <w:rStyle w:val="Hyperlink"/>
          </w:rPr>
          <w:t>Running Modes and Their Selection</w:t>
        </w:r>
        <w:r>
          <w:rPr>
            <w:webHidden/>
          </w:rPr>
          <w:tab/>
        </w:r>
        <w:r>
          <w:rPr>
            <w:webHidden/>
          </w:rPr>
          <w:fldChar w:fldCharType="begin"/>
        </w:r>
        <w:r>
          <w:rPr>
            <w:webHidden/>
          </w:rPr>
          <w:instrText xml:space="preserve"> PAGEREF _Toc236492760 \h </w:instrText>
        </w:r>
        <w:r>
          <w:rPr>
            <w:webHidden/>
          </w:rPr>
        </w:r>
        <w:r>
          <w:rPr>
            <w:webHidden/>
          </w:rPr>
          <w:fldChar w:fldCharType="separate"/>
        </w:r>
        <w:r>
          <w:rPr>
            <w:webHidden/>
          </w:rPr>
          <w:t>14</w:t>
        </w:r>
        <w:r>
          <w:rPr>
            <w:webHidden/>
          </w:rPr>
          <w:fldChar w:fldCharType="end"/>
        </w:r>
      </w:hyperlink>
    </w:p>
    <w:p w14:paraId="7763A23B" w14:textId="0FA37B68"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61" w:history="1">
        <w:r w:rsidRPr="00212979">
          <w:rPr>
            <w:rStyle w:val="Hyperlink"/>
          </w:rPr>
          <w:t>7.4</w:t>
        </w:r>
        <w:r>
          <w:rPr>
            <w:rFonts w:asciiTheme="minorHAnsi" w:eastAsiaTheme="minorEastAsia" w:hAnsiTheme="minorHAnsi" w:cstheme="minorBidi"/>
            <w:kern w:val="2"/>
            <w:szCs w:val="24"/>
            <w:lang w:val="en-DE" w:eastAsia="en-GB"/>
            <w14:ligatures w14:val="standardContextual"/>
          </w:rPr>
          <w:tab/>
        </w:r>
        <w:r w:rsidRPr="00212979">
          <w:rPr>
            <w:rStyle w:val="Hyperlink"/>
          </w:rPr>
          <w:t>Deployment on a University Virtual Machine</w:t>
        </w:r>
        <w:r>
          <w:rPr>
            <w:webHidden/>
          </w:rPr>
          <w:tab/>
        </w:r>
        <w:r>
          <w:rPr>
            <w:webHidden/>
          </w:rPr>
          <w:fldChar w:fldCharType="begin"/>
        </w:r>
        <w:r>
          <w:rPr>
            <w:webHidden/>
          </w:rPr>
          <w:instrText xml:space="preserve"> PAGEREF _Toc236492761 \h </w:instrText>
        </w:r>
        <w:r>
          <w:rPr>
            <w:webHidden/>
          </w:rPr>
        </w:r>
        <w:r>
          <w:rPr>
            <w:webHidden/>
          </w:rPr>
          <w:fldChar w:fldCharType="separate"/>
        </w:r>
        <w:r>
          <w:rPr>
            <w:webHidden/>
          </w:rPr>
          <w:t>14</w:t>
        </w:r>
        <w:r>
          <w:rPr>
            <w:webHidden/>
          </w:rPr>
          <w:fldChar w:fldCharType="end"/>
        </w:r>
      </w:hyperlink>
    </w:p>
    <w:p w14:paraId="4453AFFD" w14:textId="7D9DEA7B"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62" w:history="1">
        <w:r w:rsidRPr="00212979">
          <w:rPr>
            <w:rStyle w:val="Hyperlink"/>
          </w:rPr>
          <w:t>7.5</w:t>
        </w:r>
        <w:r>
          <w:rPr>
            <w:rFonts w:asciiTheme="minorHAnsi" w:eastAsiaTheme="minorEastAsia" w:hAnsiTheme="minorHAnsi" w:cstheme="minorBidi"/>
            <w:kern w:val="2"/>
            <w:szCs w:val="24"/>
            <w:lang w:val="en-DE" w:eastAsia="en-GB"/>
            <w14:ligatures w14:val="standardContextual"/>
          </w:rPr>
          <w:tab/>
        </w:r>
        <w:r w:rsidRPr="00212979">
          <w:rPr>
            <w:rStyle w:val="Hyperlink"/>
          </w:rPr>
          <w:t>Verification and Update Procedure</w:t>
        </w:r>
        <w:r>
          <w:rPr>
            <w:webHidden/>
          </w:rPr>
          <w:tab/>
        </w:r>
        <w:r>
          <w:rPr>
            <w:webHidden/>
          </w:rPr>
          <w:fldChar w:fldCharType="begin"/>
        </w:r>
        <w:r>
          <w:rPr>
            <w:webHidden/>
          </w:rPr>
          <w:instrText xml:space="preserve"> PAGEREF _Toc236492762 \h </w:instrText>
        </w:r>
        <w:r>
          <w:rPr>
            <w:webHidden/>
          </w:rPr>
        </w:r>
        <w:r>
          <w:rPr>
            <w:webHidden/>
          </w:rPr>
          <w:fldChar w:fldCharType="separate"/>
        </w:r>
        <w:r>
          <w:rPr>
            <w:webHidden/>
          </w:rPr>
          <w:t>15</w:t>
        </w:r>
        <w:r>
          <w:rPr>
            <w:webHidden/>
          </w:rPr>
          <w:fldChar w:fldCharType="end"/>
        </w:r>
      </w:hyperlink>
    </w:p>
    <w:p w14:paraId="59934ECE" w14:textId="022AAFF9"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63" w:history="1">
        <w:r w:rsidRPr="00212979">
          <w:rPr>
            <w:rStyle w:val="Hyperlink"/>
          </w:rPr>
          <w:t>7.6</w:t>
        </w:r>
        <w:r>
          <w:rPr>
            <w:rFonts w:asciiTheme="minorHAnsi" w:eastAsiaTheme="minorEastAsia" w:hAnsiTheme="minorHAnsi" w:cstheme="minorBidi"/>
            <w:kern w:val="2"/>
            <w:szCs w:val="24"/>
            <w:lang w:val="en-DE" w:eastAsia="en-GB"/>
            <w14:ligatures w14:val="standardContextual"/>
          </w:rPr>
          <w:tab/>
        </w:r>
        <w:r w:rsidRPr="00212979">
          <w:rPr>
            <w:rStyle w:val="Hyperlink"/>
          </w:rPr>
          <w:t>Administration and Data Governance</w:t>
        </w:r>
        <w:r>
          <w:rPr>
            <w:webHidden/>
          </w:rPr>
          <w:tab/>
        </w:r>
        <w:r>
          <w:rPr>
            <w:webHidden/>
          </w:rPr>
          <w:fldChar w:fldCharType="begin"/>
        </w:r>
        <w:r>
          <w:rPr>
            <w:webHidden/>
          </w:rPr>
          <w:instrText xml:space="preserve"> PAGEREF _Toc236492763 \h </w:instrText>
        </w:r>
        <w:r>
          <w:rPr>
            <w:webHidden/>
          </w:rPr>
        </w:r>
        <w:r>
          <w:rPr>
            <w:webHidden/>
          </w:rPr>
          <w:fldChar w:fldCharType="separate"/>
        </w:r>
        <w:r>
          <w:rPr>
            <w:webHidden/>
          </w:rPr>
          <w:t>15</w:t>
        </w:r>
        <w:r>
          <w:rPr>
            <w:webHidden/>
          </w:rPr>
          <w:fldChar w:fldCharType="end"/>
        </w:r>
      </w:hyperlink>
    </w:p>
    <w:p w14:paraId="03432322" w14:textId="191144C7"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64" w:history="1">
        <w:r w:rsidRPr="00212979">
          <w:rPr>
            <w:rStyle w:val="Hyperlink"/>
          </w:rPr>
          <w:t>7.7</w:t>
        </w:r>
        <w:r>
          <w:rPr>
            <w:rFonts w:asciiTheme="minorHAnsi" w:eastAsiaTheme="minorEastAsia" w:hAnsiTheme="minorHAnsi" w:cstheme="minorBidi"/>
            <w:kern w:val="2"/>
            <w:szCs w:val="24"/>
            <w:lang w:val="en-DE" w:eastAsia="en-GB"/>
            <w14:ligatures w14:val="standardContextual"/>
          </w:rPr>
          <w:tab/>
        </w:r>
        <w:r w:rsidRPr="00212979">
          <w:rPr>
            <w:rStyle w:val="Hyperlink"/>
          </w:rPr>
          <w:t>A Typical Analysis Workflow</w:t>
        </w:r>
        <w:r>
          <w:rPr>
            <w:webHidden/>
          </w:rPr>
          <w:tab/>
        </w:r>
        <w:r>
          <w:rPr>
            <w:webHidden/>
          </w:rPr>
          <w:fldChar w:fldCharType="begin"/>
        </w:r>
        <w:r>
          <w:rPr>
            <w:webHidden/>
          </w:rPr>
          <w:instrText xml:space="preserve"> PAGEREF _Toc236492764 \h </w:instrText>
        </w:r>
        <w:r>
          <w:rPr>
            <w:webHidden/>
          </w:rPr>
        </w:r>
        <w:r>
          <w:rPr>
            <w:webHidden/>
          </w:rPr>
          <w:fldChar w:fldCharType="separate"/>
        </w:r>
        <w:r>
          <w:rPr>
            <w:webHidden/>
          </w:rPr>
          <w:t>15</w:t>
        </w:r>
        <w:r>
          <w:rPr>
            <w:webHidden/>
          </w:rPr>
          <w:fldChar w:fldCharType="end"/>
        </w:r>
      </w:hyperlink>
    </w:p>
    <w:p w14:paraId="41A79137" w14:textId="38211CFF"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65" w:history="1">
        <w:r w:rsidRPr="00212979">
          <w:rPr>
            <w:rStyle w:val="Hyperlink"/>
          </w:rPr>
          <w:t>8</w:t>
        </w:r>
        <w:r>
          <w:rPr>
            <w:rFonts w:asciiTheme="minorHAnsi" w:eastAsiaTheme="minorEastAsia" w:hAnsiTheme="minorHAnsi" w:cstheme="minorBidi"/>
            <w:kern w:val="2"/>
            <w:szCs w:val="24"/>
            <w:lang w:val="en-DE" w:eastAsia="en-GB"/>
            <w14:ligatures w14:val="standardContextual"/>
          </w:rPr>
          <w:tab/>
        </w:r>
        <w:r w:rsidRPr="00212979">
          <w:rPr>
            <w:rStyle w:val="Hyperlink"/>
          </w:rPr>
          <w:t>Developing a New Module: A Practical Walkthrough</w:t>
        </w:r>
        <w:r>
          <w:rPr>
            <w:webHidden/>
          </w:rPr>
          <w:tab/>
        </w:r>
        <w:r>
          <w:rPr>
            <w:webHidden/>
          </w:rPr>
          <w:fldChar w:fldCharType="begin"/>
        </w:r>
        <w:r>
          <w:rPr>
            <w:webHidden/>
          </w:rPr>
          <w:instrText xml:space="preserve"> PAGEREF _Toc236492765 \h </w:instrText>
        </w:r>
        <w:r>
          <w:rPr>
            <w:webHidden/>
          </w:rPr>
        </w:r>
        <w:r>
          <w:rPr>
            <w:webHidden/>
          </w:rPr>
          <w:fldChar w:fldCharType="separate"/>
        </w:r>
        <w:r>
          <w:rPr>
            <w:webHidden/>
          </w:rPr>
          <w:t>16</w:t>
        </w:r>
        <w:r>
          <w:rPr>
            <w:webHidden/>
          </w:rPr>
          <w:fldChar w:fldCharType="end"/>
        </w:r>
      </w:hyperlink>
    </w:p>
    <w:p w14:paraId="547AB7DC" w14:textId="162BA8B0"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66" w:history="1">
        <w:r w:rsidRPr="00212979">
          <w:rPr>
            <w:rStyle w:val="Hyperlink"/>
          </w:rPr>
          <w:t>8.1</w:t>
        </w:r>
        <w:r>
          <w:rPr>
            <w:rFonts w:asciiTheme="minorHAnsi" w:eastAsiaTheme="minorEastAsia" w:hAnsiTheme="minorHAnsi" w:cstheme="minorBidi"/>
            <w:kern w:val="2"/>
            <w:szCs w:val="24"/>
            <w:lang w:val="en-DE" w:eastAsia="en-GB"/>
            <w14:ligatures w14:val="standardContextual"/>
          </w:rPr>
          <w:tab/>
        </w:r>
        <w:r w:rsidRPr="00212979">
          <w:rPr>
            <w:rStyle w:val="Hyperlink"/>
          </w:rPr>
          <w:t>Development Environment for Module Authors</w:t>
        </w:r>
        <w:r>
          <w:rPr>
            <w:webHidden/>
          </w:rPr>
          <w:tab/>
        </w:r>
        <w:r>
          <w:rPr>
            <w:webHidden/>
          </w:rPr>
          <w:fldChar w:fldCharType="begin"/>
        </w:r>
        <w:r>
          <w:rPr>
            <w:webHidden/>
          </w:rPr>
          <w:instrText xml:space="preserve"> PAGEREF _Toc236492766 \h </w:instrText>
        </w:r>
        <w:r>
          <w:rPr>
            <w:webHidden/>
          </w:rPr>
        </w:r>
        <w:r>
          <w:rPr>
            <w:webHidden/>
          </w:rPr>
          <w:fldChar w:fldCharType="separate"/>
        </w:r>
        <w:r>
          <w:rPr>
            <w:webHidden/>
          </w:rPr>
          <w:t>16</w:t>
        </w:r>
        <w:r>
          <w:rPr>
            <w:webHidden/>
          </w:rPr>
          <w:fldChar w:fldCharType="end"/>
        </w:r>
      </w:hyperlink>
    </w:p>
    <w:p w14:paraId="02EC4B57" w14:textId="45D7C01C"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67" w:history="1">
        <w:r w:rsidRPr="00212979">
          <w:rPr>
            <w:rStyle w:val="Hyperlink"/>
          </w:rPr>
          <w:t>8.2</w:t>
        </w:r>
        <w:r>
          <w:rPr>
            <w:rFonts w:asciiTheme="minorHAnsi" w:eastAsiaTheme="minorEastAsia" w:hAnsiTheme="minorHAnsi" w:cstheme="minorBidi"/>
            <w:kern w:val="2"/>
            <w:szCs w:val="24"/>
            <w:lang w:val="en-DE" w:eastAsia="en-GB"/>
            <w14:ligatures w14:val="standardContextual"/>
          </w:rPr>
          <w:tab/>
        </w:r>
        <w:r w:rsidRPr="00212979">
          <w:rPr>
            <w:rStyle w:val="Hyperlink"/>
          </w:rPr>
          <w:t>Scaffolding a Module</w:t>
        </w:r>
        <w:r>
          <w:rPr>
            <w:webHidden/>
          </w:rPr>
          <w:tab/>
        </w:r>
        <w:r>
          <w:rPr>
            <w:webHidden/>
          </w:rPr>
          <w:fldChar w:fldCharType="begin"/>
        </w:r>
        <w:r>
          <w:rPr>
            <w:webHidden/>
          </w:rPr>
          <w:instrText xml:space="preserve"> PAGEREF _Toc236492767 \h </w:instrText>
        </w:r>
        <w:r>
          <w:rPr>
            <w:webHidden/>
          </w:rPr>
        </w:r>
        <w:r>
          <w:rPr>
            <w:webHidden/>
          </w:rPr>
          <w:fldChar w:fldCharType="separate"/>
        </w:r>
        <w:r>
          <w:rPr>
            <w:webHidden/>
          </w:rPr>
          <w:t>16</w:t>
        </w:r>
        <w:r>
          <w:rPr>
            <w:webHidden/>
          </w:rPr>
          <w:fldChar w:fldCharType="end"/>
        </w:r>
      </w:hyperlink>
    </w:p>
    <w:p w14:paraId="3E1308F8" w14:textId="064C5C2E"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68" w:history="1">
        <w:r w:rsidRPr="00212979">
          <w:rPr>
            <w:rStyle w:val="Hyperlink"/>
          </w:rPr>
          <w:t>8.3</w:t>
        </w:r>
        <w:r>
          <w:rPr>
            <w:rFonts w:asciiTheme="minorHAnsi" w:eastAsiaTheme="minorEastAsia" w:hAnsiTheme="minorHAnsi" w:cstheme="minorBidi"/>
            <w:kern w:val="2"/>
            <w:szCs w:val="24"/>
            <w:lang w:val="en-DE" w:eastAsia="en-GB"/>
            <w14:ligatures w14:val="standardContextual"/>
          </w:rPr>
          <w:tab/>
        </w:r>
        <w:r w:rsidRPr="00212979">
          <w:rPr>
            <w:rStyle w:val="Hyperlink"/>
          </w:rPr>
          <w:t>Declaring Dependencies and Selecting an Isolation Level</w:t>
        </w:r>
        <w:r>
          <w:rPr>
            <w:webHidden/>
          </w:rPr>
          <w:tab/>
        </w:r>
        <w:r>
          <w:rPr>
            <w:webHidden/>
          </w:rPr>
          <w:fldChar w:fldCharType="begin"/>
        </w:r>
        <w:r>
          <w:rPr>
            <w:webHidden/>
          </w:rPr>
          <w:instrText xml:space="preserve"> PAGEREF _Toc236492768 \h </w:instrText>
        </w:r>
        <w:r>
          <w:rPr>
            <w:webHidden/>
          </w:rPr>
        </w:r>
        <w:r>
          <w:rPr>
            <w:webHidden/>
          </w:rPr>
          <w:fldChar w:fldCharType="separate"/>
        </w:r>
        <w:r>
          <w:rPr>
            <w:webHidden/>
          </w:rPr>
          <w:t>16</w:t>
        </w:r>
        <w:r>
          <w:rPr>
            <w:webHidden/>
          </w:rPr>
          <w:fldChar w:fldCharType="end"/>
        </w:r>
      </w:hyperlink>
    </w:p>
    <w:p w14:paraId="7B4BED0E" w14:textId="34AC148B"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69" w:history="1">
        <w:r w:rsidRPr="00212979">
          <w:rPr>
            <w:rStyle w:val="Hyperlink"/>
          </w:rPr>
          <w:t>8.4</w:t>
        </w:r>
        <w:r>
          <w:rPr>
            <w:rFonts w:asciiTheme="minorHAnsi" w:eastAsiaTheme="minorEastAsia" w:hAnsiTheme="minorHAnsi" w:cstheme="minorBidi"/>
            <w:kern w:val="2"/>
            <w:szCs w:val="24"/>
            <w:lang w:val="en-DE" w:eastAsia="en-GB"/>
            <w14:ligatures w14:val="standardContextual"/>
          </w:rPr>
          <w:tab/>
        </w:r>
        <w:r w:rsidRPr="00212979">
          <w:rPr>
            <w:rStyle w:val="Hyperlink"/>
          </w:rPr>
          <w:t>Implementing Handlers</w:t>
        </w:r>
        <w:r>
          <w:rPr>
            <w:webHidden/>
          </w:rPr>
          <w:tab/>
        </w:r>
        <w:r>
          <w:rPr>
            <w:webHidden/>
          </w:rPr>
          <w:fldChar w:fldCharType="begin"/>
        </w:r>
        <w:r>
          <w:rPr>
            <w:webHidden/>
          </w:rPr>
          <w:instrText xml:space="preserve"> PAGEREF _Toc236492769 \h </w:instrText>
        </w:r>
        <w:r>
          <w:rPr>
            <w:webHidden/>
          </w:rPr>
        </w:r>
        <w:r>
          <w:rPr>
            <w:webHidden/>
          </w:rPr>
          <w:fldChar w:fldCharType="separate"/>
        </w:r>
        <w:r>
          <w:rPr>
            <w:webHidden/>
          </w:rPr>
          <w:t>16</w:t>
        </w:r>
        <w:r>
          <w:rPr>
            <w:webHidden/>
          </w:rPr>
          <w:fldChar w:fldCharType="end"/>
        </w:r>
      </w:hyperlink>
    </w:p>
    <w:p w14:paraId="2AD23690" w14:textId="41EF0146"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70" w:history="1">
        <w:r w:rsidRPr="00212979">
          <w:rPr>
            <w:rStyle w:val="Hyperlink"/>
          </w:rPr>
          <w:t>8.5</w:t>
        </w:r>
        <w:r>
          <w:rPr>
            <w:rFonts w:asciiTheme="minorHAnsi" w:eastAsiaTheme="minorEastAsia" w:hAnsiTheme="minorHAnsi" w:cstheme="minorBidi"/>
            <w:kern w:val="2"/>
            <w:szCs w:val="24"/>
            <w:lang w:val="en-DE" w:eastAsia="en-GB"/>
            <w14:ligatures w14:val="standardContextual"/>
          </w:rPr>
          <w:tab/>
        </w:r>
        <w:r w:rsidRPr="00212979">
          <w:rPr>
            <w:rStyle w:val="Hyperlink"/>
          </w:rPr>
          <w:t>Working with the Event Log and the Result Cache</w:t>
        </w:r>
        <w:r>
          <w:rPr>
            <w:webHidden/>
          </w:rPr>
          <w:tab/>
        </w:r>
        <w:r>
          <w:rPr>
            <w:webHidden/>
          </w:rPr>
          <w:fldChar w:fldCharType="begin"/>
        </w:r>
        <w:r>
          <w:rPr>
            <w:webHidden/>
          </w:rPr>
          <w:instrText xml:space="preserve"> PAGEREF _Toc236492770 \h </w:instrText>
        </w:r>
        <w:r>
          <w:rPr>
            <w:webHidden/>
          </w:rPr>
        </w:r>
        <w:r>
          <w:rPr>
            <w:webHidden/>
          </w:rPr>
          <w:fldChar w:fldCharType="separate"/>
        </w:r>
        <w:r>
          <w:rPr>
            <w:webHidden/>
          </w:rPr>
          <w:t>17</w:t>
        </w:r>
        <w:r>
          <w:rPr>
            <w:webHidden/>
          </w:rPr>
          <w:fldChar w:fldCharType="end"/>
        </w:r>
      </w:hyperlink>
    </w:p>
    <w:p w14:paraId="5D83EB2E" w14:textId="21E15F5F"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71" w:history="1">
        <w:r w:rsidRPr="00212979">
          <w:rPr>
            <w:rStyle w:val="Hyperlink"/>
          </w:rPr>
          <w:t>8.6</w:t>
        </w:r>
        <w:r>
          <w:rPr>
            <w:rFonts w:asciiTheme="minorHAnsi" w:eastAsiaTheme="minorEastAsia" w:hAnsiTheme="minorHAnsi" w:cstheme="minorBidi"/>
            <w:kern w:val="2"/>
            <w:szCs w:val="24"/>
            <w:lang w:val="en-DE" w:eastAsia="en-GB"/>
            <w14:ligatures w14:val="standardContextual"/>
          </w:rPr>
          <w:tab/>
        </w:r>
        <w:r w:rsidRPr="00212979">
          <w:rPr>
            <w:rStyle w:val="Hyperlink"/>
          </w:rPr>
          <w:t>Progress Reporting and the Readiness Gate</w:t>
        </w:r>
        <w:r>
          <w:rPr>
            <w:webHidden/>
          </w:rPr>
          <w:tab/>
        </w:r>
        <w:r>
          <w:rPr>
            <w:webHidden/>
          </w:rPr>
          <w:fldChar w:fldCharType="begin"/>
        </w:r>
        <w:r>
          <w:rPr>
            <w:webHidden/>
          </w:rPr>
          <w:instrText xml:space="preserve"> PAGEREF _Toc236492771 \h </w:instrText>
        </w:r>
        <w:r>
          <w:rPr>
            <w:webHidden/>
          </w:rPr>
        </w:r>
        <w:r>
          <w:rPr>
            <w:webHidden/>
          </w:rPr>
          <w:fldChar w:fldCharType="separate"/>
        </w:r>
        <w:r>
          <w:rPr>
            <w:webHidden/>
          </w:rPr>
          <w:t>17</w:t>
        </w:r>
        <w:r>
          <w:rPr>
            <w:webHidden/>
          </w:rPr>
          <w:fldChar w:fldCharType="end"/>
        </w:r>
      </w:hyperlink>
    </w:p>
    <w:p w14:paraId="28E23EBF" w14:textId="6C368E20"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72" w:history="1">
        <w:r w:rsidRPr="00212979">
          <w:rPr>
            <w:rStyle w:val="Hyperlink"/>
          </w:rPr>
          <w:t>8.7</w:t>
        </w:r>
        <w:r>
          <w:rPr>
            <w:rFonts w:asciiTheme="minorHAnsi" w:eastAsiaTheme="minorEastAsia" w:hAnsiTheme="minorHAnsi" w:cstheme="minorBidi"/>
            <w:kern w:val="2"/>
            <w:szCs w:val="24"/>
            <w:lang w:val="en-DE" w:eastAsia="en-GB"/>
            <w14:ligatures w14:val="standardContextual"/>
          </w:rPr>
          <w:tab/>
        </w:r>
        <w:r w:rsidRPr="00212979">
          <w:rPr>
            <w:rStyle w:val="Hyperlink"/>
          </w:rPr>
          <w:t>Contributing a Frontend Panel</w:t>
        </w:r>
        <w:r>
          <w:rPr>
            <w:webHidden/>
          </w:rPr>
          <w:tab/>
        </w:r>
        <w:r>
          <w:rPr>
            <w:webHidden/>
          </w:rPr>
          <w:fldChar w:fldCharType="begin"/>
        </w:r>
        <w:r>
          <w:rPr>
            <w:webHidden/>
          </w:rPr>
          <w:instrText xml:space="preserve"> PAGEREF _Toc236492772 \h </w:instrText>
        </w:r>
        <w:r>
          <w:rPr>
            <w:webHidden/>
          </w:rPr>
        </w:r>
        <w:r>
          <w:rPr>
            <w:webHidden/>
          </w:rPr>
          <w:fldChar w:fldCharType="separate"/>
        </w:r>
        <w:r>
          <w:rPr>
            <w:webHidden/>
          </w:rPr>
          <w:t>17</w:t>
        </w:r>
        <w:r>
          <w:rPr>
            <w:webHidden/>
          </w:rPr>
          <w:fldChar w:fldCharType="end"/>
        </w:r>
      </w:hyperlink>
    </w:p>
    <w:p w14:paraId="0A8DE29B" w14:textId="31E0513E"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73" w:history="1">
        <w:r w:rsidRPr="00212979">
          <w:rPr>
            <w:rStyle w:val="Hyperlink"/>
          </w:rPr>
          <w:t>8.8</w:t>
        </w:r>
        <w:r>
          <w:rPr>
            <w:rFonts w:asciiTheme="minorHAnsi" w:eastAsiaTheme="minorEastAsia" w:hAnsiTheme="minorHAnsi" w:cstheme="minorBidi"/>
            <w:kern w:val="2"/>
            <w:szCs w:val="24"/>
            <w:lang w:val="en-DE" w:eastAsia="en-GB"/>
            <w14:ligatures w14:val="standardContextual"/>
          </w:rPr>
          <w:tab/>
        </w:r>
        <w:r w:rsidRPr="00212979">
          <w:rPr>
            <w:rStyle w:val="Hyperlink"/>
          </w:rPr>
          <w:t>Testing and Verification</w:t>
        </w:r>
        <w:r>
          <w:rPr>
            <w:webHidden/>
          </w:rPr>
          <w:tab/>
        </w:r>
        <w:r>
          <w:rPr>
            <w:webHidden/>
          </w:rPr>
          <w:fldChar w:fldCharType="begin"/>
        </w:r>
        <w:r>
          <w:rPr>
            <w:webHidden/>
          </w:rPr>
          <w:instrText xml:space="preserve"> PAGEREF _Toc236492773 \h </w:instrText>
        </w:r>
        <w:r>
          <w:rPr>
            <w:webHidden/>
          </w:rPr>
        </w:r>
        <w:r>
          <w:rPr>
            <w:webHidden/>
          </w:rPr>
          <w:fldChar w:fldCharType="separate"/>
        </w:r>
        <w:r>
          <w:rPr>
            <w:webHidden/>
          </w:rPr>
          <w:t>17</w:t>
        </w:r>
        <w:r>
          <w:rPr>
            <w:webHidden/>
          </w:rPr>
          <w:fldChar w:fldCharType="end"/>
        </w:r>
      </w:hyperlink>
    </w:p>
    <w:p w14:paraId="003B1726" w14:textId="1A35FF75"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74" w:history="1">
        <w:r w:rsidRPr="00212979">
          <w:rPr>
            <w:rStyle w:val="Hyperlink"/>
          </w:rPr>
          <w:t>8.9</w:t>
        </w:r>
        <w:r>
          <w:rPr>
            <w:rFonts w:asciiTheme="minorHAnsi" w:eastAsiaTheme="minorEastAsia" w:hAnsiTheme="minorHAnsi" w:cstheme="minorBidi"/>
            <w:kern w:val="2"/>
            <w:szCs w:val="24"/>
            <w:lang w:val="en-DE" w:eastAsia="en-GB"/>
            <w14:ligatures w14:val="standardContextual"/>
          </w:rPr>
          <w:tab/>
        </w:r>
        <w:r w:rsidRPr="00212979">
          <w:rPr>
            <w:rStyle w:val="Hyperlink"/>
          </w:rPr>
          <w:t>Packaging, Distribution, and Installation</w:t>
        </w:r>
        <w:r>
          <w:rPr>
            <w:webHidden/>
          </w:rPr>
          <w:tab/>
        </w:r>
        <w:r>
          <w:rPr>
            <w:webHidden/>
          </w:rPr>
          <w:fldChar w:fldCharType="begin"/>
        </w:r>
        <w:r>
          <w:rPr>
            <w:webHidden/>
          </w:rPr>
          <w:instrText xml:space="preserve"> PAGEREF _Toc236492774 \h </w:instrText>
        </w:r>
        <w:r>
          <w:rPr>
            <w:webHidden/>
          </w:rPr>
        </w:r>
        <w:r>
          <w:rPr>
            <w:webHidden/>
          </w:rPr>
          <w:fldChar w:fldCharType="separate"/>
        </w:r>
        <w:r>
          <w:rPr>
            <w:webHidden/>
          </w:rPr>
          <w:t>17</w:t>
        </w:r>
        <w:r>
          <w:rPr>
            <w:webHidden/>
          </w:rPr>
          <w:fldChar w:fldCharType="end"/>
        </w:r>
      </w:hyperlink>
    </w:p>
    <w:p w14:paraId="75F3C12D" w14:textId="4D5D499E"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75" w:history="1">
        <w:r w:rsidRPr="00212979">
          <w:rPr>
            <w:rStyle w:val="Hyperlink"/>
          </w:rPr>
          <w:t>8.10</w:t>
        </w:r>
        <w:r>
          <w:rPr>
            <w:rFonts w:asciiTheme="minorHAnsi" w:eastAsiaTheme="minorEastAsia" w:hAnsiTheme="minorHAnsi" w:cstheme="minorBidi"/>
            <w:kern w:val="2"/>
            <w:szCs w:val="24"/>
            <w:lang w:val="en-DE" w:eastAsia="en-GB"/>
            <w14:ligatures w14:val="standardContextual"/>
          </w:rPr>
          <w:tab/>
        </w:r>
        <w:r w:rsidRPr="00212979">
          <w:rPr>
            <w:rStyle w:val="Hyperlink"/>
          </w:rPr>
          <w:t>A Non-Python Module in Brief</w:t>
        </w:r>
        <w:r>
          <w:rPr>
            <w:webHidden/>
          </w:rPr>
          <w:tab/>
        </w:r>
        <w:r>
          <w:rPr>
            <w:webHidden/>
          </w:rPr>
          <w:fldChar w:fldCharType="begin"/>
        </w:r>
        <w:r>
          <w:rPr>
            <w:webHidden/>
          </w:rPr>
          <w:instrText xml:space="preserve"> PAGEREF _Toc236492775 \h </w:instrText>
        </w:r>
        <w:r>
          <w:rPr>
            <w:webHidden/>
          </w:rPr>
        </w:r>
        <w:r>
          <w:rPr>
            <w:webHidden/>
          </w:rPr>
          <w:fldChar w:fldCharType="separate"/>
        </w:r>
        <w:r>
          <w:rPr>
            <w:webHidden/>
          </w:rPr>
          <w:t>18</w:t>
        </w:r>
        <w:r>
          <w:rPr>
            <w:webHidden/>
          </w:rPr>
          <w:fldChar w:fldCharType="end"/>
        </w:r>
      </w:hyperlink>
    </w:p>
    <w:p w14:paraId="2346DA48" w14:textId="7C748202"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76" w:history="1">
        <w:r w:rsidRPr="00212979">
          <w:rPr>
            <w:rStyle w:val="Hyperlink"/>
          </w:rPr>
          <w:t>8.11</w:t>
        </w:r>
        <w:r>
          <w:rPr>
            <w:rFonts w:asciiTheme="minorHAnsi" w:eastAsiaTheme="minorEastAsia" w:hAnsiTheme="minorHAnsi" w:cstheme="minorBidi"/>
            <w:kern w:val="2"/>
            <w:szCs w:val="24"/>
            <w:lang w:val="en-DE" w:eastAsia="en-GB"/>
            <w14:ligatures w14:val="standardContextual"/>
          </w:rPr>
          <w:tab/>
        </w:r>
        <w:r w:rsidRPr="00212979">
          <w:rPr>
            <w:rStyle w:val="Hyperlink"/>
          </w:rPr>
          <w:t>Common Failure Modes</w:t>
        </w:r>
        <w:r>
          <w:rPr>
            <w:webHidden/>
          </w:rPr>
          <w:tab/>
        </w:r>
        <w:r>
          <w:rPr>
            <w:webHidden/>
          </w:rPr>
          <w:fldChar w:fldCharType="begin"/>
        </w:r>
        <w:r>
          <w:rPr>
            <w:webHidden/>
          </w:rPr>
          <w:instrText xml:space="preserve"> PAGEREF _Toc236492776 \h </w:instrText>
        </w:r>
        <w:r>
          <w:rPr>
            <w:webHidden/>
          </w:rPr>
        </w:r>
        <w:r>
          <w:rPr>
            <w:webHidden/>
          </w:rPr>
          <w:fldChar w:fldCharType="separate"/>
        </w:r>
        <w:r>
          <w:rPr>
            <w:webHidden/>
          </w:rPr>
          <w:t>18</w:t>
        </w:r>
        <w:r>
          <w:rPr>
            <w:webHidden/>
          </w:rPr>
          <w:fldChar w:fldCharType="end"/>
        </w:r>
      </w:hyperlink>
    </w:p>
    <w:p w14:paraId="7030B27A" w14:textId="47E0F7BB"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77" w:history="1">
        <w:r w:rsidRPr="00212979">
          <w:rPr>
            <w:rStyle w:val="Hyperlink"/>
          </w:rPr>
          <w:t>8.12</w:t>
        </w:r>
        <w:r>
          <w:rPr>
            <w:rFonts w:asciiTheme="minorHAnsi" w:eastAsiaTheme="minorEastAsia" w:hAnsiTheme="minorHAnsi" w:cstheme="minorBidi"/>
            <w:kern w:val="2"/>
            <w:szCs w:val="24"/>
            <w:lang w:val="en-DE" w:eastAsia="en-GB"/>
            <w14:ligatures w14:val="standardContextual"/>
          </w:rPr>
          <w:tab/>
        </w:r>
        <w:r w:rsidRPr="00212979">
          <w:rPr>
            <w:rStyle w:val="Hyperlink"/>
          </w:rPr>
          <w:t>What the Walkthrough Demonstrates</w:t>
        </w:r>
        <w:r>
          <w:rPr>
            <w:webHidden/>
          </w:rPr>
          <w:tab/>
        </w:r>
        <w:r>
          <w:rPr>
            <w:webHidden/>
          </w:rPr>
          <w:fldChar w:fldCharType="begin"/>
        </w:r>
        <w:r>
          <w:rPr>
            <w:webHidden/>
          </w:rPr>
          <w:instrText xml:space="preserve"> PAGEREF _Toc236492777 \h </w:instrText>
        </w:r>
        <w:r>
          <w:rPr>
            <w:webHidden/>
          </w:rPr>
        </w:r>
        <w:r>
          <w:rPr>
            <w:webHidden/>
          </w:rPr>
          <w:fldChar w:fldCharType="separate"/>
        </w:r>
        <w:r>
          <w:rPr>
            <w:webHidden/>
          </w:rPr>
          <w:t>18</w:t>
        </w:r>
        <w:r>
          <w:rPr>
            <w:webHidden/>
          </w:rPr>
          <w:fldChar w:fldCharType="end"/>
        </w:r>
      </w:hyperlink>
    </w:p>
    <w:p w14:paraId="173BE69D" w14:textId="3D1067ED"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78" w:history="1">
        <w:r w:rsidRPr="00212979">
          <w:rPr>
            <w:rStyle w:val="Hyperlink"/>
          </w:rPr>
          <w:t>9</w:t>
        </w:r>
        <w:r>
          <w:rPr>
            <w:rFonts w:asciiTheme="minorHAnsi" w:eastAsiaTheme="minorEastAsia" w:hAnsiTheme="minorHAnsi" w:cstheme="minorBidi"/>
            <w:kern w:val="2"/>
            <w:szCs w:val="24"/>
            <w:lang w:val="en-DE" w:eastAsia="en-GB"/>
            <w14:ligatures w14:val="standardContextual"/>
          </w:rPr>
          <w:tab/>
        </w:r>
        <w:r w:rsidRPr="00212979">
          <w:rPr>
            <w:rStyle w:val="Hyperlink"/>
          </w:rPr>
          <w:t>Project Organisation</w:t>
        </w:r>
        <w:r>
          <w:rPr>
            <w:webHidden/>
          </w:rPr>
          <w:tab/>
        </w:r>
        <w:r>
          <w:rPr>
            <w:webHidden/>
          </w:rPr>
          <w:fldChar w:fldCharType="begin"/>
        </w:r>
        <w:r>
          <w:rPr>
            <w:webHidden/>
          </w:rPr>
          <w:instrText xml:space="preserve"> PAGEREF _Toc236492778 \h </w:instrText>
        </w:r>
        <w:r>
          <w:rPr>
            <w:webHidden/>
          </w:rPr>
        </w:r>
        <w:r>
          <w:rPr>
            <w:webHidden/>
          </w:rPr>
          <w:fldChar w:fldCharType="separate"/>
        </w:r>
        <w:r>
          <w:rPr>
            <w:webHidden/>
          </w:rPr>
          <w:t>19</w:t>
        </w:r>
        <w:r>
          <w:rPr>
            <w:webHidden/>
          </w:rPr>
          <w:fldChar w:fldCharType="end"/>
        </w:r>
      </w:hyperlink>
    </w:p>
    <w:p w14:paraId="700AC4E9" w14:textId="0B6CF23B"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79" w:history="1">
        <w:r w:rsidRPr="00212979">
          <w:rPr>
            <w:rStyle w:val="Hyperlink"/>
          </w:rPr>
          <w:t>9.1</w:t>
        </w:r>
        <w:r>
          <w:rPr>
            <w:rFonts w:asciiTheme="minorHAnsi" w:eastAsiaTheme="minorEastAsia" w:hAnsiTheme="minorHAnsi" w:cstheme="minorBidi"/>
            <w:kern w:val="2"/>
            <w:szCs w:val="24"/>
            <w:lang w:val="en-DE" w:eastAsia="en-GB"/>
            <w14:ligatures w14:val="standardContextual"/>
          </w:rPr>
          <w:tab/>
        </w:r>
        <w:r w:rsidRPr="00212979">
          <w:rPr>
            <w:rStyle w:val="Hyperlink"/>
          </w:rPr>
          <w:t>Team, Roles, and Working Model</w:t>
        </w:r>
        <w:r>
          <w:rPr>
            <w:webHidden/>
          </w:rPr>
          <w:tab/>
        </w:r>
        <w:r>
          <w:rPr>
            <w:webHidden/>
          </w:rPr>
          <w:fldChar w:fldCharType="begin"/>
        </w:r>
        <w:r>
          <w:rPr>
            <w:webHidden/>
          </w:rPr>
          <w:instrText xml:space="preserve"> PAGEREF _Toc236492779 \h </w:instrText>
        </w:r>
        <w:r>
          <w:rPr>
            <w:webHidden/>
          </w:rPr>
        </w:r>
        <w:r>
          <w:rPr>
            <w:webHidden/>
          </w:rPr>
          <w:fldChar w:fldCharType="separate"/>
        </w:r>
        <w:r>
          <w:rPr>
            <w:webHidden/>
          </w:rPr>
          <w:t>19</w:t>
        </w:r>
        <w:r>
          <w:rPr>
            <w:webHidden/>
          </w:rPr>
          <w:fldChar w:fldCharType="end"/>
        </w:r>
      </w:hyperlink>
    </w:p>
    <w:p w14:paraId="68312178" w14:textId="376E0461"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80" w:history="1">
        <w:r w:rsidRPr="00212979">
          <w:rPr>
            <w:rStyle w:val="Hyperlink"/>
          </w:rPr>
          <w:t>9.2</w:t>
        </w:r>
        <w:r>
          <w:rPr>
            <w:rFonts w:asciiTheme="minorHAnsi" w:eastAsiaTheme="minorEastAsia" w:hAnsiTheme="minorHAnsi" w:cstheme="minorBidi"/>
            <w:kern w:val="2"/>
            <w:szCs w:val="24"/>
            <w:lang w:val="en-DE" w:eastAsia="en-GB"/>
            <w14:ligatures w14:val="standardContextual"/>
          </w:rPr>
          <w:tab/>
        </w:r>
        <w:r w:rsidRPr="00212979">
          <w:rPr>
            <w:rStyle w:val="Hyperlink"/>
          </w:rPr>
          <w:t>Timeline and Milestones</w:t>
        </w:r>
        <w:r>
          <w:rPr>
            <w:webHidden/>
          </w:rPr>
          <w:tab/>
        </w:r>
        <w:r>
          <w:rPr>
            <w:webHidden/>
          </w:rPr>
          <w:fldChar w:fldCharType="begin"/>
        </w:r>
        <w:r>
          <w:rPr>
            <w:webHidden/>
          </w:rPr>
          <w:instrText xml:space="preserve"> PAGEREF _Toc236492780 \h </w:instrText>
        </w:r>
        <w:r>
          <w:rPr>
            <w:webHidden/>
          </w:rPr>
        </w:r>
        <w:r>
          <w:rPr>
            <w:webHidden/>
          </w:rPr>
          <w:fldChar w:fldCharType="separate"/>
        </w:r>
        <w:r>
          <w:rPr>
            <w:webHidden/>
          </w:rPr>
          <w:t>19</w:t>
        </w:r>
        <w:r>
          <w:rPr>
            <w:webHidden/>
          </w:rPr>
          <w:fldChar w:fldCharType="end"/>
        </w:r>
      </w:hyperlink>
    </w:p>
    <w:p w14:paraId="3FDDD7FA" w14:textId="538B5856"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81" w:history="1">
        <w:r w:rsidRPr="00212979">
          <w:rPr>
            <w:rStyle w:val="Hyperlink"/>
          </w:rPr>
          <w:t>9.3</w:t>
        </w:r>
        <w:r>
          <w:rPr>
            <w:rFonts w:asciiTheme="minorHAnsi" w:eastAsiaTheme="minorEastAsia" w:hAnsiTheme="minorHAnsi" w:cstheme="minorBidi"/>
            <w:kern w:val="2"/>
            <w:szCs w:val="24"/>
            <w:lang w:val="en-DE" w:eastAsia="en-GB"/>
            <w14:ligatures w14:val="standardContextual"/>
          </w:rPr>
          <w:tab/>
        </w:r>
        <w:r w:rsidRPr="00212979">
          <w:rPr>
            <w:rStyle w:val="Hyperlink"/>
          </w:rPr>
          <w:t>Development Practice and Quality Assurance</w:t>
        </w:r>
        <w:r>
          <w:rPr>
            <w:webHidden/>
          </w:rPr>
          <w:tab/>
        </w:r>
        <w:r>
          <w:rPr>
            <w:webHidden/>
          </w:rPr>
          <w:fldChar w:fldCharType="begin"/>
        </w:r>
        <w:r>
          <w:rPr>
            <w:webHidden/>
          </w:rPr>
          <w:instrText xml:space="preserve"> PAGEREF _Toc236492781 \h </w:instrText>
        </w:r>
        <w:r>
          <w:rPr>
            <w:webHidden/>
          </w:rPr>
        </w:r>
        <w:r>
          <w:rPr>
            <w:webHidden/>
          </w:rPr>
          <w:fldChar w:fldCharType="separate"/>
        </w:r>
        <w:r>
          <w:rPr>
            <w:webHidden/>
          </w:rPr>
          <w:t>19</w:t>
        </w:r>
        <w:r>
          <w:rPr>
            <w:webHidden/>
          </w:rPr>
          <w:fldChar w:fldCharType="end"/>
        </w:r>
      </w:hyperlink>
    </w:p>
    <w:p w14:paraId="3CB3746D" w14:textId="31227A27"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82" w:history="1">
        <w:r w:rsidRPr="00212979">
          <w:rPr>
            <w:rStyle w:val="Hyperlink"/>
          </w:rPr>
          <w:t>9.4</w:t>
        </w:r>
        <w:r>
          <w:rPr>
            <w:rFonts w:asciiTheme="minorHAnsi" w:eastAsiaTheme="minorEastAsia" w:hAnsiTheme="minorHAnsi" w:cstheme="minorBidi"/>
            <w:kern w:val="2"/>
            <w:szCs w:val="24"/>
            <w:lang w:val="en-DE" w:eastAsia="en-GB"/>
            <w14:ligatures w14:val="standardContextual"/>
          </w:rPr>
          <w:tab/>
        </w:r>
        <w:r w:rsidRPr="00212979">
          <w:rPr>
            <w:rStyle w:val="Hyperlink"/>
          </w:rPr>
          <w:t>Significant Difficulties During the Project</w:t>
        </w:r>
        <w:r>
          <w:rPr>
            <w:webHidden/>
          </w:rPr>
          <w:tab/>
        </w:r>
        <w:r>
          <w:rPr>
            <w:webHidden/>
          </w:rPr>
          <w:fldChar w:fldCharType="begin"/>
        </w:r>
        <w:r>
          <w:rPr>
            <w:webHidden/>
          </w:rPr>
          <w:instrText xml:space="preserve"> PAGEREF _Toc236492782 \h </w:instrText>
        </w:r>
        <w:r>
          <w:rPr>
            <w:webHidden/>
          </w:rPr>
        </w:r>
        <w:r>
          <w:rPr>
            <w:webHidden/>
          </w:rPr>
          <w:fldChar w:fldCharType="separate"/>
        </w:r>
        <w:r>
          <w:rPr>
            <w:webHidden/>
          </w:rPr>
          <w:t>19</w:t>
        </w:r>
        <w:r>
          <w:rPr>
            <w:webHidden/>
          </w:rPr>
          <w:fldChar w:fldCharType="end"/>
        </w:r>
      </w:hyperlink>
    </w:p>
    <w:p w14:paraId="4B8654EF" w14:textId="29EBB94C"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83" w:history="1">
        <w:r w:rsidRPr="00212979">
          <w:rPr>
            <w:rStyle w:val="Hyperlink"/>
          </w:rPr>
          <w:t>10</w:t>
        </w:r>
        <w:r>
          <w:rPr>
            <w:rFonts w:asciiTheme="minorHAnsi" w:eastAsiaTheme="minorEastAsia" w:hAnsiTheme="minorHAnsi" w:cstheme="minorBidi"/>
            <w:kern w:val="2"/>
            <w:szCs w:val="24"/>
            <w:lang w:val="en-DE" w:eastAsia="en-GB"/>
            <w14:ligatures w14:val="standardContextual"/>
          </w:rPr>
          <w:tab/>
        </w:r>
        <w:r w:rsidRPr="00212979">
          <w:rPr>
            <w:rStyle w:val="Hyperlink"/>
          </w:rPr>
          <w:t>Evaluation</w:t>
        </w:r>
        <w:r>
          <w:rPr>
            <w:webHidden/>
          </w:rPr>
          <w:tab/>
        </w:r>
        <w:r>
          <w:rPr>
            <w:webHidden/>
          </w:rPr>
          <w:fldChar w:fldCharType="begin"/>
        </w:r>
        <w:r>
          <w:rPr>
            <w:webHidden/>
          </w:rPr>
          <w:instrText xml:space="preserve"> PAGEREF _Toc236492783 \h </w:instrText>
        </w:r>
        <w:r>
          <w:rPr>
            <w:webHidden/>
          </w:rPr>
        </w:r>
        <w:r>
          <w:rPr>
            <w:webHidden/>
          </w:rPr>
          <w:fldChar w:fldCharType="separate"/>
        </w:r>
        <w:r>
          <w:rPr>
            <w:webHidden/>
          </w:rPr>
          <w:t>20</w:t>
        </w:r>
        <w:r>
          <w:rPr>
            <w:webHidden/>
          </w:rPr>
          <w:fldChar w:fldCharType="end"/>
        </w:r>
      </w:hyperlink>
    </w:p>
    <w:p w14:paraId="7B753EC5" w14:textId="3DC18369"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84" w:history="1">
        <w:r w:rsidRPr="00212979">
          <w:rPr>
            <w:rStyle w:val="Hyperlink"/>
          </w:rPr>
          <w:t>10.1</w:t>
        </w:r>
        <w:r>
          <w:rPr>
            <w:rFonts w:asciiTheme="minorHAnsi" w:eastAsiaTheme="minorEastAsia" w:hAnsiTheme="minorHAnsi" w:cstheme="minorBidi"/>
            <w:kern w:val="2"/>
            <w:szCs w:val="24"/>
            <w:lang w:val="en-DE" w:eastAsia="en-GB"/>
            <w14:ligatures w14:val="standardContextual"/>
          </w:rPr>
          <w:tab/>
        </w:r>
        <w:r w:rsidRPr="00212979">
          <w:rPr>
            <w:rStyle w:val="Hyperlink"/>
          </w:rPr>
          <w:t>Evaluation Design</w:t>
        </w:r>
        <w:r>
          <w:rPr>
            <w:webHidden/>
          </w:rPr>
          <w:tab/>
        </w:r>
        <w:r>
          <w:rPr>
            <w:webHidden/>
          </w:rPr>
          <w:fldChar w:fldCharType="begin"/>
        </w:r>
        <w:r>
          <w:rPr>
            <w:webHidden/>
          </w:rPr>
          <w:instrText xml:space="preserve"> PAGEREF _Toc236492784 \h </w:instrText>
        </w:r>
        <w:r>
          <w:rPr>
            <w:webHidden/>
          </w:rPr>
        </w:r>
        <w:r>
          <w:rPr>
            <w:webHidden/>
          </w:rPr>
          <w:fldChar w:fldCharType="separate"/>
        </w:r>
        <w:r>
          <w:rPr>
            <w:webHidden/>
          </w:rPr>
          <w:t>20</w:t>
        </w:r>
        <w:r>
          <w:rPr>
            <w:webHidden/>
          </w:rPr>
          <w:fldChar w:fldCharType="end"/>
        </w:r>
      </w:hyperlink>
    </w:p>
    <w:p w14:paraId="5BF605A0" w14:textId="2F90D63C"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85" w:history="1">
        <w:r w:rsidRPr="00212979">
          <w:rPr>
            <w:rStyle w:val="Hyperlink"/>
          </w:rPr>
          <w:t>10.2</w:t>
        </w:r>
        <w:r>
          <w:rPr>
            <w:rFonts w:asciiTheme="minorHAnsi" w:eastAsiaTheme="minorEastAsia" w:hAnsiTheme="minorHAnsi" w:cstheme="minorBidi"/>
            <w:kern w:val="2"/>
            <w:szCs w:val="24"/>
            <w:lang w:val="en-DE" w:eastAsia="en-GB"/>
            <w14:ligatures w14:val="standardContextual"/>
          </w:rPr>
          <w:tab/>
        </w:r>
        <w:r w:rsidRPr="00212979">
          <w:rPr>
            <w:rStyle w:val="Hyperlink"/>
          </w:rPr>
          <w:t>Achievement of the Stated Objectives</w:t>
        </w:r>
        <w:r>
          <w:rPr>
            <w:webHidden/>
          </w:rPr>
          <w:tab/>
        </w:r>
        <w:r>
          <w:rPr>
            <w:webHidden/>
          </w:rPr>
          <w:fldChar w:fldCharType="begin"/>
        </w:r>
        <w:r>
          <w:rPr>
            <w:webHidden/>
          </w:rPr>
          <w:instrText xml:space="preserve"> PAGEREF _Toc236492785 \h </w:instrText>
        </w:r>
        <w:r>
          <w:rPr>
            <w:webHidden/>
          </w:rPr>
        </w:r>
        <w:r>
          <w:rPr>
            <w:webHidden/>
          </w:rPr>
          <w:fldChar w:fldCharType="separate"/>
        </w:r>
        <w:r>
          <w:rPr>
            <w:webHidden/>
          </w:rPr>
          <w:t>20</w:t>
        </w:r>
        <w:r>
          <w:rPr>
            <w:webHidden/>
          </w:rPr>
          <w:fldChar w:fldCharType="end"/>
        </w:r>
      </w:hyperlink>
    </w:p>
    <w:p w14:paraId="0842A0EC" w14:textId="0A13109E"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86" w:history="1">
        <w:r w:rsidRPr="00212979">
          <w:rPr>
            <w:rStyle w:val="Hyperlink"/>
          </w:rPr>
          <w:t>10.3</w:t>
        </w:r>
        <w:r>
          <w:rPr>
            <w:rFonts w:asciiTheme="minorHAnsi" w:eastAsiaTheme="minorEastAsia" w:hAnsiTheme="minorHAnsi" w:cstheme="minorBidi"/>
            <w:kern w:val="2"/>
            <w:szCs w:val="24"/>
            <w:lang w:val="en-DE" w:eastAsia="en-GB"/>
            <w14:ligatures w14:val="standardContextual"/>
          </w:rPr>
          <w:tab/>
        </w:r>
        <w:r w:rsidRPr="00212979">
          <w:rPr>
            <w:rStyle w:val="Hyperlink"/>
          </w:rPr>
          <w:t>Comparative Assessment against Existing Platforms</w:t>
        </w:r>
        <w:r>
          <w:rPr>
            <w:webHidden/>
          </w:rPr>
          <w:tab/>
        </w:r>
        <w:r>
          <w:rPr>
            <w:webHidden/>
          </w:rPr>
          <w:fldChar w:fldCharType="begin"/>
        </w:r>
        <w:r>
          <w:rPr>
            <w:webHidden/>
          </w:rPr>
          <w:instrText xml:space="preserve"> PAGEREF _Toc236492786 \h </w:instrText>
        </w:r>
        <w:r>
          <w:rPr>
            <w:webHidden/>
          </w:rPr>
        </w:r>
        <w:r>
          <w:rPr>
            <w:webHidden/>
          </w:rPr>
          <w:fldChar w:fldCharType="separate"/>
        </w:r>
        <w:r>
          <w:rPr>
            <w:webHidden/>
          </w:rPr>
          <w:t>20</w:t>
        </w:r>
        <w:r>
          <w:rPr>
            <w:webHidden/>
          </w:rPr>
          <w:fldChar w:fldCharType="end"/>
        </w:r>
      </w:hyperlink>
    </w:p>
    <w:p w14:paraId="7F243062" w14:textId="28412E87"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87" w:history="1">
        <w:r w:rsidRPr="00212979">
          <w:rPr>
            <w:rStyle w:val="Hyperlink"/>
          </w:rPr>
          <w:t>10.4</w:t>
        </w:r>
        <w:r>
          <w:rPr>
            <w:rFonts w:asciiTheme="minorHAnsi" w:eastAsiaTheme="minorEastAsia" w:hAnsiTheme="minorHAnsi" w:cstheme="minorBidi"/>
            <w:kern w:val="2"/>
            <w:szCs w:val="24"/>
            <w:lang w:val="en-DE" w:eastAsia="en-GB"/>
            <w14:ligatures w14:val="standardContextual"/>
          </w:rPr>
          <w:tab/>
        </w:r>
        <w:r w:rsidRPr="00212979">
          <w:rPr>
            <w:rStyle w:val="Hyperlink"/>
          </w:rPr>
          <w:t>Extensibility: Measured Rather than Asserted</w:t>
        </w:r>
        <w:r>
          <w:rPr>
            <w:webHidden/>
          </w:rPr>
          <w:tab/>
        </w:r>
        <w:r>
          <w:rPr>
            <w:webHidden/>
          </w:rPr>
          <w:fldChar w:fldCharType="begin"/>
        </w:r>
        <w:r>
          <w:rPr>
            <w:webHidden/>
          </w:rPr>
          <w:instrText xml:space="preserve"> PAGEREF _Toc236492787 \h </w:instrText>
        </w:r>
        <w:r>
          <w:rPr>
            <w:webHidden/>
          </w:rPr>
        </w:r>
        <w:r>
          <w:rPr>
            <w:webHidden/>
          </w:rPr>
          <w:fldChar w:fldCharType="separate"/>
        </w:r>
        <w:r>
          <w:rPr>
            <w:webHidden/>
          </w:rPr>
          <w:t>20</w:t>
        </w:r>
        <w:r>
          <w:rPr>
            <w:webHidden/>
          </w:rPr>
          <w:fldChar w:fldCharType="end"/>
        </w:r>
      </w:hyperlink>
    </w:p>
    <w:p w14:paraId="2A6117B7" w14:textId="13F5C62C"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88" w:history="1">
        <w:r w:rsidRPr="00212979">
          <w:rPr>
            <w:rStyle w:val="Hyperlink"/>
          </w:rPr>
          <w:t>10.5</w:t>
        </w:r>
        <w:r>
          <w:rPr>
            <w:rFonts w:asciiTheme="minorHAnsi" w:eastAsiaTheme="minorEastAsia" w:hAnsiTheme="minorHAnsi" w:cstheme="minorBidi"/>
            <w:kern w:val="2"/>
            <w:szCs w:val="24"/>
            <w:lang w:val="en-DE" w:eastAsia="en-GB"/>
            <w14:ligatures w14:val="standardContextual"/>
          </w:rPr>
          <w:tab/>
        </w:r>
        <w:r w:rsidRPr="00212979">
          <w:rPr>
            <w:rStyle w:val="Hyperlink"/>
          </w:rPr>
          <w:t>Performance and Scaling Behaviour</w:t>
        </w:r>
        <w:r>
          <w:rPr>
            <w:webHidden/>
          </w:rPr>
          <w:tab/>
        </w:r>
        <w:r>
          <w:rPr>
            <w:webHidden/>
          </w:rPr>
          <w:fldChar w:fldCharType="begin"/>
        </w:r>
        <w:r>
          <w:rPr>
            <w:webHidden/>
          </w:rPr>
          <w:instrText xml:space="preserve"> PAGEREF _Toc236492788 \h </w:instrText>
        </w:r>
        <w:r>
          <w:rPr>
            <w:webHidden/>
          </w:rPr>
        </w:r>
        <w:r>
          <w:rPr>
            <w:webHidden/>
          </w:rPr>
          <w:fldChar w:fldCharType="separate"/>
        </w:r>
        <w:r>
          <w:rPr>
            <w:webHidden/>
          </w:rPr>
          <w:t>20</w:t>
        </w:r>
        <w:r>
          <w:rPr>
            <w:webHidden/>
          </w:rPr>
          <w:fldChar w:fldCharType="end"/>
        </w:r>
      </w:hyperlink>
    </w:p>
    <w:p w14:paraId="69D7818C" w14:textId="6E9E66C5"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89" w:history="1">
        <w:r w:rsidRPr="00212979">
          <w:rPr>
            <w:rStyle w:val="Hyperlink"/>
          </w:rPr>
          <w:t>10.6</w:t>
        </w:r>
        <w:r>
          <w:rPr>
            <w:rFonts w:asciiTheme="minorHAnsi" w:eastAsiaTheme="minorEastAsia" w:hAnsiTheme="minorHAnsi" w:cstheme="minorBidi"/>
            <w:kern w:val="2"/>
            <w:szCs w:val="24"/>
            <w:lang w:val="en-DE" w:eastAsia="en-GB"/>
            <w14:ligatures w14:val="standardContextual"/>
          </w:rPr>
          <w:tab/>
        </w:r>
        <w:r w:rsidRPr="00212979">
          <w:rPr>
            <w:rStyle w:val="Hyperlink"/>
          </w:rPr>
          <w:t>Threats to Validity</w:t>
        </w:r>
        <w:r>
          <w:rPr>
            <w:webHidden/>
          </w:rPr>
          <w:tab/>
        </w:r>
        <w:r>
          <w:rPr>
            <w:webHidden/>
          </w:rPr>
          <w:fldChar w:fldCharType="begin"/>
        </w:r>
        <w:r>
          <w:rPr>
            <w:webHidden/>
          </w:rPr>
          <w:instrText xml:space="preserve"> PAGEREF _Toc236492789 \h </w:instrText>
        </w:r>
        <w:r>
          <w:rPr>
            <w:webHidden/>
          </w:rPr>
        </w:r>
        <w:r>
          <w:rPr>
            <w:webHidden/>
          </w:rPr>
          <w:fldChar w:fldCharType="separate"/>
        </w:r>
        <w:r>
          <w:rPr>
            <w:webHidden/>
          </w:rPr>
          <w:t>21</w:t>
        </w:r>
        <w:r>
          <w:rPr>
            <w:webHidden/>
          </w:rPr>
          <w:fldChar w:fldCharType="end"/>
        </w:r>
      </w:hyperlink>
    </w:p>
    <w:p w14:paraId="0B91CF4C" w14:textId="621BFDC0"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90" w:history="1">
        <w:r w:rsidRPr="00212979">
          <w:rPr>
            <w:rStyle w:val="Hyperlink"/>
          </w:rPr>
          <w:t>11</w:t>
        </w:r>
        <w:r>
          <w:rPr>
            <w:rFonts w:asciiTheme="minorHAnsi" w:eastAsiaTheme="minorEastAsia" w:hAnsiTheme="minorHAnsi" w:cstheme="minorBidi"/>
            <w:kern w:val="2"/>
            <w:szCs w:val="24"/>
            <w:lang w:val="en-DE" w:eastAsia="en-GB"/>
            <w14:ligatures w14:val="standardContextual"/>
          </w:rPr>
          <w:tab/>
        </w:r>
        <w:r w:rsidRPr="00212979">
          <w:rPr>
            <w:rStyle w:val="Hyperlink"/>
          </w:rPr>
          <w:t>Discussion: Limitations and Open Questions</w:t>
        </w:r>
        <w:r>
          <w:rPr>
            <w:webHidden/>
          </w:rPr>
          <w:tab/>
        </w:r>
        <w:r>
          <w:rPr>
            <w:webHidden/>
          </w:rPr>
          <w:fldChar w:fldCharType="begin"/>
        </w:r>
        <w:r>
          <w:rPr>
            <w:webHidden/>
          </w:rPr>
          <w:instrText xml:space="preserve"> PAGEREF _Toc236492790 \h </w:instrText>
        </w:r>
        <w:r>
          <w:rPr>
            <w:webHidden/>
          </w:rPr>
        </w:r>
        <w:r>
          <w:rPr>
            <w:webHidden/>
          </w:rPr>
          <w:fldChar w:fldCharType="separate"/>
        </w:r>
        <w:r>
          <w:rPr>
            <w:webHidden/>
          </w:rPr>
          <w:t>22</w:t>
        </w:r>
        <w:r>
          <w:rPr>
            <w:webHidden/>
          </w:rPr>
          <w:fldChar w:fldCharType="end"/>
        </w:r>
      </w:hyperlink>
    </w:p>
    <w:p w14:paraId="73CA5E9D" w14:textId="773ED466"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91" w:history="1">
        <w:r w:rsidRPr="00212979">
          <w:rPr>
            <w:rStyle w:val="Hyperlink"/>
          </w:rPr>
          <w:t>11.1</w:t>
        </w:r>
        <w:r>
          <w:rPr>
            <w:rFonts w:asciiTheme="minorHAnsi" w:eastAsiaTheme="minorEastAsia" w:hAnsiTheme="minorHAnsi" w:cstheme="minorBidi"/>
            <w:kern w:val="2"/>
            <w:szCs w:val="24"/>
            <w:lang w:val="en-DE" w:eastAsia="en-GB"/>
            <w14:ligatures w14:val="standardContextual"/>
          </w:rPr>
          <w:tab/>
        </w:r>
        <w:r w:rsidRPr="00212979">
          <w:rPr>
            <w:rStyle w:val="Hyperlink"/>
          </w:rPr>
          <w:t>Architectural Limitations</w:t>
        </w:r>
        <w:r>
          <w:rPr>
            <w:webHidden/>
          </w:rPr>
          <w:tab/>
        </w:r>
        <w:r>
          <w:rPr>
            <w:webHidden/>
          </w:rPr>
          <w:fldChar w:fldCharType="begin"/>
        </w:r>
        <w:r>
          <w:rPr>
            <w:webHidden/>
          </w:rPr>
          <w:instrText xml:space="preserve"> PAGEREF _Toc236492791 \h </w:instrText>
        </w:r>
        <w:r>
          <w:rPr>
            <w:webHidden/>
          </w:rPr>
        </w:r>
        <w:r>
          <w:rPr>
            <w:webHidden/>
          </w:rPr>
          <w:fldChar w:fldCharType="separate"/>
        </w:r>
        <w:r>
          <w:rPr>
            <w:webHidden/>
          </w:rPr>
          <w:t>22</w:t>
        </w:r>
        <w:r>
          <w:rPr>
            <w:webHidden/>
          </w:rPr>
          <w:fldChar w:fldCharType="end"/>
        </w:r>
      </w:hyperlink>
    </w:p>
    <w:p w14:paraId="359C9C3B" w14:textId="0FD4987C"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92" w:history="1">
        <w:r w:rsidRPr="00212979">
          <w:rPr>
            <w:rStyle w:val="Hyperlink"/>
          </w:rPr>
          <w:t>11.2</w:t>
        </w:r>
        <w:r>
          <w:rPr>
            <w:rFonts w:asciiTheme="minorHAnsi" w:eastAsiaTheme="minorEastAsia" w:hAnsiTheme="minorHAnsi" w:cstheme="minorBidi"/>
            <w:kern w:val="2"/>
            <w:szCs w:val="24"/>
            <w:lang w:val="en-DE" w:eastAsia="en-GB"/>
            <w14:ligatures w14:val="standardContextual"/>
          </w:rPr>
          <w:tab/>
        </w:r>
        <w:r w:rsidRPr="00212979">
          <w:rPr>
            <w:rStyle w:val="Hyperlink"/>
          </w:rPr>
          <w:t>Limitations of the Authoring Experience</w:t>
        </w:r>
        <w:r>
          <w:rPr>
            <w:webHidden/>
          </w:rPr>
          <w:tab/>
        </w:r>
        <w:r>
          <w:rPr>
            <w:webHidden/>
          </w:rPr>
          <w:fldChar w:fldCharType="begin"/>
        </w:r>
        <w:r>
          <w:rPr>
            <w:webHidden/>
          </w:rPr>
          <w:instrText xml:space="preserve"> PAGEREF _Toc236492792 \h </w:instrText>
        </w:r>
        <w:r>
          <w:rPr>
            <w:webHidden/>
          </w:rPr>
        </w:r>
        <w:r>
          <w:rPr>
            <w:webHidden/>
          </w:rPr>
          <w:fldChar w:fldCharType="separate"/>
        </w:r>
        <w:r>
          <w:rPr>
            <w:webHidden/>
          </w:rPr>
          <w:t>22</w:t>
        </w:r>
        <w:r>
          <w:rPr>
            <w:webHidden/>
          </w:rPr>
          <w:fldChar w:fldCharType="end"/>
        </w:r>
      </w:hyperlink>
    </w:p>
    <w:p w14:paraId="54224C30" w14:textId="54B8EB07"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93" w:history="1">
        <w:r w:rsidRPr="00212979">
          <w:rPr>
            <w:rStyle w:val="Hyperlink"/>
          </w:rPr>
          <w:t>11.3</w:t>
        </w:r>
        <w:r>
          <w:rPr>
            <w:rFonts w:asciiTheme="minorHAnsi" w:eastAsiaTheme="minorEastAsia" w:hAnsiTheme="minorHAnsi" w:cstheme="minorBidi"/>
            <w:kern w:val="2"/>
            <w:szCs w:val="24"/>
            <w:lang w:val="en-DE" w:eastAsia="en-GB"/>
            <w14:ligatures w14:val="standardContextual"/>
          </w:rPr>
          <w:tab/>
        </w:r>
        <w:r w:rsidRPr="00212979">
          <w:rPr>
            <w:rStyle w:val="Hyperlink"/>
          </w:rPr>
          <w:t>Functionality Not Realised</w:t>
        </w:r>
        <w:r>
          <w:rPr>
            <w:webHidden/>
          </w:rPr>
          <w:tab/>
        </w:r>
        <w:r>
          <w:rPr>
            <w:webHidden/>
          </w:rPr>
          <w:fldChar w:fldCharType="begin"/>
        </w:r>
        <w:r>
          <w:rPr>
            <w:webHidden/>
          </w:rPr>
          <w:instrText xml:space="preserve"> PAGEREF _Toc236492793 \h </w:instrText>
        </w:r>
        <w:r>
          <w:rPr>
            <w:webHidden/>
          </w:rPr>
        </w:r>
        <w:r>
          <w:rPr>
            <w:webHidden/>
          </w:rPr>
          <w:fldChar w:fldCharType="separate"/>
        </w:r>
        <w:r>
          <w:rPr>
            <w:webHidden/>
          </w:rPr>
          <w:t>22</w:t>
        </w:r>
        <w:r>
          <w:rPr>
            <w:webHidden/>
          </w:rPr>
          <w:fldChar w:fldCharType="end"/>
        </w:r>
      </w:hyperlink>
    </w:p>
    <w:p w14:paraId="42D1B597" w14:textId="213C1E77"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94" w:history="1">
        <w:r w:rsidRPr="00212979">
          <w:rPr>
            <w:rStyle w:val="Hyperlink"/>
          </w:rPr>
          <w:t>11.4</w:t>
        </w:r>
        <w:r>
          <w:rPr>
            <w:rFonts w:asciiTheme="minorHAnsi" w:eastAsiaTheme="minorEastAsia" w:hAnsiTheme="minorHAnsi" w:cstheme="minorBidi"/>
            <w:kern w:val="2"/>
            <w:szCs w:val="24"/>
            <w:lang w:val="en-DE" w:eastAsia="en-GB"/>
            <w14:ligatures w14:val="standardContextual"/>
          </w:rPr>
          <w:tab/>
        </w:r>
        <w:r w:rsidRPr="00212979">
          <w:rPr>
            <w:rStyle w:val="Hyperlink"/>
          </w:rPr>
          <w:t>Open Architectural Seams</w:t>
        </w:r>
        <w:r>
          <w:rPr>
            <w:webHidden/>
          </w:rPr>
          <w:tab/>
        </w:r>
        <w:r>
          <w:rPr>
            <w:webHidden/>
          </w:rPr>
          <w:fldChar w:fldCharType="begin"/>
        </w:r>
        <w:r>
          <w:rPr>
            <w:webHidden/>
          </w:rPr>
          <w:instrText xml:space="preserve"> PAGEREF _Toc236492794 \h </w:instrText>
        </w:r>
        <w:r>
          <w:rPr>
            <w:webHidden/>
          </w:rPr>
        </w:r>
        <w:r>
          <w:rPr>
            <w:webHidden/>
          </w:rPr>
          <w:fldChar w:fldCharType="separate"/>
        </w:r>
        <w:r>
          <w:rPr>
            <w:webHidden/>
          </w:rPr>
          <w:t>22</w:t>
        </w:r>
        <w:r>
          <w:rPr>
            <w:webHidden/>
          </w:rPr>
          <w:fldChar w:fldCharType="end"/>
        </w:r>
      </w:hyperlink>
    </w:p>
    <w:p w14:paraId="023027C5" w14:textId="2828B129"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95" w:history="1">
        <w:r w:rsidRPr="00212979">
          <w:rPr>
            <w:rStyle w:val="Hyperlink"/>
          </w:rPr>
          <w:t>11.5</w:t>
        </w:r>
        <w:r>
          <w:rPr>
            <w:rFonts w:asciiTheme="minorHAnsi" w:eastAsiaTheme="minorEastAsia" w:hAnsiTheme="minorHAnsi" w:cstheme="minorBidi"/>
            <w:kern w:val="2"/>
            <w:szCs w:val="24"/>
            <w:lang w:val="en-DE" w:eastAsia="en-GB"/>
            <w14:ligatures w14:val="standardContextual"/>
          </w:rPr>
          <w:tab/>
        </w:r>
        <w:r w:rsidRPr="00212979">
          <w:rPr>
            <w:rStyle w:val="Hyperlink"/>
          </w:rPr>
          <w:t>Transferability of the Results</w:t>
        </w:r>
        <w:r>
          <w:rPr>
            <w:webHidden/>
          </w:rPr>
          <w:tab/>
        </w:r>
        <w:r>
          <w:rPr>
            <w:webHidden/>
          </w:rPr>
          <w:fldChar w:fldCharType="begin"/>
        </w:r>
        <w:r>
          <w:rPr>
            <w:webHidden/>
          </w:rPr>
          <w:instrText xml:space="preserve"> PAGEREF _Toc236492795 \h </w:instrText>
        </w:r>
        <w:r>
          <w:rPr>
            <w:webHidden/>
          </w:rPr>
        </w:r>
        <w:r>
          <w:rPr>
            <w:webHidden/>
          </w:rPr>
          <w:fldChar w:fldCharType="separate"/>
        </w:r>
        <w:r>
          <w:rPr>
            <w:webHidden/>
          </w:rPr>
          <w:t>22</w:t>
        </w:r>
        <w:r>
          <w:rPr>
            <w:webHidden/>
          </w:rPr>
          <w:fldChar w:fldCharType="end"/>
        </w:r>
      </w:hyperlink>
    </w:p>
    <w:p w14:paraId="0C724FBD" w14:textId="66118636" w:rsidR="00A12F57" w:rsidRDefault="00A12F57">
      <w:pPr>
        <w:pStyle w:val="TOC2"/>
        <w:tabs>
          <w:tab w:val="left" w:pos="1276"/>
        </w:tabs>
        <w:rPr>
          <w:rFonts w:asciiTheme="minorHAnsi" w:eastAsiaTheme="minorEastAsia" w:hAnsiTheme="minorHAnsi" w:cstheme="minorBidi"/>
          <w:kern w:val="2"/>
          <w:szCs w:val="24"/>
          <w:lang w:val="en-DE" w:eastAsia="en-GB"/>
          <w14:ligatures w14:val="standardContextual"/>
        </w:rPr>
      </w:pPr>
      <w:hyperlink w:anchor="_Toc236492796" w:history="1">
        <w:r w:rsidRPr="00212979">
          <w:rPr>
            <w:rStyle w:val="Hyperlink"/>
          </w:rPr>
          <w:t>11.6</w:t>
        </w:r>
        <w:r>
          <w:rPr>
            <w:rFonts w:asciiTheme="minorHAnsi" w:eastAsiaTheme="minorEastAsia" w:hAnsiTheme="minorHAnsi" w:cstheme="minorBidi"/>
            <w:kern w:val="2"/>
            <w:szCs w:val="24"/>
            <w:lang w:val="en-DE" w:eastAsia="en-GB"/>
            <w14:ligatures w14:val="standardContextual"/>
          </w:rPr>
          <w:tab/>
        </w:r>
        <w:r w:rsidRPr="00212979">
          <w:rPr>
            <w:rStyle w:val="Hyperlink"/>
          </w:rPr>
          <w:t>Directions for Future Work</w:t>
        </w:r>
        <w:r>
          <w:rPr>
            <w:webHidden/>
          </w:rPr>
          <w:tab/>
        </w:r>
        <w:r>
          <w:rPr>
            <w:webHidden/>
          </w:rPr>
          <w:fldChar w:fldCharType="begin"/>
        </w:r>
        <w:r>
          <w:rPr>
            <w:webHidden/>
          </w:rPr>
          <w:instrText xml:space="preserve"> PAGEREF _Toc236492796 \h </w:instrText>
        </w:r>
        <w:r>
          <w:rPr>
            <w:webHidden/>
          </w:rPr>
        </w:r>
        <w:r>
          <w:rPr>
            <w:webHidden/>
          </w:rPr>
          <w:fldChar w:fldCharType="separate"/>
        </w:r>
        <w:r>
          <w:rPr>
            <w:webHidden/>
          </w:rPr>
          <w:t>22</w:t>
        </w:r>
        <w:r>
          <w:rPr>
            <w:webHidden/>
          </w:rPr>
          <w:fldChar w:fldCharType="end"/>
        </w:r>
      </w:hyperlink>
    </w:p>
    <w:p w14:paraId="1869CEB8" w14:textId="6C77255D"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97" w:history="1">
        <w:r w:rsidRPr="00212979">
          <w:rPr>
            <w:rStyle w:val="Hyperlink"/>
          </w:rPr>
          <w:t>12</w:t>
        </w:r>
        <w:r>
          <w:rPr>
            <w:rFonts w:asciiTheme="minorHAnsi" w:eastAsiaTheme="minorEastAsia" w:hAnsiTheme="minorHAnsi" w:cstheme="minorBidi"/>
            <w:kern w:val="2"/>
            <w:szCs w:val="24"/>
            <w:lang w:val="en-DE" w:eastAsia="en-GB"/>
            <w14:ligatures w14:val="standardContextual"/>
          </w:rPr>
          <w:tab/>
        </w:r>
        <w:r w:rsidRPr="00212979">
          <w:rPr>
            <w:rStyle w:val="Hyperlink"/>
          </w:rPr>
          <w:t>Conclusion</w:t>
        </w:r>
        <w:r>
          <w:rPr>
            <w:webHidden/>
          </w:rPr>
          <w:tab/>
        </w:r>
        <w:r>
          <w:rPr>
            <w:webHidden/>
          </w:rPr>
          <w:fldChar w:fldCharType="begin"/>
        </w:r>
        <w:r>
          <w:rPr>
            <w:webHidden/>
          </w:rPr>
          <w:instrText xml:space="preserve"> PAGEREF _Toc236492797 \h </w:instrText>
        </w:r>
        <w:r>
          <w:rPr>
            <w:webHidden/>
          </w:rPr>
        </w:r>
        <w:r>
          <w:rPr>
            <w:webHidden/>
          </w:rPr>
          <w:fldChar w:fldCharType="separate"/>
        </w:r>
        <w:r>
          <w:rPr>
            <w:webHidden/>
          </w:rPr>
          <w:t>23</w:t>
        </w:r>
        <w:r>
          <w:rPr>
            <w:webHidden/>
          </w:rPr>
          <w:fldChar w:fldCharType="end"/>
        </w:r>
      </w:hyperlink>
    </w:p>
    <w:p w14:paraId="2E2C3723" w14:textId="5FB8AE97"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98" w:history="1">
        <w:r w:rsidRPr="00212979">
          <w:rPr>
            <w:rStyle w:val="Hyperlink"/>
          </w:rPr>
          <w:t>References</w:t>
        </w:r>
        <w:r>
          <w:rPr>
            <w:webHidden/>
          </w:rPr>
          <w:tab/>
        </w:r>
        <w:r>
          <w:rPr>
            <w:webHidden/>
          </w:rPr>
          <w:fldChar w:fldCharType="begin"/>
        </w:r>
        <w:r>
          <w:rPr>
            <w:webHidden/>
          </w:rPr>
          <w:instrText xml:space="preserve"> PAGEREF _Toc236492798 \h </w:instrText>
        </w:r>
        <w:r>
          <w:rPr>
            <w:webHidden/>
          </w:rPr>
        </w:r>
        <w:r>
          <w:rPr>
            <w:webHidden/>
          </w:rPr>
          <w:fldChar w:fldCharType="separate"/>
        </w:r>
        <w:r>
          <w:rPr>
            <w:webHidden/>
          </w:rPr>
          <w:t>24</w:t>
        </w:r>
        <w:r>
          <w:rPr>
            <w:webHidden/>
          </w:rPr>
          <w:fldChar w:fldCharType="end"/>
        </w:r>
      </w:hyperlink>
    </w:p>
    <w:p w14:paraId="714BFD2F" w14:textId="247A1FFC" w:rsidR="00A12F57" w:rsidRDefault="00A12F57">
      <w:pPr>
        <w:pStyle w:val="TOC1"/>
        <w:rPr>
          <w:rFonts w:asciiTheme="minorHAnsi" w:eastAsiaTheme="minorEastAsia" w:hAnsiTheme="minorHAnsi" w:cstheme="minorBidi"/>
          <w:kern w:val="2"/>
          <w:szCs w:val="24"/>
          <w:lang w:val="en-DE" w:eastAsia="en-GB"/>
          <w14:ligatures w14:val="standardContextual"/>
        </w:rPr>
      </w:pPr>
      <w:hyperlink w:anchor="_Toc236492799" w:history="1">
        <w:r w:rsidRPr="00212979">
          <w:rPr>
            <w:rStyle w:val="Hyperlink"/>
          </w:rPr>
          <w:t>Appendix</w:t>
        </w:r>
        <w:r>
          <w:rPr>
            <w:webHidden/>
          </w:rPr>
          <w:tab/>
        </w:r>
        <w:r>
          <w:rPr>
            <w:webHidden/>
          </w:rPr>
          <w:fldChar w:fldCharType="begin"/>
        </w:r>
        <w:r>
          <w:rPr>
            <w:webHidden/>
          </w:rPr>
          <w:instrText xml:space="preserve"> PAGEREF _Toc236492799 \h </w:instrText>
        </w:r>
        <w:r>
          <w:rPr>
            <w:webHidden/>
          </w:rPr>
        </w:r>
        <w:r>
          <w:rPr>
            <w:webHidden/>
          </w:rPr>
          <w:fldChar w:fldCharType="separate"/>
        </w:r>
        <w:r>
          <w:rPr>
            <w:webHidden/>
          </w:rPr>
          <w:t>28</w:t>
        </w:r>
        <w:r>
          <w:rPr>
            <w:webHidden/>
          </w:rPr>
          <w:fldChar w:fldCharType="end"/>
        </w:r>
      </w:hyperlink>
    </w:p>
    <w:p w14:paraId="4C8636B5" w14:textId="0B3CF6DD" w:rsidR="00E8643D" w:rsidRPr="006D4060" w:rsidRDefault="006560B1" w:rsidP="00E8643D">
      <w:pPr>
        <w:pStyle w:val="BasicText"/>
      </w:pPr>
      <w:r>
        <w:rPr>
          <w:noProof/>
        </w:rPr>
        <w:fldChar w:fldCharType="end"/>
      </w:r>
    </w:p>
    <w:p w14:paraId="53ED915F" w14:textId="77777777" w:rsidR="00297DC8" w:rsidRPr="00753586" w:rsidRDefault="00F82B9B" w:rsidP="00644ECF">
      <w:pPr>
        <w:pStyle w:val="Heading1"/>
        <w:numPr>
          <w:ilvl w:val="0"/>
          <w:numId w:val="0"/>
        </w:numPr>
        <w:rPr>
          <w:lang w:val="de-DE"/>
        </w:rPr>
      </w:pPr>
      <w:bookmarkStart w:id="0" w:name="_Toc236492705"/>
      <w:proofErr w:type="spellStart"/>
      <w:r>
        <w:rPr>
          <w:lang w:val="de-DE"/>
        </w:rPr>
        <w:lastRenderedPageBreak/>
        <w:t>Figures</w:t>
      </w:r>
      <w:bookmarkEnd w:id="0"/>
      <w:proofErr w:type="spellEnd"/>
    </w:p>
    <w:bookmarkStart w:id="1" w:name="AbbildungsVerzGesamt"/>
    <w:p w14:paraId="5BEEDEA0" w14:textId="0E12CFC3" w:rsidR="00EC6FC8" w:rsidRPr="00753586" w:rsidRDefault="006560B1" w:rsidP="00EC6FC8">
      <w:pPr>
        <w:pStyle w:val="BasicText"/>
        <w:rPr>
          <w:lang w:val="de-DE"/>
        </w:rPr>
      </w:pPr>
      <w:r>
        <w:fldChar w:fldCharType="begin"/>
      </w:r>
      <w:r>
        <w:rPr>
          <w:lang w:val="de-DE"/>
        </w:rPr>
        <w:instrText xml:space="preserve"> TOC \c "Fig." </w:instrText>
      </w:r>
      <w:r>
        <w:fldChar w:fldCharType="separate"/>
      </w:r>
      <w:r w:rsidR="00A12F57">
        <w:rPr>
          <w:b/>
          <w:bCs/>
          <w:noProof/>
        </w:rPr>
        <w:t>No table of figures entries found.</w:t>
      </w:r>
      <w:r>
        <w:fldChar w:fldCharType="end"/>
      </w:r>
      <w:bookmarkEnd w:id="1"/>
    </w:p>
    <w:p w14:paraId="75DF764A" w14:textId="77777777" w:rsidR="00297DC8" w:rsidRPr="00753586" w:rsidRDefault="00B3052C" w:rsidP="00644ECF">
      <w:pPr>
        <w:pStyle w:val="Heading1"/>
        <w:numPr>
          <w:ilvl w:val="0"/>
          <w:numId w:val="0"/>
        </w:numPr>
        <w:rPr>
          <w:lang w:val="de-DE"/>
        </w:rPr>
      </w:pPr>
      <w:bookmarkStart w:id="2" w:name="_Toc236492706"/>
      <w:proofErr w:type="spellStart"/>
      <w:r>
        <w:rPr>
          <w:lang w:val="de-DE"/>
        </w:rPr>
        <w:lastRenderedPageBreak/>
        <w:t>Tables</w:t>
      </w:r>
      <w:bookmarkEnd w:id="2"/>
      <w:proofErr w:type="spellEnd"/>
    </w:p>
    <w:bookmarkStart w:id="3" w:name="TabellenVerzGesamt"/>
    <w:p w14:paraId="18C9F0BE" w14:textId="02A7D978" w:rsidR="00EC6FC8" w:rsidRPr="00753586" w:rsidRDefault="006560B1" w:rsidP="00EC6FC8">
      <w:pPr>
        <w:pStyle w:val="BasicText"/>
        <w:rPr>
          <w:lang w:val="de-DE"/>
        </w:rPr>
      </w:pPr>
      <w:r>
        <w:fldChar w:fldCharType="begin"/>
      </w:r>
      <w:r>
        <w:rPr>
          <w:lang w:val="de-DE"/>
        </w:rPr>
        <w:instrText xml:space="preserve"> TOC \c "Tab." </w:instrText>
      </w:r>
      <w:r>
        <w:fldChar w:fldCharType="separate"/>
      </w:r>
      <w:r w:rsidR="00A12F57">
        <w:rPr>
          <w:b/>
          <w:bCs/>
          <w:noProof/>
        </w:rPr>
        <w:t>No table of figures entries found.</w:t>
      </w:r>
      <w:r>
        <w:fldChar w:fldCharType="end"/>
      </w:r>
      <w:bookmarkEnd w:id="3"/>
    </w:p>
    <w:p w14:paraId="1625663E" w14:textId="77777777" w:rsidR="00C565B8" w:rsidRPr="00753586" w:rsidRDefault="00F43114" w:rsidP="00644ECF">
      <w:pPr>
        <w:pStyle w:val="Heading1"/>
        <w:numPr>
          <w:ilvl w:val="0"/>
          <w:numId w:val="0"/>
        </w:numPr>
        <w:rPr>
          <w:lang w:val="de-DE"/>
        </w:rPr>
      </w:pPr>
      <w:bookmarkStart w:id="4" w:name="_Toc236492707"/>
      <w:proofErr w:type="spellStart"/>
      <w:r>
        <w:rPr>
          <w:lang w:val="de-DE"/>
        </w:rPr>
        <w:lastRenderedPageBreak/>
        <w:t>Abbreviations</w:t>
      </w:r>
      <w:bookmarkEnd w:id="4"/>
      <w:proofErr w:type="spellEnd"/>
    </w:p>
    <w:p>
      <w:pPr>
        <w:pStyle w:val="BasicTextIndentation"/>
      </w:pPr>
      <w:r>
        <w:t xml:space="preserve">ABI</w:t>
      </w:r>
      <w:r>
        <w:tab/>
      </w:r>
      <w:r>
        <w:t xml:space="preserve">Application Binary Interface</w:t>
      </w:r>
    </w:p>
    <w:p>
      <w:pPr>
        <w:pStyle w:val="BasicTextIndentation"/>
      </w:pPr>
      <w:r>
        <w:t xml:space="preserve">ACID</w:t>
      </w:r>
      <w:r>
        <w:tab/>
      </w:r>
      <w:r>
        <w:t xml:space="preserve">Atomicity, Consistency, Isolation, Durability</w:t>
      </w:r>
    </w:p>
    <w:p>
      <w:pPr>
        <w:pStyle w:val="BasicTextIndentation"/>
      </w:pPr>
      <w:r>
        <w:t xml:space="preserve">API</w:t>
      </w:r>
      <w:r>
        <w:tab/>
      </w:r>
      <w:r>
        <w:t xml:space="preserve">Application Programming Interface</w:t>
      </w:r>
    </w:p>
    <w:p>
      <w:pPr>
        <w:pStyle w:val="BasicTextIndentation"/>
      </w:pPr>
      <w:r>
        <w:t xml:space="preserve">BPM</w:t>
      </w:r>
      <w:r>
        <w:tab/>
      </w:r>
      <w:r>
        <w:t xml:space="preserve">Business Process Management</w:t>
      </w:r>
    </w:p>
    <w:p>
      <w:pPr>
        <w:pStyle w:val="BasicTextIndentation"/>
      </w:pPr>
      <w:r>
        <w:t xml:space="preserve">BPMN</w:t>
      </w:r>
      <w:r>
        <w:tab/>
      </w:r>
      <w:r>
        <w:t xml:space="preserve">Business Process Model and Notation</w:t>
      </w:r>
    </w:p>
    <w:p>
      <w:pPr>
        <w:pStyle w:val="BasicTextIndentation"/>
      </w:pPr>
      <w:r>
        <w:t xml:space="preserve">CDC</w:t>
      </w:r>
      <w:r>
        <w:tab/>
      </w:r>
      <w:r>
        <w:t xml:space="preserve">Change Data Capture</w:t>
      </w:r>
    </w:p>
    <w:p>
      <w:pPr>
        <w:pStyle w:val="BasicTextIndentation"/>
      </w:pPr>
      <w:r>
        <w:t xml:space="preserve">CORS</w:t>
      </w:r>
      <w:r>
        <w:tab/>
      </w:r>
      <w:r>
        <w:t xml:space="preserve">Cross-Origin Resource Sharing</w:t>
      </w:r>
    </w:p>
    <w:p>
      <w:pPr>
        <w:pStyle w:val="BasicTextIndentation"/>
      </w:pPr>
      <w:r>
        <w:t xml:space="preserve">CRM</w:t>
      </w:r>
      <w:r>
        <w:tab/>
      </w:r>
      <w:r>
        <w:t xml:space="preserve">Customer Relationship Management</w:t>
      </w:r>
    </w:p>
    <w:p>
      <w:pPr>
        <w:pStyle w:val="BasicTextIndentation"/>
      </w:pPr>
      <w:r>
        <w:t xml:space="preserve">CSV</w:t>
      </w:r>
      <w:r>
        <w:tab/>
      </w:r>
      <w:r>
        <w:t xml:space="preserve">Comma-Separated Values</w:t>
      </w:r>
    </w:p>
    <w:p>
      <w:pPr>
        <w:pStyle w:val="BasicTextIndentation"/>
      </w:pPr>
      <w:r>
        <w:t xml:space="preserve">DAG</w:t>
      </w:r>
      <w:r>
        <w:tab/>
      </w:r>
      <w:r>
        <w:t xml:space="preserve">Directed Acyclic Graph</w:t>
      </w:r>
    </w:p>
    <w:p>
      <w:pPr>
        <w:pStyle w:val="BasicTextIndentation"/>
      </w:pPr>
      <w:r>
        <w:t xml:space="preserve">DFG</w:t>
      </w:r>
      <w:r>
        <w:tab/>
      </w:r>
      <w:r>
        <w:t xml:space="preserve">Directly-Follows Graph</w:t>
      </w:r>
    </w:p>
    <w:p>
      <w:pPr>
        <w:pStyle w:val="BasicTextIndentation"/>
      </w:pPr>
      <w:r>
        <w:t xml:space="preserve">EMD</w:t>
      </w:r>
      <w:r>
        <w:tab/>
      </w:r>
      <w:r>
        <w:t xml:space="preserve">Earth Mover's Distance</w:t>
      </w:r>
    </w:p>
    <w:p>
      <w:pPr>
        <w:pStyle w:val="BasicTextIndentation"/>
      </w:pPr>
      <w:r>
        <w:t xml:space="preserve">ERP</w:t>
      </w:r>
      <w:r>
        <w:tab/>
      </w:r>
      <w:r>
        <w:t xml:space="preserve">Enterprise Resource Planning</w:t>
      </w:r>
    </w:p>
    <w:p>
      <w:pPr>
        <w:pStyle w:val="BasicTextIndentation"/>
      </w:pPr>
      <w:r>
        <w:t xml:space="preserve">HTTP</w:t>
      </w:r>
      <w:r>
        <w:tab/>
      </w:r>
      <w:r>
        <w:t xml:space="preserve">Hypertext Transfer Protocol</w:t>
      </w:r>
    </w:p>
    <w:p>
      <w:pPr>
        <w:pStyle w:val="BasicTextIndentation"/>
      </w:pPr>
      <w:r>
        <w:t xml:space="preserve">IPC</w:t>
      </w:r>
      <w:r>
        <w:tab/>
      </w:r>
      <w:r>
        <w:t xml:space="preserve">Inter-Process Communication</w:t>
      </w:r>
    </w:p>
    <w:p>
      <w:pPr>
        <w:pStyle w:val="BasicTextIndentation"/>
      </w:pPr>
      <w:r>
        <w:t xml:space="preserve">JSON</w:t>
      </w:r>
      <w:r>
        <w:tab/>
      </w:r>
      <w:r>
        <w:t xml:space="preserve">JavaScript Object Notation</w:t>
      </w:r>
    </w:p>
    <w:p>
      <w:pPr>
        <w:pStyle w:val="BasicTextIndentation"/>
      </w:pPr>
      <w:r>
        <w:t xml:space="preserve">JSON-RPC</w:t>
      </w:r>
      <w:r>
        <w:tab/>
      </w:r>
      <w:r>
        <w:t xml:space="preserve">JSON Remote Procedure Call</w:t>
      </w:r>
    </w:p>
    <w:p>
      <w:pPr>
        <w:pStyle w:val="BasicTextIndentation"/>
      </w:pPr>
      <w:r>
        <w:t xml:space="preserve">JVM</w:t>
      </w:r>
      <w:r>
        <w:tab/>
      </w:r>
      <w:r>
        <w:t xml:space="preserve">Java Virtual Machine</w:t>
      </w:r>
    </w:p>
    <w:p>
      <w:pPr>
        <w:pStyle w:val="BasicTextIndentation"/>
      </w:pPr>
      <w:r>
        <w:t xml:space="preserve">JWKS</w:t>
      </w:r>
      <w:r>
        <w:tab/>
      </w:r>
      <w:r>
        <w:t xml:space="preserve">JSON Web Key Set</w:t>
      </w:r>
    </w:p>
    <w:p>
      <w:pPr>
        <w:pStyle w:val="BasicTextIndentation"/>
      </w:pPr>
      <w:r>
        <w:t xml:space="preserve">JWT</w:t>
      </w:r>
      <w:r>
        <w:tab/>
      </w:r>
      <w:r>
        <w:t xml:space="preserve">JSON Web Token</w:t>
      </w:r>
    </w:p>
    <w:p>
      <w:pPr>
        <w:pStyle w:val="BasicTextIndentation"/>
      </w:pPr>
      <w:r>
        <w:t xml:space="preserve">KPI</w:t>
      </w:r>
      <w:r>
        <w:tab/>
      </w:r>
      <w:r>
        <w:t xml:space="preserve">Key Performance Indicator</w:t>
      </w:r>
    </w:p>
    <w:p>
      <w:pPr>
        <w:pStyle w:val="BasicTextIndentation"/>
      </w:pPr>
      <w:r>
        <w:t xml:space="preserve">LLM</w:t>
      </w:r>
      <w:r>
        <w:tab/>
      </w:r>
      <w:r>
        <w:t xml:space="preserve">Large Language Model</w:t>
      </w:r>
    </w:p>
    <w:p>
      <w:pPr>
        <w:pStyle w:val="BasicTextIndentation"/>
      </w:pPr>
      <w:r>
        <w:t xml:space="preserve">LRU</w:t>
      </w:r>
      <w:r>
        <w:tab/>
      </w:r>
      <w:r>
        <w:t xml:space="preserve">Least Recently Used</w:t>
      </w:r>
    </w:p>
    <w:p>
      <w:pPr>
        <w:pStyle w:val="BasicTextIndentation"/>
      </w:pPr>
      <w:r>
        <w:t xml:space="preserve">MCP</w:t>
      </w:r>
      <w:r>
        <w:tab/>
      </w:r>
      <w:r>
        <w:t xml:space="preserve">Model Context Protocol</w:t>
      </w:r>
    </w:p>
    <w:p>
      <w:pPr>
        <w:pStyle w:val="BasicTextIndentation"/>
      </w:pPr>
      <w:r>
        <w:t xml:space="preserve">OCEL</w:t>
      </w:r>
      <w:r>
        <w:tab/>
      </w:r>
      <w:r>
        <w:t xml:space="preserve">Object-Centric Event Log</w:t>
      </w:r>
    </w:p>
    <w:p>
      <w:pPr>
        <w:pStyle w:val="BasicTextIndentation"/>
      </w:pPr>
      <w:r>
        <w:t xml:space="preserve">OIDC</w:t>
      </w:r>
      <w:r>
        <w:tab/>
      </w:r>
      <w:r>
        <w:t xml:space="preserve">OpenID Connect</w:t>
      </w:r>
    </w:p>
    <w:p>
      <w:pPr>
        <w:pStyle w:val="BasicTextIndentation"/>
      </w:pPr>
      <w:r>
        <w:t xml:space="preserve">PAT</w:t>
      </w:r>
      <w:r>
        <w:tab/>
      </w:r>
      <w:r>
        <w:t xml:space="preserve">Personal Access Token</w:t>
      </w:r>
    </w:p>
    <w:p>
      <w:pPr>
        <w:pStyle w:val="BasicTextIndentation"/>
      </w:pPr>
      <w:r>
        <w:t xml:space="preserve">RPC</w:t>
      </w:r>
      <w:r>
        <w:tab/>
      </w:r>
      <w:r>
        <w:t xml:space="preserve">Remote Procedure Call</w:t>
      </w:r>
    </w:p>
    <w:p>
      <w:pPr>
        <w:pStyle w:val="BasicTextIndentation"/>
      </w:pPr>
      <w:r>
        <w:t xml:space="preserve">RSC</w:t>
      </w:r>
      <w:r>
        <w:tab/>
      </w:r>
      <w:r>
        <w:t xml:space="preserve">React Server Components</w:t>
      </w:r>
    </w:p>
    <w:p>
      <w:pPr>
        <w:pStyle w:val="BasicTextIndentation"/>
      </w:pPr>
      <w:r>
        <w:t xml:space="preserve">SDK</w:t>
      </w:r>
      <w:r>
        <w:tab/>
      </w:r>
      <w:r>
        <w:t xml:space="preserve">Software Development Kit</w:t>
      </w:r>
    </w:p>
    <w:p>
      <w:pPr>
        <w:pStyle w:val="BasicTextIndentation"/>
      </w:pPr>
      <w:r>
        <w:t xml:space="preserve">SQL</w:t>
      </w:r>
      <w:r>
        <w:tab/>
      </w:r>
      <w:r>
        <w:t xml:space="preserve">Structured Query Language</w:t>
      </w:r>
    </w:p>
    <w:p>
      <w:pPr>
        <w:pStyle w:val="BasicTextIndentation"/>
      </w:pPr>
      <w:r>
        <w:t xml:space="preserve">SSE</w:t>
      </w:r>
      <w:r>
        <w:tab/>
      </w:r>
      <w:r>
        <w:t xml:space="preserve">Server-Sent Events</w:t>
      </w:r>
    </w:p>
    <w:p>
      <w:pPr>
        <w:pStyle w:val="BasicTextIndentation"/>
      </w:pPr>
      <w:r>
        <w:t xml:space="preserve">TLS</w:t>
      </w:r>
      <w:r>
        <w:tab/>
      </w:r>
      <w:r>
        <w:t xml:space="preserve">Transport Layer Security</w:t>
      </w:r>
    </w:p>
    <w:p>
      <w:pPr>
        <w:pStyle w:val="BasicTextIndentation"/>
      </w:pPr>
      <w:r>
        <w:t xml:space="preserve">UUID</w:t>
      </w:r>
      <w:r>
        <w:tab/>
      </w:r>
      <w:r>
        <w:t xml:space="preserve">Universally Unique Identifier</w:t>
      </w:r>
    </w:p>
    <w:p>
      <w:pPr>
        <w:pStyle w:val="BasicTextIndentation"/>
      </w:pPr>
      <w:r>
        <w:t xml:space="preserve">VM</w:t>
      </w:r>
      <w:r>
        <w:tab/>
      </w:r>
      <w:r>
        <w:t xml:space="preserve">Virtual Machine</w:t>
      </w:r>
    </w:p>
    <w:p>
      <w:pPr>
        <w:pStyle w:val="BasicTextIndentation"/>
      </w:pPr>
      <w:r>
        <w:t xml:space="preserve">VPN</w:t>
      </w:r>
      <w:r>
        <w:tab/>
      </w:r>
      <w:r>
        <w:t xml:space="preserve">Virtual Private Network</w:t>
      </w:r>
    </w:p>
    <w:p>
      <w:pPr>
        <w:pStyle w:val="BasicTextIndentation"/>
      </w:pPr>
      <w:r>
        <w:t xml:space="preserve">WAL</w:t>
      </w:r>
      <w:r>
        <w:tab/>
      </w:r>
      <w:r>
        <w:t xml:space="preserve">Write-Ahead Logging</w:t>
      </w:r>
    </w:p>
    <w:p>
      <w:pPr>
        <w:pStyle w:val="BasicTextIndentation"/>
      </w:pPr>
      <w:r>
        <w:t xml:space="preserve">WS</w:t>
      </w:r>
      <w:r>
        <w:tab/>
      </w:r>
      <w:r>
        <w:t xml:space="preserve">WebSocket</w:t>
      </w:r>
    </w:p>
    <w:p>
      <w:pPr>
        <w:pStyle w:val="BasicTextIndentation"/>
      </w:pPr>
      <w:r>
        <w:t xml:space="preserve">XES</w:t>
      </w:r>
      <w:r>
        <w:tab/>
      </w:r>
      <w:r>
        <w:t xml:space="preserve">eXtensible Event Stream (IEEE 1849)</w:t>
      </w:r>
    </w:p>
    <w:p>
      <w:pPr>
        <w:pStyle w:val="BasicTextIndentation"/>
      </w:pPr>
      <w:r>
        <w:t xml:space="preserve">XML</w:t>
      </w:r>
      <w:r>
        <w:tab/>
      </w:r>
      <w:r>
        <w:t xml:space="preserve">Extensible Markup Language</w:t>
      </w:r>
    </w:p>
    <w:p>
      <w:pPr>
        <w:pStyle w:val="BasicText"/>
      </w:pPr>
    </w:p>
    <w:p w14:paraId="6A84304B" w14:textId="77777777" w:rsidR="00C565B8" w:rsidRPr="00753586" w:rsidRDefault="00B3052C" w:rsidP="00644ECF">
      <w:pPr>
        <w:pStyle w:val="Heading1"/>
        <w:numPr>
          <w:ilvl w:val="0"/>
          <w:numId w:val="0"/>
        </w:numPr>
        <w:rPr>
          <w:lang w:val="de-DE"/>
        </w:rPr>
      </w:pPr>
      <w:bookmarkStart w:id="5" w:name="_Toc236492708"/>
      <w:r>
        <w:rPr>
          <w:lang w:val="de-DE"/>
        </w:rPr>
        <w:lastRenderedPageBreak/>
        <w:t>Symbols</w:t>
      </w:r>
      <w:bookmarkEnd w:id="5"/>
    </w:p>
    <w:p>
      <w:pPr>
        <w:pStyle w:val="BasicTextIndentation"/>
      </w:pPr>
      <w:r>
        <w:t xml:space="preserve">L</w:t>
      </w:r>
      <w:r>
        <w:tab/>
      </w:r>
      <w:r>
        <w:t xml:space="preserve">an event log, a multiset of traces</w:t>
      </w:r>
    </w:p>
    <w:p>
      <w:pPr>
        <w:pStyle w:val="BasicTextIndentation"/>
      </w:pPr>
      <w:r>
        <w:t xml:space="preserve">σ</w:t>
      </w:r>
      <w:r>
        <w:tab/>
      </w:r>
      <w:r>
        <w:t xml:space="preserve">a trace, an ordered sequence of events</w:t>
      </w:r>
    </w:p>
    <w:p>
      <w:pPr>
        <w:pStyle w:val="BasicTextIndentation"/>
      </w:pPr>
      <w:r>
        <w:t xml:space="preserve">e</w:t>
      </w:r>
      <w:r>
        <w:tab/>
      </w:r>
      <w:r>
        <w:t xml:space="preserve">an event, minimally (case, activity, timestamp)</w:t>
      </w:r>
    </w:p>
    <w:p>
      <w:pPr>
        <w:pStyle w:val="BasicTextIndentation"/>
      </w:pPr>
      <w:r>
        <w:t xml:space="preserve">c</w:t>
      </w:r>
      <w:r>
        <w:tab/>
      </w:r>
      <w:r>
        <w:t xml:space="preserve">a case, a process instance</w:t>
      </w:r>
    </w:p>
    <w:p>
      <w:pPr>
        <w:pStyle w:val="BasicTextIndentation"/>
      </w:pPr>
      <w:r>
        <w:t xml:space="preserve">A</w:t>
      </w:r>
      <w:r>
        <w:tab/>
      </w:r>
      <w:r>
        <w:t xml:space="preserve">the set of activities occurring in L</w:t>
      </w:r>
    </w:p>
    <w:p>
      <w:pPr>
        <w:pStyle w:val="BasicTextIndentation"/>
      </w:pPr>
      <w:r>
        <w:t xml:space="preserve">V</w:t>
      </w:r>
      <w:r>
        <w:tab/>
      </w:r>
      <w:r>
        <w:t xml:space="preserve">the set of variants of L, the distinct activity sequences in L</w:t>
      </w:r>
    </w:p>
    <w:p>
      <w:pPr>
        <w:pStyle w:val="BasicTextIndentation"/>
      </w:pPr>
      <w:r>
        <w:t xml:space="preserve">|·|</w:t>
      </w:r>
      <w:r>
        <w:tab/>
      </w:r>
      <w:r>
        <w:t xml:space="preserve">cardinality, e.g. |A| the number of distinct activities</w:t>
      </w:r>
    </w:p>
    <w:p>
      <w:pPr>
        <w:pStyle w:val="BasicTextIndentation"/>
      </w:pPr>
      <w:r>
        <w:t xml:space="preserve">H</w:t>
      </w:r>
      <w:r>
        <w:tab/>
      </w:r>
      <w:r>
        <w:t xml:space="preserve">entropy of a distribution, used by the complexity measures</w:t>
      </w:r>
    </w:p>
    <w:p>
      <w:pPr>
        <w:pStyle w:val="BasicTextIndentation"/>
      </w:pPr>
      <w:r>
        <w:t xml:space="preserve">p</w:t>
      </w:r>
      <w:r>
        <w:tab/>
      </w:r>
      <w:r>
        <w:t xml:space="preserve">the p-value of a statistical test</w:t>
      </w:r>
    </w:p>
    <w:p>
      <w:pPr>
        <w:pStyle w:val="BasicTextIndentation"/>
      </w:pPr>
      <w:r>
        <w:t xml:space="preserve">α</w:t>
      </w:r>
      <w:r>
        <w:tab/>
      </w:r>
      <w:r>
        <w:t xml:space="preserve">the significance level of a statistical test</w:t>
      </w:r>
    </w:p>
    <w:p>
      <w:pPr>
        <w:pStyle w:val="BasicTextIndentation"/>
      </w:pPr>
      <w:r>
        <w:t xml:space="preserve">d</w:t>
      </w:r>
      <w:r>
        <w:tab/>
      </w:r>
      <w:r>
        <w:t xml:space="preserve">a distance between two logs, e.g. earth mover's distance</w:t>
      </w:r>
    </w:p>
    <w:p>
      <w:pPr>
        <w:pStyle w:val="BasicTextIndentation"/>
      </w:pPr>
      <w:r>
        <w:t xml:space="preserve">n</w:t>
      </w:r>
      <w:r>
        <w:tab/>
      </w:r>
      <w:r>
        <w:t xml:space="preserve">the number of cases in L</w:t>
      </w:r>
    </w:p>
    <w:p>
      <w:pPr>
        <w:pStyle w:val="BasicTextIndentation"/>
      </w:pPr>
      <w:r>
        <w:t xml:space="preserve">t</w:t>
      </w:r>
      <w:r>
        <w:tab/>
      </w:r>
      <w:r>
        <w:t xml:space="preserve">a point in time; a window index in the over-time modules</w:t>
      </w:r>
    </w:p>
    <w:p>
      <w:pPr>
        <w:pStyle w:val="BasicText"/>
      </w:pPr>
    </w:p>
    <w:p>
      <w:pPr>
        <w:pStyle w:val="Heading1"/>
      </w:pPr>
      <w:r>
        <w:t xml:space="preserve">Introduction</w:t>
      </w:r>
    </w:p>
    <w:p>
      <w:pPr>
        <w:pStyle w:val="Heading2"/>
      </w:pPr>
      <w:r>
        <w:t xml:space="preserve">Motivation and Institutional Context</w:t>
      </w:r>
    </w:p>
    <w:p>
      <w:pPr>
        <w:pStyle w:val="BasicText"/>
      </w:pPr>
      <w:r>
        <w:t xml:space="preserve">Process mining turns the event data recorded by enterprise information systems into insight about how processes actually run (van der Aalst, 2020). The field has shifted from retrospective reconstruction towards transparent, timely and forward-looking support for ongoing operations (Grisold, van der Aa, et al., 2024; Reinkemeyer, 2020a), raising both what organisations expect and what the research community seeks to deliver.</w:t>
      </w:r>
    </w:p>
    <w:p>
      <w:pPr>
        <w:pStyle w:val="BasicText"/>
      </w:pPr>
      <w:r>
        <w:t xml:space="preserve">Around this shared subject two communities have developed distinct priorities. Practitioners are driven by business value and adopt commercial suites such as Celonis, SAP Signavio and ARIS, whose strengths are usability and scale (Grisold et al., 2020; van der Aalst, 2020). Researchers value transparency and extensibility, develop new algorithms, and work with open toolkits such as ProM, PM4Py, bupaR and RapidProM (Berti, Zelst, et al., 2019; Carmona &amp; Sole, n.d.; van Dongen et al., 2005). The result is a divide between flexibility and research capability on one side and usability and scale on the other.</w:t>
      </w:r>
    </w:p>
    <w:p>
      <w:pPr>
        <w:pStyle w:val="BasicText"/>
      </w:pPr>
      <w:r>
        <w:t xml:space="preserve">This project seminar, </w:t>
      </w:r>
      <w:r>
        <w:rPr>
          <w:i/>
        </w:rPr>
        <w:t xml:space="preserve">Flows and Funds: Process Mining in Finance</w:t>
      </w:r>
      <w:r>
        <w:t xml:space="preserve">, was carried out at the Chair for Information Systems and Information Management at the University of Münster. Its task was to design, implement and operate a process mining platform for analysts, researchers and students. Three properties of that setting made an institution-hosted tool necessary rather than merely convenient. </w:t>
      </w:r>
      <w:r>
        <w:rPr>
          <w:b/>
        </w:rPr>
        <w:t xml:space="preserve">Data sovereignty</w:t>
      </w:r>
      <w:r>
        <w:t xml:space="preserve">: event logs used in teaching and research are often derived from real organisational data or supplied under agreements restricting where they may be stored, and a cloud-hosted tool moves that data outside the institution's control as a precondition of use. </w:t>
      </w:r>
      <w:r>
        <w:rPr>
          <w:b/>
        </w:rPr>
        <w:t xml:space="preserve">Licensing</w:t>
      </w:r>
      <w:r>
        <w:t xml:space="preserve">: the commercial suites are priced for enterprise deployment, and their academic programmes are time-limited, capacity-limited and bound to the vendor's environment, which is a poor foundation for a tool meant to outlive one cohort of students. </w:t>
      </w:r>
      <w:r>
        <w:rPr>
          <w:b/>
        </w:rPr>
        <w:t xml:space="preserve">Exposure to current methods</w:t>
      </w:r>
      <w:r>
        <w:t xml:space="preserve">: much of the value of a process mining seminar lies in working with techniques recent enough to still be contested, and those exist as research prototypes, a repository, a paper, a set of scripts, so putting one in front of students today means every student reproduces the author's environment by hand.</w:t>
      </w:r>
    </w:p>
    <w:p>
      <w:pPr>
        <w:pStyle w:val="BasicText"/>
      </w:pPr>
      <w:r>
        <w:t xml:space="preserve">The system built in response is </w:t>
      </w:r>
      <w:r>
        <w:rPr>
          <w:b/>
        </w:rPr>
        <w:t xml:space="preserve">PM-MATE</w:t>
      </w:r>
      <w:r>
        <w:t xml:space="preserve">, referred to below as </w:t>
      </w:r>
      <w:r>
        <w:rPr>
          <w:i/>
        </w:rPr>
        <w:t xml:space="preserve">Mate</w:t>
      </w:r>
      <w:r>
        <w:t xml:space="preserve">: a locally hosted, multi-user process mining platform whose defining property is a module system, in which analysis methods are contributed as self-contained packages that the platform discovers, isolates and mounts, without modification to the platform itself. Chapter 3 supplies the comparison with existing tools that justifies this shape.</w:t>
      </w:r>
    </w:p>
    <w:p>
      <w:pPr>
        <w:pStyle w:val="Heading2"/>
      </w:pPr>
      <w:r>
        <w:t xml:space="preserve">Problem Conceptualisation</w:t>
      </w:r>
    </w:p>
    <w:p>
      <w:pPr>
        <w:pStyle w:val="BasicText"/>
      </w:pPr>
      <w:r>
        <w:t xml:space="preserve">The problem is not the absence of process mining functionality; discovery, conformance checking and performance analysis all exist in mature implementations. The problem is that the available implementations force a choice between two properties that are both required and that no single tool supplies together.</w:t>
      </w:r>
    </w:p>
    <w:p>
      <w:pPr>
        <w:pStyle w:val="BasicText"/>
      </w:pPr>
      <w:r>
        <w:t xml:space="preserve">The commercial process intelligence platforms offer analytical breadth, connector ecosystems, polished interfaces and operational maturity. They are also cloud-first, licence-bound and closed to external contribution in the sense that matters to a researcher: extension happens inside a vendor-governed application model, on the vendor's schedule and subject to the vendor's review. A drift-detection method published this year cannot be run inside them this year.</w:t>
      </w:r>
    </w:p>
    <w:p>
      <w:pPr>
        <w:pStyle w:val="BasicText"/>
      </w:pPr>
      <w:r>
        <w:t xml:space="preserve">The libraries and research prototypes are open, inspectable and genuinely extensible, because extension means writing Python. They are also single-user, stateless between sessions and largely without an interface. Multi-user operation, identity, persistence, job management and result sharing are not weak in these tools; they are absent, because they were never in scope.</w:t>
      </w:r>
    </w:p>
    <w:p>
      <w:pPr>
        <w:pStyle w:val="BasicText"/>
      </w:pPr>
      <w:r>
        <w:t xml:space="preserve">The consequence is concrete. A researcher who has published a method has no path from the paper's repository to a place where a non-developer can use it, short of building a product. A student comparing four complexity measures on one log installs four environments. An analyst wanting both a polished variant explorer and a current drift detector uses two tools and reconciles by hand. The methods and the usability exist; they do not exist in the same place. The guiding question is therefore:</w:t>
      </w:r>
    </w:p>
    <w:p>
      <w:pPr>
        <w:pStyle w:val="BasicTextIndentation"/>
      </w:pPr>
      <w:r>
        <w:rPr>
          <w:b/>
        </w:rPr>
        <w:t xml:space="preserve">Can a process mining platform be built that is operable by non-developers and by several users at once, that keeps all data on institution-controlled hardware, and whose extension mechanism is powerful enough to absorb unmodified research code, without the platform's own analytical functionality receiving any privilege that a third-party extension does not also receive?</w:t>
      </w:r>
    </w:p>
    <w:p>
      <w:pPr>
        <w:pStyle w:val="BasicText"/>
      </w:pPr>
      <w:r>
        <w:t xml:space="preserve">The final clause carries the weight. Any platform can claim extensibility. The claim becomes falsifiable only when the platform's own features are built through the interface outsiders must use, because then an inadequate interface fails visibly instead of being quietly worked around.</w:t>
      </w:r>
    </w:p>
    <w:p>
      <w:pPr>
        <w:pStyle w:val="Heading2"/>
      </w:pPr>
      <w:r>
        <w:t xml:space="preserve">Objectives and Criteria for Success</w:t>
      </w:r>
    </w:p>
    <w:p>
      <w:pPr>
        <w:pStyle w:val="BasicText"/>
      </w:pPr>
      <w:r>
        <w:t xml:space="preserve">Five objectives follow, each with the criterion by which it is judged and a forward reference, so that Chapter 10 measures against a contract fixed in advance.</w:t>
      </w:r>
    </w:p>
    <w:p>
      <w:pPr>
        <w:pStyle w:val="BasicText"/>
      </w:pPr>
      <w:r>
        <w:rPr>
          <w:b/>
        </w:rPr>
        <w:t xml:space="preserve">O1: Extension without core modification.</w:t>
      </w:r>
      <w:r>
        <w:t xml:space="preserve"> </w:t>
      </w:r>
      <w:r>
        <w:rPr>
          <w:i/>
        </w:rPr>
        <w:t xml:space="preserve">Criterion:</w:t>
      </w:r>
      <w:r>
        <w:t xml:space="preserve"> every analytical capability the platform offers is a module authored through the public SDK, and the platform's source contains no module-specific branch, registry entry or import. Reported in §10.2, §10.4.</w:t>
      </w:r>
    </w:p>
    <w:p>
      <w:pPr>
        <w:pStyle w:val="BasicText"/>
      </w:pPr>
      <w:r>
        <w:rPr>
          <w:b/>
        </w:rPr>
        <w:t xml:space="preserve">O2: An authoring contract a researcher can satisfy.</w:t>
      </w:r>
      <w:r>
        <w:t xml:space="preserve"> </w:t>
      </w:r>
      <w:r>
        <w:rPr>
          <w:i/>
        </w:rPr>
        <w:t xml:space="preserve">Criterion:</w:t>
      </w:r>
      <w:r>
        <w:t xml:space="preserve"> the platform concepts an author must learn are bounded and enumerable, and a complete minimal module fits on one page. Reported in §8.12, §10.4.</w:t>
      </w:r>
    </w:p>
    <w:p>
      <w:pPr>
        <w:pStyle w:val="BasicText"/>
      </w:pPr>
      <w:r>
        <w:rPr>
          <w:b/>
        </w:rPr>
        <w:t xml:space="preserve">O3: Multi-user operation with strict isolation.</w:t>
      </w:r>
      <w:r>
        <w:t xml:space="preserve"> </w:t>
      </w:r>
      <w:r>
        <w:rPr>
          <w:i/>
        </w:rPr>
        <w:t xml:space="preserve">Criterion:</w:t>
      </w:r>
      <w:r>
        <w:t xml:space="preserve"> every persisted row, on-disk artefact and live event envelope is keyed by the authenticated identity, and the one deliberate exception is read-only and explicit. Reported in §10.2; mechanism in §4.5.</w:t>
      </w:r>
    </w:p>
    <w:p>
      <w:pPr>
        <w:pStyle w:val="BasicText"/>
      </w:pPr>
      <w:r>
        <w:rPr>
          <w:b/>
        </w:rPr>
        <w:t xml:space="preserve">O4: Local operation without an operations team.</w:t>
      </w:r>
      <w:r>
        <w:t xml:space="preserve"> </w:t>
      </w:r>
      <w:r>
        <w:rPr>
          <w:i/>
        </w:rPr>
        <w:t xml:space="preserve">Criterion:</w:t>
      </w:r>
      <w:r>
        <w:t xml:space="preserve"> a documented command sequence takes a bare virtual machine to a working, authenticated, TLS-terminated deployment, and the same repository runs unchanged on a laptop. Reported in §10.2; runbook in §7.4.</w:t>
      </w:r>
    </w:p>
    <w:p>
      <w:pPr>
        <w:pStyle w:val="BasicText"/>
      </w:pPr>
      <w:r>
        <w:rPr>
          <w:b/>
        </w:rPr>
        <w:t xml:space="preserve">O5: Continuous feedback for long-running analysis.</w:t>
      </w:r>
      <w:r>
        <w:t xml:space="preserve"> </w:t>
      </w:r>
      <w:r>
        <w:rPr>
          <w:i/>
        </w:rPr>
        <w:t xml:space="preserve">Criterion:</w:t>
      </w:r>
      <w:r>
        <w:t xml:space="preserve"> every long operation is a persisted, observable, cancellable job, and a log becomes available exactly when the analyses it waits for reach a terminal state, whether they succeeded or not. Reported in §10.2; mechanism in §4.8.</w:t>
      </w:r>
    </w:p>
    <w:p>
      <w:pPr>
        <w:pStyle w:val="Heading2"/>
      </w:pPr>
      <w:r>
        <w:t xml:space="preserve">Scope and Delimitation</w:t>
      </w:r>
    </w:p>
    <w:p>
      <w:pPr>
        <w:pStyle w:val="BasicText"/>
      </w:pPr>
      <w:r>
        <w:t xml:space="preserve">The following were excluded by decision, not omission, and are distinguished here from the shortfalls of §11.3. </w:t>
      </w:r>
      <w:r>
        <w:rPr>
          <w:b/>
        </w:rPr>
        <w:t xml:space="preserve">No distributed or multi-node operation</w:t>
      </w:r>
      <w:r>
        <w:t xml:space="preserve">: the platform targets a single host, and where the storage layer anticipates a second node the seam is documented and left unbuilt (§4.6, §11.4); a design needing a cluster to start would defeat the local-first premise. </w:t>
      </w:r>
      <w:r>
        <w:rPr>
          <w:b/>
        </w:rPr>
        <w:t xml:space="preserve">No managed cloud offering</w:t>
      </w:r>
      <w:r>
        <w:t xml:space="preserve">: no hosted variant, no tenant provisioning beyond the bundled identity provider, no billing model beyond a per-user storage budget. </w:t>
      </w:r>
      <w:r>
        <w:rPr>
          <w:b/>
        </w:rPr>
        <w:t xml:space="preserve">No exhaustive coverage of process mining techniques</w:t>
      </w:r>
      <w:r>
        <w:t xml:space="preserve">: the bundled module set demonstrates that the extension mechanism works across different kinds of method (§6.1) rather than competing with a commercial feature list, and absent techniques are absent because nobody wrote that module, which is exactly the situation the platform makes cheap to remedy. </w:t>
      </w:r>
      <w:r>
        <w:rPr>
          <w:b/>
        </w:rPr>
        <w:t xml:space="preserve">No productisation beyond the university virtual machine</w:t>
      </w:r>
      <w:r>
        <w:t xml:space="preserve">: hardening appropriate to a public internet service, a support process and a release cadence are all out of scope. </w:t>
      </w:r>
      <w:r>
        <w:rPr>
          <w:b/>
        </w:rPr>
        <w:t xml:space="preserve">No streaming or change-data-capture ingestion</w:t>
      </w:r>
      <w:r>
        <w:t xml:space="preserve">: ingestion is batch import, and although a watched folder polls storage and imports new files, there is no live event stream.</w:t>
      </w:r>
    </w:p>
    <w:p>
      <w:pPr>
        <w:pStyle w:val="Heading2"/>
      </w:pPr>
      <w:r>
        <w:t xml:space="preserve">Structure of the Report</w:t>
      </w:r>
    </w:p>
    <w:p>
      <w:pPr>
        <w:pStyle w:val="BasicText"/>
      </w:pPr>
      <w:r>
        <w:t xml:space="preserve">Chapter 2 establishes the vocabulary and the library-versus-platform distinction that licenses the comparison in Chapter 3, which places existing tools on a common grid and reads off the gap Mate occupies. Chapters 4 and 5 are the core: the platform architecture, and modularity as the principle from which the rest follows. Chapter 6 turns the module set into evidence, narrating three integrations and quantifying their cost. Chapters 7 and 8 make the work reproducible: how the platform is deployed and operated, and how a third party writes a module. Chapter 9 documents how the project was run. Chapters 10 to 12 evaluate, discuss what remains open, and conclude. Readers wanting operating instructions should go directly to the appendices: A is the end-user manual, B the manifest and SDK reference, C the configuration and operations reference.</w:t>
      </w:r>
    </w:p>
    <w:p>
      <w:pPr>
        <w:pStyle w:val="Heading1"/>
      </w:pPr>
      <w:r>
        <w:t xml:space="preserve">Conceptual Foundations</w:t>
      </w:r>
    </w:p>
    <w:p>
      <w:pPr>
        <w:pStyle w:val="Heading2"/>
      </w:pPr>
      <w:r>
        <w:t xml:space="preserve">Process Mining: Terminology and Data Basis</w:t>
      </w:r>
    </w:p>
    <w:p>
      <w:pPr>
        <w:pStyle w:val="BasicText"/>
      </w:pPr>
      <w:r>
        <w:t xml:space="preserve">Process mining sits between data science and process science and analyses event data to discover, monitor and improve real processes (van der Aalst, 2016). Rather than relying on how a process is assumed to run, it derives knowledge from the digital traces executions leave in an organisation's information systems, complementing the model-driven perspective of classical business process management (van der Aalst et al., 2012).</w:t>
      </w:r>
    </w:p>
    <w:p>
      <w:pPr>
        <w:pStyle w:val="BasicText"/>
      </w:pPr>
      <w:r>
        <w:t xml:space="preserve">The starting point is the </w:t>
      </w:r>
      <w:r>
        <w:rPr>
          <w:b/>
        </w:rPr>
        <w:t xml:space="preserve">event log</w:t>
      </w:r>
      <w:r>
        <w:t xml:space="preserve">: a collection of </w:t>
      </w:r>
      <w:r>
        <w:rPr>
          <w:b/>
        </w:rPr>
        <w:t xml:space="preserve">cases</w:t>
      </w:r>
      <w:r>
        <w:t xml:space="preserve">, each a </w:t>
      </w:r>
      <w:r>
        <w:rPr>
          <w:b/>
        </w:rPr>
        <w:t xml:space="preserve">trace</w:t>
      </w:r>
      <w:r>
        <w:t xml:space="preserve"> of </w:t>
      </w:r>
      <w:r>
        <w:rPr>
          <w:b/>
        </w:rPr>
        <w:t xml:space="preserve">events</w:t>
      </w:r>
      <w:r>
        <w:t xml:space="preserve"> ordered in time. An event minimally records a </w:t>
      </w:r>
      <w:r>
        <w:rPr>
          <w:b/>
        </w:rPr>
        <w:t xml:space="preserve">case identifier</w:t>
      </w:r>
      <w:r>
        <w:t xml:space="preserve">, an </w:t>
      </w:r>
      <w:r>
        <w:rPr>
          <w:b/>
        </w:rPr>
        <w:t xml:space="preserve">activity</w:t>
      </w:r>
      <w:r>
        <w:t xml:space="preserve"> label and a </w:t>
      </w:r>
      <w:r>
        <w:rPr>
          <w:b/>
        </w:rPr>
        <w:t xml:space="preserve">timestamp</w:t>
      </w:r>
      <w:r>
        <w:t xml:space="preserve">, often enriched with a </w:t>
      </w:r>
      <w:r>
        <w:rPr>
          <w:b/>
        </w:rPr>
        <w:t xml:space="preserve">resource</w:t>
      </w:r>
      <w:r>
        <w:t xml:space="preserve"> or a completion timestamp (Reinkemeyer, 2020b). Traces sharing an activity sequence form a </w:t>
      </w:r>
      <w:r>
        <w:rPr>
          <w:b/>
        </w:rPr>
        <w:t xml:space="preserve">variant</w:t>
      </w:r>
      <w:r>
        <w:t xml:space="preserve">, and the variant distribution is usually the first thing an analyst inspects, because it separates dominant paths from the long tail of exceptions.</w:t>
      </w:r>
    </w:p>
    <w:p>
      <w:pPr>
        <w:pStyle w:val="BasicText"/>
      </w:pPr>
      <w:r>
        <w:t xml:space="preserve">The </w:t>
      </w:r>
      <w:r>
        <w:rPr>
          <w:b/>
        </w:rPr>
        <w:t xml:space="preserve">XES</w:t>
      </w:r>
      <w:r>
        <w:t xml:space="preserve"> standard (IEEE Standards Association, 2016) gives this an interchange format: XML with a fixed log-trace-event hierarchy and an extension mechanism assigning semantics to attribute keys. Tabular </w:t>
      </w:r>
      <w:r>
        <w:rPr>
          <w:b/>
        </w:rPr>
        <w:t xml:space="preserve">CSV</w:t>
      </w:r>
      <w:r>
        <w:t xml:space="preserve"> carries the same information without the semantics; which column is the case identifier is recorded nowhere in the file and must be supplied at import, which is why the platform's CSV path needs a column-mapping step and the XES path does not (§4.6). </w:t>
      </w:r>
      <w:r>
        <w:rPr>
          <w:b/>
        </w:rPr>
        <w:t xml:space="preserve">Object-centric process mining</w:t>
      </w:r>
      <w:r>
        <w:t xml:space="preserve"> relaxes the assumption that each event belongs to exactly one case (van der Aalst, 2019): in many processes several object types interact, and forcing such data into a single case notion produces the known distortions of convergence and divergence. The </w:t>
      </w:r>
      <w:r>
        <w:rPr>
          <w:b/>
        </w:rPr>
        <w:t xml:space="preserve">OCEL</w:t>
      </w:r>
      <w:r>
        <w:t xml:space="preserve"> standard (Ghahfarokhi et al., 2021) represents these logs as events, objects and their relations.</w:t>
      </w:r>
    </w:p>
    <w:p>
      <w:pPr>
        <w:pStyle w:val="BasicText"/>
      </w:pPr>
      <w:r>
        <w:t xml:space="preserve">One structural assumption underlies everything below. An event log is an </w:t>
      </w:r>
      <w:r>
        <w:rPr>
          <w:b/>
        </w:rPr>
        <w:t xml:space="preserve">ordered, case-attributed sequence of recorded events, written once and read many times</w:t>
      </w:r>
      <w:r>
        <w:t xml:space="preserve">, and the overwhelming majority of reads are aggregations over a few columns across many rows. Every later decision about storage and querying follows from it; §4.6 makes the derivation explicit.</w:t>
      </w:r>
    </w:p>
    <w:p>
      <w:pPr>
        <w:pStyle w:val="Heading2"/>
      </w:pPr>
      <w:r>
        <w:t xml:space="preserve">The Analytical Disciplines</w:t>
      </w:r>
    </w:p>
    <w:p>
      <w:pPr>
        <w:pStyle w:val="BasicText"/>
      </w:pPr>
      <w:r>
        <w:t xml:space="preserve">The literature distinguishes three analysis types (van der Aalst, 2016; van der Aalst et al., 2012). </w:t>
      </w:r>
      <w:r>
        <w:rPr>
          <w:b/>
        </w:rPr>
        <w:t xml:space="preserve">Process discovery</w:t>
      </w:r>
      <w:r>
        <w:t xml:space="preserve"> derives a model from a log with no a priori model; since several models can explain one log, model quality is weighed along four competing dimensions, </w:t>
      </w:r>
      <w:r>
        <w:rPr>
          <w:b/>
        </w:rPr>
        <w:t xml:space="preserve">fitness</w:t>
      </w:r>
      <w:r>
        <w:t xml:space="preserve"> (does the model permit the log's behaviour), </w:t>
      </w:r>
      <w:r>
        <w:rPr>
          <w:b/>
        </w:rPr>
        <w:t xml:space="preserve">precision</w:t>
      </w:r>
      <w:r>
        <w:t xml:space="preserve"> (does it permit little else), </w:t>
      </w:r>
      <w:r>
        <w:rPr>
          <w:b/>
        </w:rPr>
        <w:t xml:space="preserve">generalisation</w:t>
      </w:r>
      <w:r>
        <w:t xml:space="preserve"> (does it permit plausible unseen behaviour) and </w:t>
      </w:r>
      <w:r>
        <w:rPr>
          <w:b/>
        </w:rPr>
        <w:t xml:space="preserve">simplicity</w:t>
      </w:r>
      <w:r>
        <w:t xml:space="preserve"> (is it readable), which trade off, and which is why a platform must offer several discovery algorithms rather than one canonical choice. </w:t>
      </w:r>
      <w:r>
        <w:rPr>
          <w:b/>
        </w:rPr>
        <w:t xml:space="preserve">Conformance checking</w:t>
      </w:r>
      <w:r>
        <w:t xml:space="preserve"> compares a model with a log to detect and quantify deviations (Rozinat &amp; van der Aalst, 2008), producing fitness and precision scores and a localisation of the disagreement; replay-based and alignment-based techniques differ sharply in cost and informativeness (Carmona et al., 2022). </w:t>
      </w:r>
      <w:r>
        <w:rPr>
          <w:b/>
        </w:rPr>
        <w:t xml:space="preserve">Enhancement</w:t>
      </w:r>
      <w:r>
        <w:t xml:space="preserve"> repairs or extends a model using the log, for instance by projecting bottlenecks onto it.</w:t>
      </w:r>
    </w:p>
    <w:p>
      <w:pPr>
        <w:pStyle w:val="BasicText"/>
      </w:pPr>
      <w:r>
        <w:t xml:space="preserve">Read as a set, the three share a shape that matters architecturally. Each consumes a log, optionally consumes an artefact another technique produced, and produces an artefact. None needs to know where the log came from, who owns it, or how the result is displayed. This licenses the platform's central abstraction, </w:t>
      </w:r>
      <w:r>
        <w:rPr>
          <w:b/>
        </w:rPr>
        <w:t xml:space="preserve">log in, artefact out</w:t>
      </w:r>
      <w:r>
        <w:t xml:space="preserve">, and it is why that abstraction can be one uniform module contract rather than three plug-in types (§5.2).</w:t>
      </w:r>
    </w:p>
    <w:p>
      <w:pPr>
        <w:pStyle w:val="BasicText"/>
      </w:pPr>
      <w:r>
        <w:t xml:space="preserve">Two further concerns motivate several bundled modules. </w:t>
      </w:r>
      <w:r>
        <w:rPr>
          <w:b/>
        </w:rPr>
        <w:t xml:space="preserve">Concept drift</w:t>
      </w:r>
      <w:r>
        <w:t xml:space="preserve"> is a process changing while it is analysed (Bose et al., 2014), which undermines methods assuming a stable process: two iterations analysed as one log yield a model describing neither. The literature distinguishes sudden, gradual, incremental and recurring drift, and three tasks: change point detection, change localisation and characterisation, and change process discovery. Surveys agree no single method dominates on accuracy, latency, robustness and scalability at once (Adams et al., 2023; Elkhawaga et al., 2020; Sato et al., 2022), which is itself an argument for a platform on which several can be installed side by side. </w:t>
      </w:r>
      <w:r>
        <w:rPr>
          <w:b/>
        </w:rPr>
        <w:t xml:space="preserve">Process complexity</w:t>
      </w:r>
      <w:r>
        <w:t xml:space="preserve"> describes how difficult a process is to understand, analyse or explain; structural measures computed over a model describe the intended design, while behavioural measures computed from the log capture what happened and correlate with the quality of models discovery produces from it (Augusto et al., 2022; Langer, 2025).</w:t>
      </w:r>
    </w:p>
    <w:p>
      <w:pPr>
        <w:pStyle w:val="Heading2"/>
      </w:pPr>
      <w:r>
        <w:t xml:space="preserve">Model Notations and Performance Measures</w:t>
      </w:r>
    </w:p>
    <w:p>
      <w:pPr>
        <w:pStyle w:val="BasicText"/>
      </w:pPr>
      <w:r>
        <w:t xml:space="preserve">The platform renders models in five notations; formal semantics are out of scope. A </w:t>
      </w:r>
      <w:r>
        <w:rPr>
          <w:b/>
        </w:rPr>
        <w:t xml:space="preserve">directly-follows graph</w:t>
      </w:r>
      <w:r>
        <w:t xml:space="preserve"> (DFG) has one node per activity and an edge from </w:t>
      </w:r>
      <w:r>
        <w:rPr>
          <w:i/>
        </w:rPr>
        <w:t xml:space="preserve">a</w:t>
      </w:r>
      <w:r>
        <w:t xml:space="preserve"> to </w:t>
      </w:r>
      <w:r>
        <w:rPr>
          <w:i/>
        </w:rPr>
        <w:t xml:space="preserve">b</w:t>
      </w:r>
      <w:r>
        <w:t xml:space="preserve"> whenever </w:t>
      </w:r>
      <w:r>
        <w:rPr>
          <w:i/>
        </w:rPr>
        <w:t xml:space="preserve">b</w:t>
      </w:r>
      <w:r>
        <w:t xml:space="preserve"> directly followed </w:t>
      </w:r>
      <w:r>
        <w:rPr>
          <w:i/>
        </w:rPr>
        <w:t xml:space="preserve">a</w:t>
      </w:r>
      <w:r>
        <w:t xml:space="preserve">, annotated with frequency or mean duration; it is the most readable and the least expressive, since it cannot distinguish concurrency from interleaving. A </w:t>
      </w:r>
      <w:r>
        <w:rPr>
          <w:b/>
        </w:rPr>
        <w:t xml:space="preserve">Petri net</w:t>
      </w:r>
      <w:r>
        <w:t xml:space="preserve"> of places and transitions does express concurrency, choice and synchronisation precisely, and the Alpha and Inductive miners produce one. A </w:t>
      </w:r>
      <w:r>
        <w:rPr>
          <w:b/>
        </w:rPr>
        <w:t xml:space="preserve">process tree</w:t>
      </w:r>
      <w:r>
        <w:t xml:space="preserve"> composes sub-trees with sequence, choice, parallel and loop operators and is sound by construction, which is what the Inductive miner builds internally. A </w:t>
      </w:r>
      <w:r>
        <w:rPr>
          <w:b/>
        </w:rPr>
        <w:t xml:space="preserve">heuristics net</w:t>
      </w:r>
      <w:r>
        <w:t xml:space="preserve"> sits between the DFG and the Petri net, suppressing infrequent behaviour by threshold before inferring dependencies. </w:t>
      </w:r>
      <w:r>
        <w:rPr>
          <w:b/>
        </w:rPr>
        <w:t xml:space="preserve">BPMN</w:t>
      </w:r>
      <w:r>
        <w:t xml:space="preserve"> is the notation practitioners model in, and the platform converts discovered models into it so a discovered process can be compared with a documented one.</w:t>
      </w:r>
    </w:p>
    <w:p>
      <w:pPr>
        <w:pStyle w:val="BasicText"/>
      </w:pPr>
      <w:r>
        <w:t xml:space="preserve">The time measures used are equally few. </w:t>
      </w:r>
      <w:r>
        <w:rPr>
          <w:b/>
        </w:rPr>
        <w:t xml:space="preserve">Throughput</w:t>
      </w:r>
      <w:r>
        <w:t xml:space="preserve"> is cases completed per unit time and </w:t>
      </w:r>
      <w:r>
        <w:rPr>
          <w:b/>
        </w:rPr>
        <w:t xml:space="preserve">lead time</w:t>
      </w:r>
      <w:r>
        <w:t xml:space="preserve"> the elapsed time from a case's first to last event. </w:t>
      </w:r>
      <w:r>
        <w:rPr>
          <w:b/>
        </w:rPr>
        <w:t xml:space="preserve">Sojourn time</w:t>
      </w:r>
      <w:r>
        <w:t xml:space="preserve"> is the time an activity occupies and </w:t>
      </w:r>
      <w:r>
        <w:rPr>
          <w:b/>
        </w:rPr>
        <w:t xml:space="preserve">waiting time</w:t>
      </w:r>
      <w:r>
        <w:t xml:space="preserve"> the interval between one activity completing and the next starting; separating the two needs a start and an end timestamp per event, which is why several modules declare </w:t>
      </w:r>
      <w:r>
        <w:rPr>
          <w:rFonts w:ascii="Courier New" w:hAnsi="Courier New"/>
          <w:sz w:val="20"/>
        </w:rPr>
        <w:t xml:space="preserve">end_timestamp</w:t>
      </w:r>
      <w:r>
        <w:t xml:space="preserve"> as an optional column that unlocks extra output. Because these distributions are heavily right-skewed, </w:t>
      </w:r>
      <w:r>
        <w:rPr>
          <w:b/>
        </w:rPr>
        <w:t xml:space="preserve">percentiles</w:t>
      </w:r>
      <w:r>
        <w:t xml:space="preserve"> rather than means are the honest summary, and the platform reports the 90th percentile alongside the mean.</w:t>
      </w:r>
    </w:p>
    <w:p>
      <w:pPr>
        <w:pStyle w:val="Heading2"/>
      </w:pPr>
      <w:r>
        <w:t xml:space="preserve">Platforms versus Libraries: A Conceptual Distinction</w:t>
      </w:r>
    </w:p>
    <w:p>
      <w:pPr>
        <w:pStyle w:val="BasicText"/>
      </w:pPr>
      <w:r>
        <w:t xml:space="preserve">Chapter 3 compares a cloud suite, a desktop research framework and a Python package. Comparing them at all requires a criterion saying what they share and where they differ.</w:t>
      </w:r>
    </w:p>
    <w:p>
      <w:pPr>
        <w:pStyle w:val="BasicText"/>
      </w:pPr>
      <w:r>
        <w:t xml:space="preserve">A process mining </w:t>
      </w:r>
      <w:r>
        <w:rPr>
          <w:b/>
        </w:rPr>
        <w:t xml:space="preserve">library</w:t>
      </w:r>
      <w:r>
        <w:t xml:space="preserve"> provides algorithms: functions taking data structures and returning data structures, making no claim about where the data came from, who may see it, or what happens when a call takes ten minutes. PM4Py is the canonical example (Berti et al., 2023).</w:t>
      </w:r>
    </w:p>
    <w:p>
      <w:pPr>
        <w:pStyle w:val="BasicText"/>
      </w:pPr>
      <w:r>
        <w:t xml:space="preserve">A process mining </w:t>
      </w:r>
      <w:r>
        <w:rPr>
          <w:b/>
        </w:rPr>
        <w:t xml:space="preserve">platform</w:t>
      </w:r>
      <w:r>
        <w:t xml:space="preserve"> provides algorithms </w:t>
      </w:r>
      <w:r>
        <w:rPr>
          <w:i/>
        </w:rPr>
        <w:t xml:space="preserve">and</w:t>
      </w:r>
      <w:r>
        <w:t xml:space="preserve"> what makes running them repeatedly, by several people, over time, tractable. It adds five things a library has not: </w:t>
      </w:r>
      <w:r>
        <w:rPr>
          <w:b/>
        </w:rPr>
        <w:t xml:space="preserve">persistence</w:t>
      </w:r>
      <w:r>
        <w:t xml:space="preserve">, so a log imported today is analysable tomorrow; </w:t>
      </w:r>
      <w:r>
        <w:rPr>
          <w:b/>
        </w:rPr>
        <w:t xml:space="preserve">identity</w:t>
      </w:r>
      <w:r>
        <w:t xml:space="preserve">, so there is a notion of who is asking and the answer differs by asker; </w:t>
      </w:r>
      <w:r>
        <w:rPr>
          <w:b/>
        </w:rPr>
        <w:t xml:space="preserve">concurrency</w:t>
      </w:r>
      <w:r>
        <w:t xml:space="preserve">, so several analyses and several people proceed without interfering; </w:t>
      </w:r>
      <w:r>
        <w:rPr>
          <w:b/>
        </w:rPr>
        <w:t xml:space="preserve">an interface</w:t>
      </w:r>
      <w:r>
        <w:t xml:space="preserve">, so results reach somebody who did not write the algorithm; and </w:t>
      </w:r>
      <w:r>
        <w:rPr>
          <w:b/>
        </w:rPr>
        <w:t xml:space="preserve">a lifecycle for third-party extensions</w:t>
      </w:r>
      <w:r>
        <w:t xml:space="preserve">, so capability can be added, configured, updated and removed by someone other than the original authors while the system is in use.</w:t>
      </w:r>
    </w:p>
    <w:p>
      <w:pPr>
        <w:pStyle w:val="BasicText"/>
      </w:pPr>
      <w:r>
        <w:t xml:space="preserve">These five are the evaluation grid of Chapter 3, alongside criteria specific to this project's setting. The distinction is operational rather than evaluative: it does not make libraries inferior, but it says that turning a library into something an analyst can use is real work, and that measuring a tool against criteria it never intended to satisfy would be a category error. It also frames this project's contribution precisely. Mate implements very few process mining algorithms itself; almost all its analytical capability comes from PM4Py and from reference implementations published alongside papers. What it contributes is the platform layer, and specifically the fifth property, the extension lifecycle, which the existing tools treat least seriously.</w:t>
      </w:r>
    </w:p>
    <w:p>
      <w:pPr>
        <w:pStyle w:val="Heading1"/>
      </w:pPr>
      <w:r>
        <w:t xml:space="preserve">Existing Platforms and Positioning</w:t>
      </w:r>
    </w:p>
    <w:p>
      <w:pPr>
        <w:pStyle w:val="Heading2"/>
      </w:pPr>
      <w:r>
        <w:t xml:space="preserve">Evaluation Framework</w:t>
      </w:r>
    </w:p>
    <w:p>
      <w:pPr>
        <w:pStyle w:val="BasicText"/>
      </w:pPr>
      <w:r>
        <w:t xml:space="preserve">The tools compared here differ in kind, not degree. Placing a cloud suite, a desktop research framework and a Python package on one page is only defensible if the criteria let each be described fairly, including by saying a criterion does not apply. Seven are used, derived from §2.4 and from the constraints of §1.1.</w:t>
      </w:r>
    </w:p>
    <w:p>
      <w:pPr>
        <w:pStyle w:val="BasicText"/>
      </w:pPr>
      <w:r>
        <w:rPr>
          <w:b/>
        </w:rPr>
        <w:t xml:space="preserve">C1: Deployment and data locality.</w:t>
      </w:r>
      <w:r>
        <w:t xml:space="preserve"> Where does the software run and where does event data reside during analysis? This is decisive here, because a tool requiring data to leave the university is unusable for much of the intended workload regardless of its other merits.</w:t>
      </w:r>
    </w:p>
    <w:p>
      <w:pPr>
        <w:pStyle w:val="BasicText"/>
      </w:pPr>
      <w:r>
        <w:rPr>
          <w:b/>
        </w:rPr>
        <w:t xml:space="preserve">C2: Licensing and cost of access.</w:t>
      </w:r>
      <w:r>
        <w:t xml:space="preserve"> Not the list price, but whether a student cohort can be given access for a seminar and whether the resulting artefacts survive the licence.</w:t>
      </w:r>
    </w:p>
    <w:p>
      <w:pPr>
        <w:pStyle w:val="BasicText"/>
      </w:pPr>
      <w:r>
        <w:rPr>
          <w:b/>
        </w:rPr>
        <w:t xml:space="preserve">C3: Extensibility mechanism.</w:t>
      </w:r>
      <w:r>
        <w:t xml:space="preserve"> How is new analytical capability added by someone who is not the vendor or a core maintainer? Developed separately in §3.4, because this is where the project's contribution rests.</w:t>
      </w:r>
    </w:p>
    <w:p>
      <w:pPr>
        <w:pStyle w:val="BasicText"/>
      </w:pPr>
      <w:r>
        <w:rPr>
          <w:b/>
        </w:rPr>
        <w:t xml:space="preserve">C4: Multi-user support and isolation.</w:t>
      </w:r>
      <w:r>
        <w:t xml:space="preserve"> Can several people use one installation concurrently, with their data separated? A single-user desktop tool is not deficient for answering no; the consequence is that a seminar of twenty students needs twenty installations. </w:t>
      </w:r>
      <w:r>
        <w:rPr>
          <w:b/>
        </w:rPr>
        <w:t xml:space="preserve">C5: Analytical coverage.</w:t>
      </w:r>
      <w:r>
        <w:t xml:space="preserve"> How much of the discovery, conformance and enhancement space, plus object-centric and predictive capability, is available out of the box? </w:t>
      </w:r>
      <w:r>
        <w:rPr>
          <w:b/>
        </w:rPr>
        <w:t xml:space="preserve">C6: Interface maturity.</w:t>
      </w:r>
      <w:r>
        <w:t xml:space="preserve"> Can a competent analyst who is not a developer work productively? </w:t>
      </w:r>
      <w:r>
        <w:rPr>
          <w:b/>
        </w:rPr>
        <w:t xml:space="preserve">C7: Target audience.</w:t>
      </w:r>
      <w:r>
        <w:t xml:space="preserve"> Reported explicitly, because several apparent weaknesses dissolve once the intended audience is stated, and a comparison omitting it produces misleading verdicts.</w:t>
      </w:r>
    </w:p>
    <w:p>
      <w:pPr>
        <w:pStyle w:val="BasicText"/>
      </w:pPr>
      <w:r>
        <w:t xml:space="preserve">The comparison drew on vendor and project documentation, trial use of the open-source tools during the project, and the literature on tool support and adoption (Grisold et al., 2020; van Dongen et al., 2005). Its limits should be plain: this is a </w:t>
      </w:r>
      <w:r>
        <w:rPr>
          <w:b/>
        </w:rPr>
        <w:t xml:space="preserve">structured qualitative comparison, not a benchmark</w:t>
      </w:r>
      <w:r>
        <w:t xml:space="preserve">, and for the commercial suites it rests on published documentation rather than hands-on use under a full licence, so it is reliable about architecture and licensing and not about everyday user experience. §10.6 returns to this.</w:t>
      </w:r>
    </w:p>
    <w:p>
      <w:pPr>
        <w:pStyle w:val="Heading2"/>
      </w:pPr>
      <w:r>
        <w:t xml:space="preserve">Commercial Process Mining Suites</w:t>
      </w:r>
    </w:p>
    <w:p>
      <w:pPr>
        <w:pStyle w:val="BasicText"/>
      </w:pPr>
      <w:r>
        <w:t xml:space="preserve">A commercial process mining platform operationalises the techniques of §2.2 end to end, connecting to source systems such as ERP or CRM tools, extracting and maintaining event logs, and presenting results for analysis (Thummarakoti, 2026). The central artefact is the discovered process map, complemented by a variant explorer, KPI dashboards, conformance views and root-cause analyses (Zerbato et al., 2024). Contemporary suites have grown well beyond control-flow discovery: task mining capturing desktop-level interactions, process modelling with simulation, continuous monitoring and compliance checking, and action engines triggering recommendations or downstream automation. Two newer capabilities are prominent: object-centric process mining, which Celonis builds its offering around as an intelligence graph, and AI-assisted conversational interfaces, framed as the way to supply the operational context autonomous agents need to act on processes safely. The broadening is reflected in Gartner's renaming of its Magic Quadrant from </w:t>
      </w:r>
      <w:r>
        <w:rPr>
          <w:i/>
        </w:rPr>
        <w:t xml:space="preserve">Process Mining</w:t>
      </w:r>
      <w:r>
        <w:t xml:space="preserve"> to </w:t>
      </w:r>
      <w:r>
        <w:rPr>
          <w:i/>
        </w:rPr>
        <w:t xml:space="preserve">Process Intelligence Platforms</w:t>
      </w:r>
      <w:r>
        <w:t xml:space="preserve"> (2026 Gartner Magic Quadrant for Process Intelligence Platforms, n.d.).</w:t>
      </w:r>
    </w:p>
    <w:tbl>
      <w:tblPr>
        <w:tblStyle w:val="TableGrid"/>
        <w:tblW w:w="8500" w:type="dxa"/>
        <w:tblLayout w:type="fixed"/>
        <w:tblLook w:val="04A0"/>
      </w:tblPr>
      <w:tblGrid>
        <w:gridCol w:w="8500"/>
      </w:tblGrid>
      <w:tr>
        <w:tc>
          <w:tcPr>
            <w:tcW w:w="8500" w:type="dxa"/>
            <w:shd w:val="clear" w:color="auto" w:fill="F7F7F7"/>
          </w:tcPr>
          <w:p>
            <w:pPr>
              <w:pStyle w:val="BasicTextTable"/>
            </w:pPr>
            <w:r>
              <w:rPr>
                <w:b/>
              </w:rPr>
              <w:t xml:space="preserve">[ARTWORK TO BE INSERTED] </w:t>
            </w:r>
            <w:r>
              <w:t xml:space="preserve">REPRODUCED FIGURE. Reuse the Magic Quadrant image already present as Figure 1 in the earlier draft "PS Flows &amp; Funds Documentation - PM-MATE.pdf" (page 7). Check the reproduction terms before including it; if it cannot be reproduced, replace this figure with a short table naming the four Leaders (Celonis, SAP Signavio, ARIS, Pegasystems) and the acquiring entrants (UiPath, IBM, Microsoft), and delete the figure reference in the surrounding text.</w:t>
            </w:r>
          </w:p>
        </w:tc>
      </w:tr>
    </w:tbl>
    <w:p>
      <w:pPr>
        <w:pStyle w:val="Caption"/>
      </w:pPr>
      <w:r>
        <w:t xml:space="preserve">Fig. </w:t>
      </w:r>
      <w:fldSimple w:instr=" SEQ Fig. \* ARABIC ">
        <w:r>
          <w:t>1</w:t>
        </w:r>
      </w:fldSimple>
      <w:r>
        <w:t xml:space="preserve">: </w:t>
      </w:r>
      <w:r>
        <w:t xml:space="preserve">Gartner Magic Quadrant for Process Intelligence Platforms, April 2026.</w:t>
      </w:r>
    </w:p>
    <w:p>
      <w:pPr>
        <w:pStyle w:val="BasicText"/>
      </w:pPr>
      <w:r>
        <w:t xml:space="preserve">In the April 2026 quadrant the Leaders are Celonis, the most prominent pure-play vendor, together with SAP Signavio, ARIS and Pegasystems, while further vendors entered largely by acquiring specialist tools, among them UiPath, IBM and Microsoft. Two caveats apply: the figure positions vendors by market standing rather than feature parity, and several capability areas it scores, among them context knowledge, analysis recommendation and temporal dynamics, remain active research directions rather than settled product features.</w:t>
      </w:r>
    </w:p>
    <w:p>
      <w:pPr>
        <w:pStyle w:val="BasicText"/>
      </w:pPr>
      <w:r>
        <w:t xml:space="preserve">Against the criteria, the suites set the bar on </w:t>
      </w:r>
      <w:r>
        <w:rPr>
          <w:b/>
        </w:rPr>
        <w:t xml:space="preserve">coverage (C5)</w:t>
      </w:r>
      <w:r>
        <w:t xml:space="preserve"> and </w:t>
      </w:r>
      <w:r>
        <w:rPr>
          <w:b/>
        </w:rPr>
        <w:t xml:space="preserve">interface maturity (C6)</w:t>
      </w:r>
      <w:r>
        <w:t xml:space="preserve">, and nothing here disputes that. On </w:t>
      </w:r>
      <w:r>
        <w:rPr>
          <w:b/>
        </w:rPr>
        <w:t xml:space="preserve">locality (C1)</w:t>
      </w:r>
      <w:r>
        <w:t xml:space="preserve"> they are cloud-first; on-premise options exist but are the exception and are not what the roadmap is built around. On </w:t>
      </w:r>
      <w:r>
        <w:rPr>
          <w:b/>
        </w:rPr>
        <w:t xml:space="preserve">licensing (C2)</w:t>
      </w:r>
      <w:r>
        <w:t xml:space="preserve"> they are the hardest constraint in an academic setting, since academic programmes are time-limited and bound to the vendor's hosted environment, so a seminar artefact does not outlive the licence. On </w:t>
      </w:r>
      <w:r>
        <w:rPr>
          <w:b/>
        </w:rPr>
        <w:t xml:space="preserve">extensibility (C3)</w:t>
      </w:r>
      <w:r>
        <w:t xml:space="preserve"> the picture matters most: extension is real but happens inside a vendor-governed application model, in the language the vendor supports, subject to the vendor's review and release process. Publishing a new drift-detection method as something a user can run is not a matter of writing the method; it is a matter of entering a partner programme. On </w:t>
      </w:r>
      <w:r>
        <w:rPr>
          <w:b/>
        </w:rPr>
        <w:t xml:space="preserve">C4</w:t>
      </w:r>
      <w:r>
        <w:t xml:space="preserve"> they are unambiguously strong, and </w:t>
      </w:r>
      <w:r>
        <w:rPr>
          <w:b/>
        </w:rPr>
        <w:t xml:space="preserve">C7</w:t>
      </w:r>
      <w:r>
        <w:t xml:space="preserve">, the enterprise analyst, explains every other entry in the row.</w:t>
      </w:r>
    </w:p>
    <w:p>
      <w:pPr>
        <w:pStyle w:val="Heading2"/>
      </w:pPr>
      <w:r>
        <w:t xml:space="preserve">Open-Source and Academic Platforms</w:t>
      </w:r>
    </w:p>
    <w:p>
      <w:pPr>
        <w:pStyle w:val="BasicText"/>
      </w:pPr>
      <w:r>
        <w:t xml:space="preserve">The open-source lineage splits into three traditions.</w:t>
      </w:r>
    </w:p>
    <w:p>
      <w:pPr>
        <w:pStyle w:val="BasicText"/>
      </w:pPr>
      <w:r>
        <w:t xml:space="preserve">The </w:t>
      </w:r>
      <w:r>
        <w:rPr>
          <w:b/>
        </w:rPr>
        <w:t xml:space="preserve">plug-in-based desktop tradition</w:t>
      </w:r>
      <w:r>
        <w:t xml:space="preserve"> is defined by ProM (van Dongen et al., 2005), the reference environment for academic process mining for two decades. Its architecture is explicitly extensible: plug-ins declare input and output types and the framework routes data between them. Its coverage is unmatched, precisely because generations of researchers contributed. Its limits are equally clear: a single-user desktop Java application with no identity, no server, no concurrent use and no persistence beyond the filesystem, and an interface built for a researcher who already knows which plug-in they want.</w:t>
      </w:r>
    </w:p>
    <w:p>
      <w:pPr>
        <w:pStyle w:val="BasicText"/>
      </w:pPr>
      <w:r>
        <w:t xml:space="preserve">The </w:t>
      </w:r>
      <w:r>
        <w:rPr>
          <w:b/>
        </w:rPr>
        <w:t xml:space="preserve">library-centric Python ecosystem</w:t>
      </w:r>
      <w:r>
        <w:t xml:space="preserve"> is dominated by PM4Py (Berti, Zelst, et al., 2019; Berti et al., 2023), with bupaR occupying the equivalent position in R, RapidProM embedding operators into a workflow environment and PMLAB offering a scripting environment (Carmona &amp; Sole, n.d.). Extensibility here is maximal in one sense and absent in another: anyone can write a function, and there is nothing to plug it into, no lifecycle, no discovery, no configuration surface, no interface and no isolation between one author's dependencies and another's. </w:t>
      </w:r>
      <w:r>
        <w:rPr>
          <w:b/>
        </w:rPr>
        <w:t xml:space="preserve">Open-source server offerings</w:t>
      </w:r>
      <w:r>
        <w:t xml:space="preserve"> close part of the gap with a web interface and persistence over a subset of the technique space, but are weaker on extension than the desktop tradition: capability is contributed by modifying the application, which puts new analysis behind the maintainers' release cycle and turns a local extension into a fork.</w:t>
      </w:r>
    </w:p>
    <w:p>
      <w:pPr>
        <w:pStyle w:val="BasicText"/>
      </w:pPr>
      <w:r>
        <w:t xml:space="preserve">The pattern is consistent. Extensibility in the open-source world is real, but it is bought at the price of single-user desktop operation, developer-level entry barriers, or the absence of the operational concerns a shared installation requires.</w:t>
      </w:r>
    </w:p>
    <w:p>
      <w:pPr>
        <w:pStyle w:val="Heading2"/>
      </w:pPr>
      <w:r>
        <w:t xml:space="preserve">Extension Models in Direct Comparison</w:t>
      </w:r>
    </w:p>
    <w:p>
      <w:pPr>
        <w:pStyle w:val="BasicText"/>
      </w:pPr>
      <w:r>
        <w:t xml:space="preserve">Four questions separate the extension mechanisms: what must an author know, what isolation is granted, can dependencies conflict, and can the extension contribute interface?</w:t>
      </w:r>
    </w:p>
    <w:p>
      <w:pPr>
        <w:pStyle w:val="BasicText"/>
      </w:pPr>
      <w:r>
        <w:rPr>
          <w:b/>
        </w:rPr>
        <w:t xml:space="preserve">Desktop plug-in registries (ProM).</w:t>
      </w:r>
      <w:r>
        <w:t xml:space="preserve"> An author must know the framework's type system and annotation conventions and build against its release. Isolation is by class loader at best; in practice plug-ins share one JVM and one classpath. Dependency conflicts are therefore possible and are resolved by maintainers choosing a version, which occasionally means a plug-in cannot be updated because another pins an incompatible library. Interface contribution is supported through custom visualisers, a genuine strength.</w:t>
      </w:r>
    </w:p>
    <w:p>
      <w:pPr>
        <w:pStyle w:val="BasicText"/>
      </w:pPr>
      <w:r>
        <w:rPr>
          <w:b/>
        </w:rPr>
        <w:t xml:space="preserve">Library imports (PM4Py, bupaR).</w:t>
      </w:r>
      <w:r>
        <w:t xml:space="preserve"> An author must know only function signatures, the lowest barrier here. There is no isolation, because there is no container. Dependency conflicts are routine and pushed entirely onto the user. Interface contribution is out of scope; the output is a data structure.</w:t>
      </w:r>
    </w:p>
    <w:p>
      <w:pPr>
        <w:pStyle w:val="BasicText"/>
      </w:pPr>
      <w:r>
        <w:rPr>
          <w:b/>
        </w:rPr>
        <w:t xml:space="preserve">Vendor application marketplaces.</w:t>
      </w:r>
      <w:r>
        <w:t xml:space="preserve"> An author must know the vendor's application model, data model and submission process, by far the highest barrier and the only one including an approval step outside the author's control. Isolation is strong, since the vendor sandboxes the code. Conflicts are prevented by restricting what may be depended upon. Interface contribution is supported within the vendor's component vocabulary.</w:t>
      </w:r>
    </w:p>
    <w:p>
      <w:pPr>
        <w:pStyle w:val="BasicText"/>
      </w:pPr>
      <w:r>
        <w:rPr>
          <w:b/>
        </w:rPr>
        <w:t xml:space="preserve">The module contract developed here.</w:t>
      </w:r>
      <w:r>
        <w:t xml:space="preserve"> An author must know a manifest schema and one base class with three decorators, and nothing else about the platform; §8.12 quantifies rather than asserts this. Isolation is by dependency: each module resolves its own Python dependencies into its own environment, and may additionally run in a separate process on its own interpreter (§5.4). Conflicts between modules are impossible by construction, because no two share a resolution scope. Interface contribution is supported through a separately bundled panel constrained to an allow-list of platform imports (§5.7). The mechanism is not language-bound: a manifest may declare a non-Python runtime, and the reference implementation of that path is a Java module (§5.5).</w:t>
      </w:r>
    </w:p>
    <w:p>
      <w:pPr>
        <w:pStyle w:val="BasicText"/>
      </w:pPr>
      <w:r>
        <w:t xml:space="preserve">Two qualifications belong here rather than in the evaluation. The isolation Mate grants is </w:t>
      </w:r>
      <w:r>
        <w:rPr>
          <w:b/>
        </w:rPr>
        <w:t xml:space="preserve">dependency isolation and process separation, not a security sandbox</w:t>
      </w:r>
      <w:r>
        <w:t xml:space="preserve">; a module runs with the platform's privileges and installing one is a trusted action (§5.9). The vendor marketplaces are genuinely stronger on that axis and pay for it with the approval process. And the entry-barrier claim is weakened by authoring currently requiring a clone of the platform repository rather than an installable SDK package (§11.2).</w:t>
      </w:r>
    </w:p>
    <w:p>
      <w:pPr>
        <w:pStyle w:val="Heading2"/>
      </w:pPr>
      <w:r>
        <w:t xml:space="preserve">Synthesis: Identified Gap and Positioning of Mate</w:t>
      </w:r>
    </w:p>
    <w:p>
      <w:pPr>
        <w:pStyle w:val="Caption"/>
      </w:pPr>
      <w:r>
        <w:t xml:space="preserve">Tab. </w:t>
      </w:r>
      <w:fldSimple w:instr=" SEQ Tab. \* ARABIC ">
        <w:r>
          <w:t>1</w:t>
        </w:r>
      </w:fldSimple>
      <w:r>
        <w:t xml:space="preserve">: </w:t>
      </w:r>
      <w:r>
        <w:t xml:space="preserve">The evaluation grid of section 3.1 applied to the tool classes and to Mate.</w:t>
      </w:r>
    </w:p>
    <w:tbl>
      <w:tblPr>
        <w:tblStyle w:val="TableGrid"/>
        <w:tblW w:w="8500" w:type="dxa"/>
        <w:tblLayout w:type="fixed"/>
        <w:tblLook w:val="04A0" w:firstRow="1" w:lastRow="0" w:firstColumn="1" w:lastColumn="0" w:noHBand="0" w:noVBand="1"/>
      </w:tblPr>
      <w:tblGrid>
        <w:gridCol w:w="1145"/>
        <w:gridCol w:w="1535"/>
        <w:gridCol w:w="1315"/>
        <w:gridCol w:w="1244"/>
        <w:gridCol w:w="1012"/>
        <w:gridCol w:w="2249"/>
      </w:tblGrid>
      <w:tr>
        <w:trPr>
          <w:tblHeader/>
        </w:trPr>
        <w:tc>
          <w:tcPr>
            <w:tcW w:w="1145" w:type="dxa"/>
            <w:shd w:val="clear" w:color="auto" w:fill="F2F2F2"/>
          </w:tcPr>
          <w:p>
            <w:pPr>
              <w:pStyle w:val="BasicTextTable"/>
            </w:pPr>
            <w:r>
              <w:rPr>
                <w:b/>
              </w:rPr>
              <w:t xml:space="preserve">Criterion</w:t>
            </w:r>
          </w:p>
        </w:tc>
        <w:tc>
          <w:tcPr>
            <w:tcW w:w="1535" w:type="dxa"/>
            <w:shd w:val="clear" w:color="auto" w:fill="F2F2F2"/>
          </w:tcPr>
          <w:p>
            <w:pPr>
              <w:pStyle w:val="BasicTextTable"/>
            </w:pPr>
            <w:r>
              <w:rPr>
                <w:b/>
              </w:rPr>
              <w:t xml:space="preserve">Commercial suites</w:t>
            </w:r>
          </w:p>
        </w:tc>
        <w:tc>
          <w:tcPr>
            <w:tcW w:w="1315" w:type="dxa"/>
            <w:shd w:val="clear" w:color="auto" w:fill="F2F2F2"/>
          </w:tcPr>
          <w:p>
            <w:pPr>
              <w:pStyle w:val="BasicTextTable"/>
            </w:pPr>
            <w:r>
              <w:rPr>
                <w:b/>
              </w:rPr>
              <w:t xml:space="preserve">ProM</w:t>
            </w:r>
          </w:p>
        </w:tc>
        <w:tc>
          <w:tcPr>
            <w:tcW w:w="1244" w:type="dxa"/>
            <w:shd w:val="clear" w:color="auto" w:fill="F2F2F2"/>
          </w:tcPr>
          <w:p>
            <w:pPr>
              <w:pStyle w:val="BasicTextTable"/>
            </w:pPr>
            <w:r>
              <w:rPr>
                <w:b/>
              </w:rPr>
              <w:t xml:space="preserve">PM4Py / bupaR</w:t>
            </w:r>
          </w:p>
        </w:tc>
        <w:tc>
          <w:tcPr>
            <w:tcW w:w="1012" w:type="dxa"/>
            <w:shd w:val="clear" w:color="auto" w:fill="F2F2F2"/>
          </w:tcPr>
          <w:p>
            <w:pPr>
              <w:pStyle w:val="BasicTextTable"/>
            </w:pPr>
            <w:r>
              <w:rPr>
                <w:b/>
              </w:rPr>
              <w:t xml:space="preserve">Open-source servers</w:t>
            </w:r>
          </w:p>
        </w:tc>
        <w:tc>
          <w:tcPr>
            <w:tcW w:w="2249" w:type="dxa"/>
            <w:shd w:val="clear" w:color="auto" w:fill="F2F2F2"/>
          </w:tcPr>
          <w:p>
            <w:pPr>
              <w:pStyle w:val="BasicTextTable"/>
            </w:pPr>
            <w:r>
              <w:rPr>
                <w:b/>
              </w:rPr>
              <w:t xml:space="preserve">Mate</w:t>
            </w:r>
          </w:p>
        </w:tc>
      </w:tr>
      <w:tr>
        <w:tc>
          <w:tcPr>
            <w:tcW w:w="1145" w:type="dxa"/>
          </w:tcPr>
          <w:p>
            <w:pPr>
              <w:pStyle w:val="BasicTextTable"/>
            </w:pPr>
            <w:r>
              <w:t xml:space="preserve">C1 Deployment and locality</w:t>
            </w:r>
          </w:p>
        </w:tc>
        <w:tc>
          <w:tcPr>
            <w:tcW w:w="1535" w:type="dxa"/>
          </w:tcPr>
          <w:p>
            <w:pPr>
              <w:pStyle w:val="BasicTextTable"/>
            </w:pPr>
            <w:r>
              <w:t xml:space="preserve">Cloud-first; on-premise is the exception</w:t>
            </w:r>
          </w:p>
        </w:tc>
        <w:tc>
          <w:tcPr>
            <w:tcW w:w="1315" w:type="dxa"/>
          </w:tcPr>
          <w:p>
            <w:pPr>
              <w:pStyle w:val="BasicTextTable"/>
            </w:pPr>
            <w:r>
              <w:t xml:space="preserve">Desktop, data local</w:t>
            </w:r>
          </w:p>
        </w:tc>
        <w:tc>
          <w:tcPr>
            <w:tcW w:w="1244" w:type="dxa"/>
          </w:tcPr>
          <w:p>
            <w:pPr>
              <w:pStyle w:val="BasicTextTable"/>
            </w:pPr>
            <w:r>
              <w:t xml:space="preserve">Wherever the script runs</w:t>
            </w:r>
          </w:p>
        </w:tc>
        <w:tc>
          <w:tcPr>
            <w:tcW w:w="1012" w:type="dxa"/>
          </w:tcPr>
          <w:p>
            <w:pPr>
              <w:pStyle w:val="BasicTextTable"/>
            </w:pPr>
            <w:r>
              <w:t xml:space="preserve">Self-hosted server</w:t>
            </w:r>
          </w:p>
        </w:tc>
        <w:tc>
          <w:tcPr>
            <w:tcW w:w="2249" w:type="dxa"/>
          </w:tcPr>
          <w:p>
            <w:pPr>
              <w:pStyle w:val="BasicTextTable"/>
            </w:pPr>
            <w:r>
              <w:t xml:space="preserve">Self-hosted; all data on the host</w:t>
            </w:r>
          </w:p>
        </w:tc>
      </w:tr>
      <w:tr>
        <w:tc>
          <w:tcPr>
            <w:tcW w:w="1145" w:type="dxa"/>
          </w:tcPr>
          <w:p>
            <w:pPr>
              <w:pStyle w:val="BasicTextTable"/>
            </w:pPr>
            <w:r>
              <w:t xml:space="preserve">C2 Licensing</w:t>
            </w:r>
          </w:p>
        </w:tc>
        <w:tc>
          <w:tcPr>
            <w:tcW w:w="1535" w:type="dxa"/>
          </w:tcPr>
          <w:p>
            <w:pPr>
              <w:pStyle w:val="BasicTextTable"/>
            </w:pPr>
            <w:r>
              <w:t xml:space="preserve">Commercial; academic access time-limited</w:t>
            </w:r>
          </w:p>
        </w:tc>
        <w:tc>
          <w:tcPr>
            <w:tcW w:w="1315" w:type="dxa"/>
          </w:tcPr>
          <w:p>
            <w:pPr>
              <w:pStyle w:val="BasicTextTable"/>
            </w:pPr>
            <w:r>
              <w:t xml:space="preserve">Open source</w:t>
            </w:r>
          </w:p>
        </w:tc>
        <w:tc>
          <w:tcPr>
            <w:tcW w:w="1244" w:type="dxa"/>
          </w:tcPr>
          <w:p>
            <w:pPr>
              <w:pStyle w:val="BasicTextTable"/>
            </w:pPr>
            <w:r>
              <w:t xml:space="preserve">Open source</w:t>
            </w:r>
          </w:p>
        </w:tc>
        <w:tc>
          <w:tcPr>
            <w:tcW w:w="1012" w:type="dxa"/>
          </w:tcPr>
          <w:p>
            <w:pPr>
              <w:pStyle w:val="BasicTextTable"/>
            </w:pPr>
            <w:r>
              <w:t xml:space="preserve">Open source</w:t>
            </w:r>
          </w:p>
        </w:tc>
        <w:tc>
          <w:tcPr>
            <w:tcW w:w="2249" w:type="dxa"/>
          </w:tcPr>
          <w:p>
            <w:pPr>
              <w:pStyle w:val="BasicTextTable"/>
            </w:pPr>
            <w:r>
              <w:t xml:space="preserve">Open source</w:t>
            </w:r>
          </w:p>
        </w:tc>
      </w:tr>
      <w:tr>
        <w:tc>
          <w:tcPr>
            <w:tcW w:w="1145" w:type="dxa"/>
          </w:tcPr>
          <w:p>
            <w:pPr>
              <w:pStyle w:val="BasicTextTable"/>
            </w:pPr>
            <w:r>
              <w:t xml:space="preserve">C3 Extensibility</w:t>
            </w:r>
          </w:p>
        </w:tc>
        <w:tc>
          <w:tcPr>
            <w:tcW w:w="1535" w:type="dxa"/>
          </w:tcPr>
          <w:p>
            <w:pPr>
              <w:pStyle w:val="BasicTextTable"/>
            </w:pPr>
            <w:r>
              <w:t xml:space="preserve">Vendor-governed app model, approval required</w:t>
            </w:r>
          </w:p>
        </w:tc>
        <w:tc>
          <w:tcPr>
            <w:tcW w:w="1315" w:type="dxa"/>
          </w:tcPr>
          <w:p>
            <w:pPr>
              <w:pStyle w:val="BasicTextTable"/>
            </w:pPr>
            <w:r>
              <w:t xml:space="preserve">Plug-in registry, shared classpath</w:t>
            </w:r>
          </w:p>
        </w:tc>
        <w:tc>
          <w:tcPr>
            <w:tcW w:w="1244" w:type="dxa"/>
          </w:tcPr>
          <w:p>
            <w:pPr>
              <w:pStyle w:val="BasicTextTable"/>
            </w:pPr>
            <w:r>
              <w:t xml:space="preserve">Import a function; no lifecycle</w:t>
            </w:r>
          </w:p>
        </w:tc>
        <w:tc>
          <w:tcPr>
            <w:tcW w:w="1012" w:type="dxa"/>
          </w:tcPr>
          <w:p>
            <w:pPr>
              <w:pStyle w:val="BasicTextTable"/>
            </w:pPr>
            <w:r>
              <w:t xml:space="preserve">Modify the application</w:t>
            </w:r>
          </w:p>
        </w:tc>
        <w:tc>
          <w:tcPr>
            <w:tcW w:w="2249" w:type="dxa"/>
          </w:tcPr>
          <w:p>
            <w:pPr>
              <w:pStyle w:val="BasicTextTable"/>
            </w:pPr>
            <w:r>
              <w:t xml:space="preserve">Manifest plus SDK class; per-module dependency isolation; polyglot</w:t>
            </w:r>
          </w:p>
        </w:tc>
      </w:tr>
      <w:tr>
        <w:tc>
          <w:tcPr>
            <w:tcW w:w="1145" w:type="dxa"/>
          </w:tcPr>
          <w:p>
            <w:pPr>
              <w:pStyle w:val="BasicTextTable"/>
            </w:pPr>
            <w:r>
              <w:t xml:space="preserve">C4 Multi-user and isolation</w:t>
            </w:r>
          </w:p>
        </w:tc>
        <w:tc>
          <w:tcPr>
            <w:tcW w:w="1535" w:type="dxa"/>
          </w:tcPr>
          <w:p>
            <w:pPr>
              <w:pStyle w:val="BasicTextTable"/>
            </w:pPr>
            <w:r>
              <w:t xml:space="preserve">Strong</w:t>
            </w:r>
          </w:p>
        </w:tc>
        <w:tc>
          <w:tcPr>
            <w:tcW w:w="1315" w:type="dxa"/>
          </w:tcPr>
          <w:p>
            <w:pPr>
              <w:pStyle w:val="BasicTextTable"/>
            </w:pPr>
            <w:r>
              <w:t xml:space="preserve">None (single user)</w:t>
            </w:r>
          </w:p>
        </w:tc>
        <w:tc>
          <w:tcPr>
            <w:tcW w:w="1244" w:type="dxa"/>
          </w:tcPr>
          <w:p>
            <w:pPr>
              <w:pStyle w:val="BasicTextTable"/>
            </w:pPr>
            <w:r>
              <w:t xml:space="preserve">None</w:t>
            </w:r>
          </w:p>
        </w:tc>
        <w:tc>
          <w:tcPr>
            <w:tcW w:w="1012" w:type="dxa"/>
          </w:tcPr>
          <w:p>
            <w:pPr>
              <w:pStyle w:val="BasicTextTable"/>
            </w:pPr>
            <w:r>
              <w:t xml:space="preserve">Present, varying depth</w:t>
            </w:r>
          </w:p>
        </w:tc>
        <w:tc>
          <w:tcPr>
            <w:tcW w:w="2249" w:type="dxa"/>
          </w:tcPr>
          <w:p>
            <w:pPr>
              <w:pStyle w:val="BasicTextTable"/>
            </w:pPr>
            <w:r>
              <w:t xml:space="preserve">Per-user isolation on every layer; read-only dashboard sharing as the one exception</w:t>
            </w:r>
          </w:p>
        </w:tc>
      </w:tr>
      <w:tr>
        <w:tc>
          <w:tcPr>
            <w:tcW w:w="1145" w:type="dxa"/>
          </w:tcPr>
          <w:p>
            <w:pPr>
              <w:pStyle w:val="BasicTextTable"/>
            </w:pPr>
            <w:r>
              <w:t xml:space="preserve">C5 Analytical coverage</w:t>
            </w:r>
          </w:p>
        </w:tc>
        <w:tc>
          <w:tcPr>
            <w:tcW w:w="1535" w:type="dxa"/>
          </w:tcPr>
          <w:p>
            <w:pPr>
              <w:pStyle w:val="BasicTextTable"/>
            </w:pPr>
            <w:r>
              <w:t xml:space="preserve">Very broad, plus task mining and automation</w:t>
            </w:r>
          </w:p>
        </w:tc>
        <w:tc>
          <w:tcPr>
            <w:tcW w:w="1315" w:type="dxa"/>
          </w:tcPr>
          <w:p>
            <w:pPr>
              <w:pStyle w:val="BasicTextTable"/>
            </w:pPr>
            <w:r>
              <w:t xml:space="preserve">Very broad, research-led</w:t>
            </w:r>
          </w:p>
        </w:tc>
        <w:tc>
          <w:tcPr>
            <w:tcW w:w="1244" w:type="dxa"/>
          </w:tcPr>
          <w:p>
            <w:pPr>
              <w:pStyle w:val="BasicTextTable"/>
            </w:pPr>
            <w:r>
              <w:t xml:space="preserve">Broad, current</w:t>
            </w:r>
          </w:p>
        </w:tc>
        <w:tc>
          <w:tcPr>
            <w:tcW w:w="1012" w:type="dxa"/>
          </w:tcPr>
          <w:p>
            <w:pPr>
              <w:pStyle w:val="BasicTextTable"/>
            </w:pPr>
            <w:r>
              <w:t xml:space="preserve">Subset</w:t>
            </w:r>
          </w:p>
        </w:tc>
        <w:tc>
          <w:tcPr>
            <w:tcW w:w="2249" w:type="dxa"/>
          </w:tcPr>
          <w:p>
            <w:pPr>
              <w:pStyle w:val="BasicTextTable"/>
            </w:pPr>
            <w:r>
              <w:t xml:space="preserve">Subset, extensible; 17 bundled modules</w:t>
            </w:r>
          </w:p>
        </w:tc>
      </w:tr>
      <w:tr>
        <w:tc>
          <w:tcPr>
            <w:tcW w:w="1145" w:type="dxa"/>
          </w:tcPr>
          <w:p>
            <w:pPr>
              <w:pStyle w:val="BasicTextTable"/>
            </w:pPr>
            <w:r>
              <w:t xml:space="preserve">C6 Interface maturity</w:t>
            </w:r>
          </w:p>
        </w:tc>
        <w:tc>
          <w:tcPr>
            <w:tcW w:w="1535" w:type="dxa"/>
          </w:tcPr>
          <w:p>
            <w:pPr>
              <w:pStyle w:val="BasicTextTable"/>
            </w:pPr>
            <w:r>
              <w:t xml:space="preserve">High</w:t>
            </w:r>
          </w:p>
        </w:tc>
        <w:tc>
          <w:tcPr>
            <w:tcW w:w="1315" w:type="dxa"/>
          </w:tcPr>
          <w:p>
            <w:pPr>
              <w:pStyle w:val="BasicTextTable"/>
            </w:pPr>
            <w:r>
              <w:t xml:space="preserve">Low for non-specialists</w:t>
            </w:r>
          </w:p>
        </w:tc>
        <w:tc>
          <w:tcPr>
            <w:tcW w:w="1244" w:type="dxa"/>
          </w:tcPr>
          <w:p>
            <w:pPr>
              <w:pStyle w:val="BasicTextTable"/>
            </w:pPr>
            <w:r>
              <w:t xml:space="preserve">None</w:t>
            </w:r>
          </w:p>
        </w:tc>
        <w:tc>
          <w:tcPr>
            <w:tcW w:w="1012" w:type="dxa"/>
          </w:tcPr>
          <w:p>
            <w:pPr>
              <w:pStyle w:val="BasicTextTable"/>
            </w:pPr>
            <w:r>
              <w:t xml:space="preserve">Moderate</w:t>
            </w:r>
          </w:p>
        </w:tc>
        <w:tc>
          <w:tcPr>
            <w:tcW w:w="2249" w:type="dxa"/>
          </w:tcPr>
          <w:p>
            <w:pPr>
              <w:pStyle w:val="BasicTextTable"/>
            </w:pPr>
            <w:r>
              <w:t xml:space="preserve">Moderate</w:t>
            </w:r>
          </w:p>
        </w:tc>
      </w:tr>
      <w:tr>
        <w:tc>
          <w:tcPr>
            <w:tcW w:w="1145" w:type="dxa"/>
          </w:tcPr>
          <w:p>
            <w:pPr>
              <w:pStyle w:val="BasicTextTable"/>
            </w:pPr>
            <w:r>
              <w:t xml:space="preserve">C7 Target audience</w:t>
            </w:r>
          </w:p>
        </w:tc>
        <w:tc>
          <w:tcPr>
            <w:tcW w:w="1535" w:type="dxa"/>
          </w:tcPr>
          <w:p>
            <w:pPr>
              <w:pStyle w:val="BasicTextTable"/>
            </w:pPr>
            <w:r>
              <w:t xml:space="preserve">Enterprise analyst</w:t>
            </w:r>
          </w:p>
        </w:tc>
        <w:tc>
          <w:tcPr>
            <w:tcW w:w="1315" w:type="dxa"/>
          </w:tcPr>
          <w:p>
            <w:pPr>
              <w:pStyle w:val="BasicTextTable"/>
            </w:pPr>
            <w:r>
              <w:t xml:space="preserve">Researcher</w:t>
            </w:r>
          </w:p>
        </w:tc>
        <w:tc>
          <w:tcPr>
            <w:tcW w:w="1244" w:type="dxa"/>
          </w:tcPr>
          <w:p>
            <w:pPr>
              <w:pStyle w:val="BasicTextTable"/>
            </w:pPr>
            <w:r>
              <w:t xml:space="preserve">Developer or data scientist</w:t>
            </w:r>
          </w:p>
        </w:tc>
        <w:tc>
          <w:tcPr>
            <w:tcW w:w="1012" w:type="dxa"/>
          </w:tcPr>
          <w:p>
            <w:pPr>
              <w:pStyle w:val="BasicTextTable"/>
            </w:pPr>
            <w:r>
              <w:t xml:space="preserve">Analyst</w:t>
            </w:r>
          </w:p>
        </w:tc>
        <w:tc>
          <w:tcPr>
            <w:tcW w:w="2249" w:type="dxa"/>
          </w:tcPr>
          <w:p>
            <w:pPr>
              <w:pStyle w:val="BasicTextTable"/>
            </w:pPr>
            <w:r>
              <w:t xml:space="preserve">Analyst, researcher and student on one installation</w:t>
            </w:r>
          </w:p>
        </w:tc>
      </w:tr>
    </w:tbl>
    <w:p>
      <w:pPr>
        <w:pStyle w:val="BasicText"/>
      </w:pPr>
    </w:p>
    <w:p>
      <w:pPr>
        <w:pStyle w:val="BasicText"/>
      </w:pPr>
      <w:r>
        <w:t xml:space="preserve">Read by column, each class is strong on a coherent subset and weak on its complement. Read by row, no column combines local operation, multi-user isolation and an extension mechanism open to unmodified research code. That empty region is the gap:</w:t>
      </w:r>
    </w:p>
    <w:p>
      <w:pPr>
        <w:pStyle w:val="BasicTextIndentation"/>
      </w:pPr>
      <w:r>
        <w:rPr>
          <w:b/>
        </w:rPr>
        <w:t xml:space="preserve">a locally hosted, multi-user platform whose extension mechanism is powerful enough for unmodified research code yet governed enough for third-party contributions.</w:t>
      </w:r>
    </w:p>
    <w:p>
      <w:pPr>
        <w:pStyle w:val="BasicText"/>
      </w:pPr>
      <w:r>
        <w:t xml:space="preserve">Three design goals follow, implemented by Chapters 4 and 5 in this order so that the architecture reads as a consequence of the analysis rather than as independent preference.</w:t>
      </w:r>
    </w:p>
    <w:p>
      <w:pPr>
        <w:pStyle w:val="BasicText"/>
      </w:pPr>
      <w:r>
        <w:rPr>
          <w:b/>
        </w:rPr>
        <w:t xml:space="preserve">G1: Every component runs embedded on a single host.</w:t>
      </w:r>
      <w:r>
        <w:t xml:space="preserve"> No broker, no external database service, no runtime cloud dependency. §4.2 justifies each technology choice against it.</w:t>
      </w:r>
    </w:p>
    <w:p>
      <w:pPr>
        <w:pStyle w:val="BasicText"/>
      </w:pPr>
      <w:r>
        <w:rPr>
          <w:b/>
        </w:rPr>
        <w:t xml:space="preserve">G2: Isolation is an architectural invariant, not a feature.</w:t>
      </w:r>
      <w:r>
        <w:t xml:space="preserve"> Every layer, database rows, on-disk directories, job records and live event envelopes, keys on one identity claim. §4.5 states the invariant in the form future contributors must maintain.</w:t>
      </w:r>
    </w:p>
    <w:p>
      <w:pPr>
        <w:pStyle w:val="BasicText"/>
      </w:pPr>
      <w:r>
        <w:rPr>
          <w:b/>
        </w:rPr>
        <w:t xml:space="preserve">G3: Extension is by contract, and the contract is proven by using it internally.</w:t>
      </w:r>
      <w:r>
        <w:t xml:space="preserve"> The module contract is the centre of the design (Chapter 5), and the platform's own analytical functionality is authored through it with no privileged hooks. §5.1 explains why this self-imposed constraint is the strongest available evidence of sufficiency, and Chapter 6 reports what happened when it met real research code.</w:t>
      </w:r>
    </w:p>
    <w:p>
      <w:pPr>
        <w:pStyle w:val="Heading1"/>
      </w:pPr>
      <w:r>
        <w:t xml:space="preserve">Platform Architecture</w:t>
      </w:r>
    </w:p>
    <w:p>
      <w:pPr>
        <w:pStyle w:val="Heading2"/>
      </w:pPr>
      <w:r>
        <w:t xml:space="preserve">Architectural Overview</w:t>
      </w:r>
    </w:p>
    <w:p>
      <w:pPr>
        <w:pStyle w:val="BasicText"/>
      </w:pPr>
      <w:r>
        <w:t xml:space="preserve">Mate is two application services plus a bundled identity provider. The </w:t>
      </w:r>
      <w:r>
        <w:rPr>
          <w:rFonts w:ascii="Courier New" w:hAnsi="Courier New"/>
          <w:sz w:val="20"/>
        </w:rPr>
        <w:t xml:space="preserve">api</w:t>
      </w:r>
      <w:r>
        <w:t xml:space="preserve"> service is a FastAPI application holding all process mining logic, the HTTP surface, the job runtime and the module system. The </w:t>
      </w:r>
      <w:r>
        <w:rPr>
          <w:rFonts w:ascii="Courier New" w:hAnsi="Courier New"/>
          <w:sz w:val="20"/>
        </w:rPr>
        <w:t xml:space="preserve">web</w:t>
      </w:r>
      <w:r>
        <w:t xml:space="preserve"> service is a Next.js application rendering the user interface. Identity comes from a bundled Keycloak instance, the only component with a database of its own: a small PostgreSQL container for accounts, sessions and realm configuration. Everything else the platform persists lives in one bind-mounted directory on the host, a SQLite file for metadata and Parquet files for event data. There is no broker, no cache server, and no runtime dependency on any service outside the host.</w:t>
      </w:r>
    </w:p>
    <w:tbl>
      <w:tblPr>
        <w:tblStyle w:val="TableGrid"/>
        <w:tblW w:w="8500" w:type="dxa"/>
        <w:tblLayout w:type="fixed"/>
        <w:tblLook w:val="04A0"/>
      </w:tblPr>
      <w:tblGrid>
        <w:gridCol w:w="8500"/>
      </w:tblGrid>
      <w:tr>
        <w:tc>
          <w:tcPr>
            <w:tcW w:w="8500" w:type="dxa"/>
            <w:shd w:val="clear" w:color="auto" w:fill="F7F7F7"/>
          </w:tcPr>
          <w:p>
            <w:pPr>
              <w:pStyle w:val="BasicTextTable"/>
            </w:pPr>
            <w:r>
              <w:rPr>
                <w:b/>
              </w:rPr>
              <w:t xml:space="preserve">[ARTWORK TO BE INSERTED] </w:t>
            </w:r>
            <w:r>
              <w:t xml:space="preserve">DIAGRAM. Browser at the top with three arrows: to "web (Next.js)" labelled "HTML / RSC", to "api (FastAPI)" labelled "REST + SSE, Bearer token", and to "keycloak" labelled "OIDC redirect". Dashed arrow web to api labelled "server components only". Below api, a bind-mounted "data/" cylinder holding "metadata.db (SQLite)", "users/{user_id}/*.parquet" and "uv-python/", beside a "modules/" folder holding "manifest.yaml, module.py, .venv/, .dist/". Attach keycloak to a separate "keycloak-db (PostgreSQL)" cylinder marked "never joined". Enclose all in "single host, no broker, no cloud". Add a dotted "neo4j (profile: graph)" and a dotted "proxy (Caddy), prod overlay only".</w:t>
            </w:r>
          </w:p>
        </w:tc>
      </w:tr>
    </w:tbl>
    <w:p>
      <w:pPr>
        <w:pStyle w:val="Caption"/>
      </w:pPr>
      <w:r>
        <w:t xml:space="preserve">Fig. </w:t>
      </w:r>
      <w:fldSimple w:instr=" SEQ Fig. \* ARABIC ">
        <w:r>
          <w:t>1</w:t>
        </w:r>
      </w:fldSimple>
      <w:r>
        <w:t xml:space="preserve">: </w:t>
      </w:r>
      <w:r>
        <w:t xml:space="preserve">The architecture of Mate: two application services, a bundled identity provider, and embedded storage on one host.</w:t>
      </w:r>
    </w:p>
    <w:p>
      <w:pPr>
        <w:pStyle w:val="BasicText"/>
      </w:pPr>
      <w:r>
        <w:t xml:space="preserve">The service cut easiest to misread is that </w:t>
      </w:r>
      <w:r>
        <w:rPr>
          <w:b/>
        </w:rPr>
        <w:t xml:space="preserve">the browser talks to the `api` service directly</w:t>
      </w:r>
      <w:r>
        <w:t xml:space="preserve"> rather than routing every call through the Next.js server. Using Next.js as a backend-for-frontend would have inserted a second network hop in front of every request, required duplicating authorisation logic in TypeScript, and made streaming job progress a matter of proxying through a Node process. Instead the API URL is inlined into the client bundle at build time, the browser attaches its bearer token directly, and CORS permits exactly the web origin. Server components still reach the API through an internal URL with the cookie-backed token, but that path serves initial render, not interaction. In production both origins collapse onto one (§7.4), at which point CORS becomes moot.</w:t>
      </w:r>
    </w:p>
    <w:p>
      <w:pPr>
        <w:pStyle w:val="BasicText"/>
      </w:pPr>
      <w:r>
        <w:t xml:space="preserve">Four invariants are established here and respected throughout. </w:t>
      </w:r>
      <w:r>
        <w:rPr>
          <w:b/>
        </w:rPr>
        <w:t xml:space="preserve">No component may require an external service at runtime.</w:t>
      </w:r>
      <w:r>
        <w:t xml:space="preserve"> </w:t>
      </w:r>
      <w:r>
        <w:rPr>
          <w:b/>
        </w:rPr>
        <w:t xml:space="preserve">Every user-scoped artefact carries the authenticated identity</w:t>
      </w:r>
      <w:r>
        <w:t xml:space="preserve">, at rest and in flight (§4.5). </w:t>
      </w:r>
      <w:r>
        <w:rPr>
          <w:b/>
        </w:rPr>
        <w:t xml:space="preserve">Anything that can outlast a request is a job</w:t>
      </w:r>
      <w:r>
        <w:t xml:space="preserve">, never a long-held HTTP connection (§4.7). And </w:t>
      </w:r>
      <w:r>
        <w:rPr>
          <w:b/>
        </w:rPr>
        <w:t xml:space="preserve">the platform's own analytical functionality has no privilege a module lacks</w:t>
      </w:r>
      <w:r>
        <w:t xml:space="preserve">, which makes the module contract load-bearing rather than decorative (Chapter 5).</w:t>
      </w:r>
    </w:p>
    <w:p>
      <w:pPr>
        <w:pStyle w:val="Heading2"/>
      </w:pPr>
      <w:r>
        <w:t xml:space="preserve">Technology Stack and Its Rationale</w:t>
      </w:r>
    </w:p>
    <w:p>
      <w:pPr>
        <w:pStyle w:val="BasicText"/>
      </w:pPr>
      <w:r>
        <w:t xml:space="preserve">Every choice was made against one criterion, design goal G1: the component must run embedded on a single host without operational staff.</w:t>
      </w:r>
    </w:p>
    <w:p>
      <w:pPr>
        <w:pStyle w:val="Caption"/>
      </w:pPr>
      <w:r>
        <w:t xml:space="preserve">Tab. </w:t>
      </w:r>
      <w:fldSimple w:instr=" SEQ Tab. \* ARABIC ">
        <w:r>
          <w:t>1</w:t>
        </w:r>
      </w:fldSimple>
      <w:r>
        <w:t xml:space="preserve">: </w:t>
      </w:r>
      <w:r>
        <w:t xml:space="preserve">The principal technology choices, and the alternative each was preferred over.</w:t>
      </w:r>
    </w:p>
    <w:tbl>
      <w:tblPr>
        <w:tblStyle w:val="TableGrid"/>
        <w:tblW w:w="8500" w:type="dxa"/>
        <w:tblLayout w:type="fixed"/>
        <w:tblLook w:val="04A0" w:firstRow="1" w:lastRow="0" w:firstColumn="1" w:lastColumn="0" w:noHBand="0" w:noVBand="1"/>
      </w:tblPr>
      <w:tblGrid>
        <w:gridCol w:w="1136"/>
        <w:gridCol w:w="1722"/>
        <w:gridCol w:w="5642"/>
      </w:tblGrid>
      <w:tr>
        <w:trPr>
          <w:tblHeader/>
        </w:trPr>
        <w:tc>
          <w:tcPr>
            <w:tcW w:w="1136" w:type="dxa"/>
            <w:shd w:val="clear" w:color="auto" w:fill="F2F2F2"/>
          </w:tcPr>
          <w:p>
            <w:pPr>
              <w:pStyle w:val="BasicTextTable"/>
            </w:pPr>
            <w:r>
              <w:rPr>
                <w:b/>
              </w:rPr>
              <w:t xml:space="preserve">Concern</w:t>
            </w:r>
          </w:p>
        </w:tc>
        <w:tc>
          <w:tcPr>
            <w:tcW w:w="1722" w:type="dxa"/>
            <w:shd w:val="clear" w:color="auto" w:fill="F2F2F2"/>
          </w:tcPr>
          <w:p>
            <w:pPr>
              <w:pStyle w:val="BasicTextTable"/>
            </w:pPr>
            <w:r>
              <w:rPr>
                <w:b/>
              </w:rPr>
              <w:t xml:space="preserve">Choice</w:t>
            </w:r>
          </w:p>
        </w:tc>
        <w:tc>
          <w:tcPr>
            <w:tcW w:w="5642" w:type="dxa"/>
            <w:shd w:val="clear" w:color="auto" w:fill="F2F2F2"/>
          </w:tcPr>
          <w:p>
            <w:pPr>
              <w:pStyle w:val="BasicTextTable"/>
            </w:pPr>
            <w:r>
              <w:rPr>
                <w:b/>
              </w:rPr>
              <w:t xml:space="preserve">Why, and what was rejected</w:t>
            </w:r>
          </w:p>
        </w:tc>
      </w:tr>
      <w:tr>
        <w:tc>
          <w:tcPr>
            <w:tcW w:w="1136" w:type="dxa"/>
          </w:tcPr>
          <w:p>
            <w:pPr>
              <w:pStyle w:val="BasicTextTable"/>
            </w:pPr>
            <w:r>
              <w:t xml:space="preserve">Backend language</w:t>
            </w:r>
          </w:p>
        </w:tc>
        <w:tc>
          <w:tcPr>
            <w:tcW w:w="1722" w:type="dxa"/>
          </w:tcPr>
          <w:p>
            <w:pPr>
              <w:pStyle w:val="BasicTextTable"/>
            </w:pPr>
            <w:r>
              <w:t xml:space="preserve">Python 3.12, pinned</w:t>
            </w:r>
          </w:p>
        </w:tc>
        <w:tc>
          <w:tcPr>
            <w:tcW w:w="5642" w:type="dxa"/>
          </w:tcPr>
          <w:p>
            <w:pPr>
              <w:pStyle w:val="BasicTextTable"/>
            </w:pPr>
            <w:r>
              <w:t xml:space="preserve">The de facto language of the process mining ecosystem, so PM4Py and the reference implementations published with papers are directly usable (Berti et al., 2023; Python Software Foundation, 2025). The pin later becomes a hard constraint on in-process modules (§5.4)</w:t>
            </w:r>
          </w:p>
        </w:tc>
      </w:tr>
      <w:tr>
        <w:tc>
          <w:tcPr>
            <w:tcW w:w="1136" w:type="dxa"/>
          </w:tcPr>
          <w:p>
            <w:pPr>
              <w:pStyle w:val="BasicTextTable"/>
            </w:pPr>
            <w:r>
              <w:t xml:space="preserve">Web framework</w:t>
            </w:r>
          </w:p>
        </w:tc>
        <w:tc>
          <w:tcPr>
            <w:tcW w:w="1722" w:type="dxa"/>
          </w:tcPr>
          <w:p>
            <w:pPr>
              <w:pStyle w:val="BasicTextTable"/>
            </w:pPr>
            <w:r>
              <w:t xml:space="preserve">FastAPI</w:t>
            </w:r>
          </w:p>
        </w:tc>
        <w:tc>
          <w:tcPr>
            <w:tcW w:w="5642" w:type="dxa"/>
          </w:tcPr>
          <w:p>
            <w:pPr>
              <w:pStyle w:val="BasicTextTable"/>
            </w:pPr>
            <w:r>
              <w:t xml:space="preserve">Derives its interface from type annotations and emits OpenAPI as a by-product, which makes end-to-end type safety cheap (Ramirez, 2024); asynchronous by default, so a request enqueues work and returns. Django with Celery was rejected: Celery needs a broker, and therefore a third container</w:t>
            </w:r>
          </w:p>
        </w:tc>
      </w:tr>
      <w:tr>
        <w:tc>
          <w:tcPr>
            <w:tcW w:w="1136" w:type="dxa"/>
          </w:tcPr>
          <w:p>
            <w:pPr>
              <w:pStyle w:val="BasicTextTable"/>
            </w:pPr>
            <w:r>
              <w:t xml:space="preserve">Validation</w:t>
            </w:r>
          </w:p>
        </w:tc>
        <w:tc>
          <w:tcPr>
            <w:tcW w:w="1722" w:type="dxa"/>
          </w:tcPr>
          <w:p>
            <w:pPr>
              <w:pStyle w:val="BasicTextTable"/>
            </w:pPr>
            <w:r>
              <w:t xml:space="preserve">Pydantic v2</w:t>
            </w:r>
          </w:p>
        </w:tc>
        <w:tc>
          <w:tcPr>
            <w:tcW w:w="5642" w:type="dxa"/>
          </w:tcPr>
          <w:p>
            <w:pPr>
              <w:pStyle w:val="BasicTextTable"/>
            </w:pPr>
            <w:r>
              <w:t xml:space="preserve">Models feed the generated OpenAPI description directly (Pydantic, 2024)</w:t>
            </w:r>
          </w:p>
        </w:tc>
      </w:tr>
      <w:tr>
        <w:tc>
          <w:tcPr>
            <w:tcW w:w="1136" w:type="dxa"/>
          </w:tcPr>
          <w:p>
            <w:pPr>
              <w:pStyle w:val="BasicTextTable"/>
            </w:pPr>
            <w:r>
              <w:t xml:space="preserve">Packaging</w:t>
            </w:r>
          </w:p>
        </w:tc>
        <w:tc>
          <w:tcPr>
            <w:tcW w:w="1722" w:type="dxa"/>
          </w:tcPr>
          <w:p>
            <w:pPr>
              <w:pStyle w:val="BasicTextTable"/>
            </w:pPr>
            <w:r>
              <w:rPr>
                <w:rFonts w:ascii="Courier New" w:hAnsi="Courier New"/>
                <w:sz w:val="20"/>
              </w:rPr>
              <w:t xml:space="preserve">uv</w:t>
            </w:r>
          </w:p>
        </w:tc>
        <w:tc>
          <w:tcPr>
            <w:tcW w:w="5642" w:type="dxa"/>
          </w:tcPr>
          <w:p>
            <w:pPr>
              <w:pStyle w:val="BasicTextTable"/>
            </w:pPr>
            <w:r>
              <w:t xml:space="preserve">Fast enough that a separate environment per module at startup is viable (§5.3), which a slower installer would make untenable (Astral, 2025)</w:t>
            </w:r>
          </w:p>
        </w:tc>
      </w:tr>
      <w:tr>
        <w:tc>
          <w:tcPr>
            <w:tcW w:w="1136" w:type="dxa"/>
          </w:tcPr>
          <w:p>
            <w:pPr>
              <w:pStyle w:val="BasicTextTable"/>
            </w:pPr>
            <w:r>
              <w:t xml:space="preserve">Quality gates</w:t>
            </w:r>
          </w:p>
        </w:tc>
        <w:tc>
          <w:tcPr>
            <w:tcW w:w="1722" w:type="dxa"/>
          </w:tcPr>
          <w:p>
            <w:pPr>
              <w:pStyle w:val="BasicTextTable"/>
            </w:pPr>
            <w:r>
              <w:rPr>
                <w:rFonts w:ascii="Courier New" w:hAnsi="Courier New"/>
                <w:sz w:val="20"/>
              </w:rPr>
              <w:t xml:space="preserve">ruff</w:t>
            </w:r>
            <w:r>
              <w:t xml:space="preserve">, </w:t>
            </w:r>
            <w:r>
              <w:rPr>
                <w:rFonts w:ascii="Courier New" w:hAnsi="Courier New"/>
                <w:sz w:val="20"/>
              </w:rPr>
              <w:t xml:space="preserve">pyright</w:t>
            </w:r>
            <w:r>
              <w:t xml:space="preserve"> strict</w:t>
            </w:r>
          </w:p>
        </w:tc>
        <w:tc>
          <w:tcPr>
            <w:tcW w:w="5642" w:type="dxa"/>
          </w:tcPr>
          <w:p>
            <w:pPr>
              <w:pStyle w:val="BasicTextTable"/>
            </w:pPr>
            <w:r>
              <w:t xml:space="preserve">A Protocol nothing checks is a comment (Astral, 2024; Microsoft, 2024)</w:t>
            </w:r>
          </w:p>
        </w:tc>
      </w:tr>
      <w:tr>
        <w:tc>
          <w:tcPr>
            <w:tcW w:w="1136" w:type="dxa"/>
          </w:tcPr>
          <w:p>
            <w:pPr>
              <w:pStyle w:val="BasicTextTable"/>
            </w:pPr>
            <w:r>
              <w:t xml:space="preserve">Metadata store</w:t>
            </w:r>
          </w:p>
        </w:tc>
        <w:tc>
          <w:tcPr>
            <w:tcW w:w="1722" w:type="dxa"/>
          </w:tcPr>
          <w:p>
            <w:pPr>
              <w:pStyle w:val="BasicTextTable"/>
            </w:pPr>
            <w:r>
              <w:t xml:space="preserve">SQLite, WAL, Alembic</w:t>
            </w:r>
          </w:p>
        </w:tc>
        <w:tc>
          <w:tcPr>
            <w:tcW w:w="5642" w:type="dxa"/>
          </w:tcPr>
          <w:p>
            <w:pPr>
              <w:pStyle w:val="BasicTextTable"/>
            </w:pPr>
            <w:r>
              <w:t xml:space="preserve">Transactional, small, row-oriented state with zero configuration and no second container (SQLite, 2024). PostgreSQL was rejected on G1 grounds and is present only because Keycloak requires it</w:t>
            </w:r>
          </w:p>
        </w:tc>
      </w:tr>
      <w:tr>
        <w:tc>
          <w:tcPr>
            <w:tcW w:w="1136" w:type="dxa"/>
          </w:tcPr>
          <w:p>
            <w:pPr>
              <w:pStyle w:val="BasicTextTable"/>
            </w:pPr>
            <w:r>
              <w:t xml:space="preserve">Event-log store</w:t>
            </w:r>
          </w:p>
        </w:tc>
        <w:tc>
          <w:tcPr>
            <w:tcW w:w="1722" w:type="dxa"/>
          </w:tcPr>
          <w:p>
            <w:pPr>
              <w:pStyle w:val="BasicTextTable"/>
            </w:pPr>
            <w:r>
              <w:t xml:space="preserve">Parquet</w:t>
            </w:r>
          </w:p>
        </w:tc>
        <w:tc>
          <w:tcPr>
            <w:tcW w:w="5642" w:type="dxa"/>
          </w:tcPr>
          <w:p>
            <w:pPr>
              <w:pStyle w:val="BasicTextTable"/>
            </w:pPr>
            <w:r>
              <w:t xml:space="preserve">Columnar, compressed, typically five to twenty times smaller than the equivalent XES, read natively by pandas, polars and PM4Py (Apache Software Foundation, 2024)</w:t>
            </w:r>
          </w:p>
        </w:tc>
      </w:tr>
      <w:tr>
        <w:tc>
          <w:tcPr>
            <w:tcW w:w="1136" w:type="dxa"/>
          </w:tcPr>
          <w:p>
            <w:pPr>
              <w:pStyle w:val="BasicTextTable"/>
            </w:pPr>
            <w:r>
              <w:t xml:space="preserve">Analytics engine</w:t>
            </w:r>
          </w:p>
        </w:tc>
        <w:tc>
          <w:tcPr>
            <w:tcW w:w="1722" w:type="dxa"/>
          </w:tcPr>
          <w:p>
            <w:pPr>
              <w:pStyle w:val="BasicTextTable"/>
            </w:pPr>
            <w:r>
              <w:t xml:space="preserve">DuckDB</w:t>
            </w:r>
          </w:p>
        </w:tc>
        <w:tc>
          <w:tcPr>
            <w:tcW w:w="5642" w:type="dxa"/>
          </w:tcPr>
          <w:p>
            <w:pPr>
              <w:pStyle w:val="BasicTextTable"/>
            </w:pPr>
            <w:r>
              <w:t xml:space="preserve">Queries Parquet in-process with no ETL step, sub-second aggregations over millions of events (Raasveldt &amp; Mühleisen, 2019). Row-oriented storage is the wrong shape by an order of magnitude for the dominant group-by workload</w:t>
            </w:r>
          </w:p>
        </w:tc>
      </w:tr>
      <w:tr>
        <w:tc>
          <w:tcPr>
            <w:tcW w:w="1136" w:type="dxa"/>
          </w:tcPr>
          <w:p>
            <w:pPr>
              <w:pStyle w:val="BasicTextTable"/>
            </w:pPr>
            <w:r>
              <w:t xml:space="preserve">Frontend</w:t>
            </w:r>
          </w:p>
        </w:tc>
        <w:tc>
          <w:tcPr>
            <w:tcW w:w="1722" w:type="dxa"/>
          </w:tcPr>
          <w:p>
            <w:pPr>
              <w:pStyle w:val="BasicTextTable"/>
            </w:pPr>
            <w:r>
              <w:t xml:space="preserve">Next.js 15, React, strict TypeScript</w:t>
            </w:r>
          </w:p>
        </w:tc>
        <w:tc>
          <w:tcPr>
            <w:tcW w:w="5642" w:type="dxa"/>
          </w:tcPr>
          <w:p>
            <w:pPr>
              <w:pStyle w:val="BasicTextTable"/>
            </w:pPr>
            <w:r>
              <w:t xml:space="preserve">Server Components where they help (Meta Open Source, 2024; Vercel, 2024); the same preference for compile-time error detection as the backend (Bierman et al., 2014)</w:t>
            </w:r>
          </w:p>
        </w:tc>
      </w:tr>
      <w:tr>
        <w:tc>
          <w:tcPr>
            <w:tcW w:w="1136" w:type="dxa"/>
          </w:tcPr>
          <w:p>
            <w:pPr>
              <w:pStyle w:val="BasicTextTable"/>
            </w:pPr>
            <w:r>
              <w:t xml:space="preserve">Interface layer</w:t>
            </w:r>
          </w:p>
        </w:tc>
        <w:tc>
          <w:tcPr>
            <w:tcW w:w="1722" w:type="dxa"/>
          </w:tcPr>
          <w:p>
            <w:pPr>
              <w:pStyle w:val="BasicTextTable"/>
            </w:pPr>
            <w:r>
              <w:t xml:space="preserve">Tailwind CSS, shadcn/ui</w:t>
            </w:r>
          </w:p>
        </w:tc>
        <w:tc>
          <w:tcPr>
            <w:tcW w:w="5642" w:type="dxa"/>
          </w:tcPr>
          <w:p>
            <w:pPr>
              <w:pStyle w:val="BasicTextTable"/>
            </w:pPr>
            <w:r>
              <w:t xml:space="preserve">Components copied into the project rather than imported, and therefore freely adaptable (shadcn, 2024; Tailwind Labs, 2024)</w:t>
            </w:r>
          </w:p>
        </w:tc>
      </w:tr>
      <w:tr>
        <w:tc>
          <w:tcPr>
            <w:tcW w:w="1136" w:type="dxa"/>
          </w:tcPr>
          <w:p>
            <w:pPr>
              <w:pStyle w:val="BasicTextTable"/>
            </w:pPr>
            <w:r>
              <w:t xml:space="preserve">State</w:t>
            </w:r>
          </w:p>
        </w:tc>
        <w:tc>
          <w:tcPr>
            <w:tcW w:w="1722" w:type="dxa"/>
          </w:tcPr>
          <w:p>
            <w:pPr>
              <w:pStyle w:val="BasicTextTable"/>
            </w:pPr>
            <w:r>
              <w:t xml:space="preserve">TanStack Query, Zustand</w:t>
            </w:r>
          </w:p>
        </w:tc>
        <w:tc>
          <w:tcPr>
            <w:tcW w:w="5642" w:type="dxa"/>
          </w:tcPr>
          <w:p>
            <w:pPr>
              <w:pStyle w:val="BasicTextTable"/>
            </w:pPr>
            <w:r>
              <w:t xml:space="preserve">Server cache and local interface state kept strictly apart (Poimandres, 2024; TanStack, 2024)</w:t>
            </w:r>
          </w:p>
        </w:tc>
      </w:tr>
      <w:tr>
        <w:tc>
          <w:tcPr>
            <w:tcW w:w="1136" w:type="dxa"/>
          </w:tcPr>
          <w:p>
            <w:pPr>
              <w:pStyle w:val="BasicTextTable"/>
            </w:pPr>
            <w:r>
              <w:t xml:space="preserve">Visualisation</w:t>
            </w:r>
          </w:p>
        </w:tc>
        <w:tc>
          <w:tcPr>
            <w:tcW w:w="1722" w:type="dxa"/>
          </w:tcPr>
          <w:p>
            <w:pPr>
              <w:pStyle w:val="BasicTextTable"/>
            </w:pPr>
            <w:r>
              <w:t xml:space="preserve">Recharts, ECharts, React Flow, </w:t>
            </w:r>
            <w:r>
              <w:rPr>
                <w:rFonts w:ascii="Courier New" w:hAnsi="Courier New"/>
                <w:sz w:val="20"/>
              </w:rPr>
              <w:t xml:space="preserve">bpmn-js</w:t>
            </w:r>
          </w:p>
        </w:tc>
        <w:tc>
          <w:tcPr>
            <w:tcW w:w="5642" w:type="dxa"/>
          </w:tcPr>
          <w:p>
            <w:pPr>
              <w:pStyle w:val="BasicTextTable"/>
            </w:pPr>
            <w:r>
              <w:t xml:space="preserve">Statistical charts, complex interactive charts, node-and-edge diagrams, BPMN (Li et al., 2018; Recharts Group, 2024; xyflow, 2024)</w:t>
            </w:r>
          </w:p>
        </w:tc>
      </w:tr>
      <w:tr>
        <w:tc>
          <w:tcPr>
            <w:tcW w:w="1136" w:type="dxa"/>
          </w:tcPr>
          <w:p>
            <w:pPr>
              <w:pStyle w:val="BasicTextTable"/>
            </w:pPr>
            <w:r>
              <w:t xml:space="preserve">Type synchronisation</w:t>
            </w:r>
          </w:p>
        </w:tc>
        <w:tc>
          <w:tcPr>
            <w:tcW w:w="1722" w:type="dxa"/>
          </w:tcPr>
          <w:p>
            <w:pPr>
              <w:pStyle w:val="BasicTextTable"/>
            </w:pPr>
            <w:r>
              <w:rPr>
                <w:rFonts w:ascii="Courier New" w:hAnsi="Courier New"/>
                <w:sz w:val="20"/>
              </w:rPr>
              <w:t xml:space="preserve">openapi-typescript</w:t>
            </w:r>
            <w:r>
              <w:t xml:space="preserve">, Zod</w:t>
            </w:r>
          </w:p>
        </w:tc>
        <w:tc>
          <w:tcPr>
            <w:tcW w:w="5642" w:type="dxa"/>
          </w:tcPr>
          <w:p>
            <w:pPr>
              <w:pStyle w:val="BasicTextTable"/>
            </w:pPr>
            <w:r>
              <w:t xml:space="preserve">Frontend types generated from the backend schema, so an unabsorbed backend change fails at compile time (McDonald, 2024; OpenAPI Initiative, 2021)</w:t>
            </w:r>
          </w:p>
        </w:tc>
      </w:tr>
    </w:tbl>
    <w:p>
      <w:pPr>
        <w:pStyle w:val="BasicText"/>
      </w:pPr>
    </w:p>
    <w:p>
      <w:pPr>
        <w:pStyle w:val="Heading2"/>
      </w:pPr>
      <w:r>
        <w:t xml:space="preserve">Infrastructure and Deployment Modes</w:t>
      </w:r>
    </w:p>
    <w:p>
      <w:pPr>
        <w:pStyle w:val="BasicText"/>
      </w:pPr>
      <w:r>
        <w:t xml:space="preserve">The stack is described once in </w:t>
      </w:r>
      <w:r>
        <w:rPr>
          <w:rFonts w:ascii="Courier New" w:hAnsi="Courier New"/>
          <w:sz w:val="20"/>
        </w:rPr>
        <w:t xml:space="preserve">docker-compose.yml</w:t>
      </w:r>
      <w:r>
        <w:t xml:space="preserve"> and specialised by overlays (Docker Inc., 2024). This is the most frequently misunderstood point about the deployment: </w:t>
      </w:r>
      <w:r>
        <w:rPr>
          <w:b/>
        </w:rPr>
        <w:t xml:space="preserve">the four running modes are layered configurations of one composition, not four tools.</w:t>
      </w:r>
    </w:p>
    <w:p>
      <w:pPr>
        <w:pStyle w:val="BasicText"/>
      </w:pPr>
      <w:r>
        <w:t xml:space="preserve">The base composition defines four services, </w:t>
      </w:r>
      <w:r>
        <w:rPr>
          <w:rFonts w:ascii="Courier New" w:hAnsi="Courier New"/>
          <w:sz w:val="20"/>
        </w:rPr>
        <w:t xml:space="preserve">keycloak-db</w:t>
      </w:r>
      <w:r>
        <w:t xml:space="preserve">, </w:t>
      </w:r>
      <w:r>
        <w:rPr>
          <w:rFonts w:ascii="Courier New" w:hAnsi="Courier New"/>
          <w:sz w:val="20"/>
        </w:rPr>
        <w:t xml:space="preserve">keycloak</w:t>
      </w:r>
      <w:r>
        <w:t xml:space="preserve">, </w:t>
      </w:r>
      <w:r>
        <w:rPr>
          <w:rFonts w:ascii="Courier New" w:hAnsi="Courier New"/>
          <w:sz w:val="20"/>
        </w:rPr>
        <w:t xml:space="preserve">api</w:t>
      </w:r>
      <w:r>
        <w:t xml:space="preserve"> and </w:t>
      </w:r>
      <w:r>
        <w:rPr>
          <w:rFonts w:ascii="Courier New" w:hAnsi="Courier New"/>
          <w:sz w:val="20"/>
        </w:rPr>
        <w:t xml:space="preserve">web</w:t>
      </w:r>
      <w:r>
        <w:t xml:space="preserve">, builds production images and publishes ports 3000, 8000 and 8080. The </w:t>
      </w:r>
      <w:r>
        <w:rPr>
          <w:b/>
        </w:rPr>
        <w:t xml:space="preserve">development overlay</w:t>
      </w:r>
      <w:r>
        <w:t xml:space="preserve"> mounts the source tree and replaces the entrypoints with </w:t>
      </w:r>
      <w:r>
        <w:rPr>
          <w:rFonts w:ascii="Courier New" w:hAnsi="Courier New"/>
          <w:sz w:val="20"/>
        </w:rPr>
        <w:t xml:space="preserve">uvicorn --reload</w:t>
      </w:r>
      <w:r>
        <w:t xml:space="preserve"> and </w:t>
      </w:r>
      <w:r>
        <w:rPr>
          <w:rFonts w:ascii="Courier New" w:hAnsi="Courier New"/>
          <w:sz w:val="20"/>
        </w:rPr>
        <w:t xml:space="preserve">next dev</w:t>
      </w:r>
      <w:r>
        <w:t xml:space="preserve">. The </w:t>
      </w:r>
      <w:r>
        <w:rPr>
          <w:b/>
        </w:rPr>
        <w:t xml:space="preserve">production overlay</w:t>
      </w:r>
      <w:r>
        <w:t xml:space="preserve"> adds a Caddy </w:t>
      </w:r>
      <w:r>
        <w:rPr>
          <w:rFonts w:ascii="Courier New" w:hAnsi="Courier New"/>
          <w:sz w:val="20"/>
        </w:rPr>
        <w:t xml:space="preserve">proxy</w:t>
      </w:r>
      <w:r>
        <w:t xml:space="preserve"> terminating TLS on 443 and routing by path, repoints the public URLs at a single origin, and withdraws the published ports (§7.4). Outside Docker, </w:t>
      </w:r>
      <w:r>
        <w:rPr>
          <w:rFonts w:ascii="Courier New" w:hAnsi="Courier New"/>
          <w:sz w:val="20"/>
        </w:rPr>
        <w:t xml:space="preserve">make dev</w:t>
      </w:r>
      <w:r>
        <w:t xml:space="preserve"> runs both dev servers on the host: the fastest inner loop, and the one module authors are directed to (§8.1). §7.3 gives the decision rule. One further service exists but is off by default: a Neo4j container declared under the </w:t>
      </w:r>
      <w:r>
        <w:rPr>
          <w:rFonts w:ascii="Courier New" w:hAnsi="Courier New"/>
          <w:sz w:val="20"/>
        </w:rPr>
        <w:t xml:space="preserve">graph</w:t>
      </w:r>
      <w:r>
        <w:t xml:space="preserve"> compose profile and started only when a module needs a graph database beside the platform (§5.5).</w:t>
      </w:r>
    </w:p>
    <w:p>
      <w:pPr>
        <w:pStyle w:val="Heading2"/>
      </w:pPr>
      <w:r>
        <w:t xml:space="preserve">Authentication, Authorisation, and Administration</w:t>
      </w:r>
    </w:p>
    <w:p>
      <w:pPr>
        <w:pStyle w:val="BasicText"/>
      </w:pPr>
      <w:r>
        <w:t xml:space="preserve">Login is mandatory; there is no anonymous mode and no path reaching data without an authenticated identity.</w:t>
      </w:r>
    </w:p>
    <w:p>
      <w:pPr>
        <w:pStyle w:val="BasicText"/>
      </w:pPr>
      <w:r>
        <w:t xml:space="preserve">The identity chain has four links. The browser is redirected to the bundled </w:t>
      </w:r>
      <w:r>
        <w:rPr>
          <w:b/>
        </w:rPr>
        <w:t xml:space="preserve">Keycloak</w:t>
      </w:r>
      <w:r>
        <w:t xml:space="preserve"> realm, which either presents its own form or delegates to the university identity provider. Keycloak returns an authorisation code to the web application, where </w:t>
      </w:r>
      <w:r>
        <w:rPr>
          <w:b/>
        </w:rPr>
        <w:t xml:space="preserve">Auth.js v5</w:t>
      </w:r>
      <w:r>
        <w:t xml:space="preserve"> exchanges it and issues a session (Auth.js, 2024). Sessions are </w:t>
      </w:r>
      <w:r>
        <w:rPr>
          <w:b/>
        </w:rPr>
        <w:t xml:space="preserve">JWT-only</w:t>
      </w:r>
      <w:r>
        <w:t xml:space="preserve">, with no database adapter and no session table on the application side, and token rotation in the </w:t>
      </w:r>
      <w:r>
        <w:rPr>
          <w:rFonts w:ascii="Courier New" w:hAnsi="Courier New"/>
          <w:sz w:val="20"/>
        </w:rPr>
        <w:t xml:space="preserve">jwt</w:t>
      </w:r>
      <w:r>
        <w:t xml:space="preserve"> callback. The browser then calls the API with a bearer token, which the API validates with </w:t>
      </w:r>
      <w:r>
        <w:rPr>
          <w:b/>
        </w:rPr>
        <w:t xml:space="preserve">PyJWT against the realm's published JWKS endpoint</w:t>
      </w:r>
      <w:r>
        <w:t xml:space="preserve">, caching the key set so validation costs no network round trip. The </w:t>
      </w:r>
      <w:r>
        <w:rPr>
          <w:rFonts w:ascii="Courier New" w:hAnsi="Courier New"/>
          <w:sz w:val="20"/>
        </w:rPr>
        <w:t xml:space="preserve">sub</w:t>
      </w:r>
      <w:r>
        <w:t xml:space="preserve"> claim is the user identity for everything that follows, and the first time one is seen the API upserts a row for it.</w:t>
      </w:r>
    </w:p>
    <w:p>
      <w:pPr>
        <w:pStyle w:val="BasicText"/>
      </w:pPr>
      <w:r>
        <w:t xml:space="preserve">Authorisation uses exactly one primitive, the realm role </w:t>
      </w:r>
      <w:r>
        <w:rPr>
          <w:rFonts w:ascii="Courier New" w:hAnsi="Courier New"/>
          <w:sz w:val="20"/>
        </w:rPr>
        <w:t xml:space="preserve">admin</w:t>
      </w:r>
      <w:r>
        <w:t xml:space="preserve">: no per-resource permissions, no groups mapped to capabilities, no policy language. This is a deliberate simplification for a system in which almost every authorisation question is answered by ownership rather than role, which §4.5 enforces structurally. The administrative surface covers system and usage state, live control of worker concurrency, module policy (an administrator can pin a module as globally enabled or locked), user and team administration, and a </w:t>
      </w:r>
      <w:r>
        <w:rPr>
          <w:b/>
        </w:rPr>
        <w:t xml:space="preserve">consistent metadata export</w:t>
      </w:r>
      <w:r>
        <w:t xml:space="preserve">: one SQLite file holding a transactionally consistent snapshot of the whole metadata database, gated on the </w:t>
      </w:r>
      <w:r>
        <w:rPr>
          <w:rFonts w:ascii="Courier New" w:hAnsi="Courier New"/>
          <w:sz w:val="20"/>
        </w:rPr>
        <w:t xml:space="preserve">admin</w:t>
      </w:r>
      <w:r>
        <w:t xml:space="preserve"> role. Its governance implication is stated rather than buried: </w:t>
      </w:r>
      <w:r>
        <w:rPr>
          <w:b/>
        </w:rPr>
        <w:t xml:space="preserve">the export contains every user's accounts, usage data, process metadata and settings</w:t>
      </w:r>
      <w:r>
        <w:t xml:space="preserve">, so the download is itself sensitive.</w:t>
      </w:r>
    </w:p>
    <w:p>
      <w:pPr>
        <w:pStyle w:val="BasicText"/>
      </w:pPr>
      <w:r>
        <w:t xml:space="preserve">Usage capture deserves the same directness. Interaction events are recorded locally, and the data model follows the reference data model for process-related user interaction logs of Abb and Rehse (2024): events are stored with OCEL-shaped objects (UI element, UI group, application, system, user, task) and the relations between them, so the platform's own usage is itself analysable as an object-centric event log. Nothing is transmitted off the host. The default policy, however, is </w:t>
      </w:r>
      <w:r>
        <w:rPr>
          <w:rFonts w:ascii="Courier New" w:hAnsi="Courier New"/>
          <w:sz w:val="20"/>
        </w:rPr>
        <w:t xml:space="preserve">force</w:t>
      </w:r>
      <w:r>
        <w:t xml:space="preserve">, which enables capture for every user and hides both the onboarding privacy step and the privacy settings tab; the operator can select opt-out or opt-in instead. §7.6 treats this as a governance decision rather than a configuration detail.</w:t>
      </w:r>
    </w:p>
    <w:p>
      <w:pPr>
        <w:pStyle w:val="Heading2"/>
      </w:pPr>
      <w:r>
        <w:t xml:space="preserve">Tenant Isolation as a Cross-Cutting Invariant</w:t>
      </w:r>
    </w:p>
    <w:p>
      <w:pPr>
        <w:pStyle w:val="BasicText"/>
      </w:pPr>
      <w:r>
        <w:t xml:space="preserve">Isolation is not a feature with an owner; it is a property every layer must independently maintain. Stated in the form a contributor must keep true:</w:t>
      </w:r>
    </w:p>
    <w:p>
      <w:pPr>
        <w:pStyle w:val="BasicTextIndentation"/>
      </w:pPr>
      <w:r>
        <w:rPr>
          <w:b/>
        </w:rPr>
        <w:t xml:space="preserve">Invariant.</w:t>
      </w:r>
      <w:r>
        <w:t xml:space="preserve"> Every artefact belonging to a user is keyed by that user's Keycloak </w:t>
      </w:r>
      <w:r>
        <w:rPr>
          <w:rFonts w:ascii="Courier New" w:hAnsi="Courier New"/>
          <w:sz w:val="20"/>
        </w:rPr>
        <w:t xml:space="preserve">sub</w:t>
      </w:r>
      <w:r>
        <w:t xml:space="preserve"> claim, at rest and in flight. A component producing a user-scoped artefact without that key is broken, whether or not anything currently reads it.</w:t>
      </w:r>
    </w:p>
    <w:p>
      <w:pPr>
        <w:pStyle w:val="BasicText"/>
      </w:pPr>
      <w:r>
        <w:t xml:space="preserve">Four places honour it. </w:t>
      </w:r>
      <w:r>
        <w:rPr>
          <w:b/>
        </w:rPr>
        <w:t xml:space="preserve">Database rows</w:t>
      </w:r>
      <w:r>
        <w:t xml:space="preserve">: every user-scoped table carries a </w:t>
      </w:r>
      <w:r>
        <w:rPr>
          <w:rFonts w:ascii="Courier New" w:hAnsi="Courier New"/>
          <w:sz w:val="20"/>
        </w:rPr>
        <w:t xml:space="preserve">user_id</w:t>
      </w:r>
      <w:r>
        <w:t xml:space="preserve"> column referencing the users table with cascade deletion, and access goes through ownership helpers rather than ad-hoc filters, so "did this query forget the tenant predicate" is a question about a handful of functions rather than every route. </w:t>
      </w:r>
      <w:r>
        <w:rPr>
          <w:b/>
        </w:rPr>
        <w:t xml:space="preserve">On-disk artefacts</w:t>
      </w:r>
      <w:r>
        <w:t xml:space="preserve">: Parquet data and module result caches live under </w:t>
      </w:r>
      <w:r>
        <w:rPr>
          <w:rFonts w:ascii="Courier New" w:hAnsi="Courier New"/>
          <w:sz w:val="20"/>
        </w:rPr>
        <w:t xml:space="preserve">data/users/{user_id}/</w:t>
      </w:r>
      <w:r>
        <w:t xml:space="preserve">, so the path encodes the boundary. </w:t>
      </w:r>
      <w:r>
        <w:rPr>
          <w:b/>
        </w:rPr>
        <w:t xml:space="preserve">Job records</w:t>
      </w:r>
      <w:r>
        <w:t xml:space="preserve">: a job carries its owner, and pause and resume operate per user. </w:t>
      </w:r>
      <w:r>
        <w:rPr>
          <w:b/>
        </w:rPr>
        <w:t xml:space="preserve">Live events</w:t>
      </w:r>
      <w:r>
        <w:t xml:space="preserve">: every user-scoped bus envelope carries </w:t>
      </w:r>
      <w:r>
        <w:rPr>
          <w:rFonts w:ascii="Courier New" w:hAnsi="Courier New"/>
          <w:sz w:val="20"/>
        </w:rPr>
        <w:t xml:space="preserve">user_id</w:t>
      </w:r>
      <w:r>
        <w:t xml:space="preserve"> as a reserved key, and the SSE fan-out filters on it server-side before writing to a connection.</w:t>
      </w:r>
    </w:p>
    <w:p>
      <w:pPr>
        <w:pStyle w:val="BasicText"/>
      </w:pPr>
      <w:r>
        <w:t xml:space="preserve">The last has the sharpest failure mode. The bus has no notion of tenancy of its own; isolation is enforced at fan-out by comparing the envelope's </w:t>
      </w:r>
      <w:r>
        <w:rPr>
          <w:rFonts w:ascii="Courier New" w:hAnsi="Courier New"/>
          <w:sz w:val="20"/>
        </w:rPr>
        <w:t xml:space="preserve">user_id</w:t>
      </w:r>
      <w:r>
        <w:t xml:space="preserve"> with the connected user's. An event emitted </w:t>
      </w:r>
      <w:r>
        <w:rPr>
          <w:b/>
        </w:rPr>
        <w:t xml:space="preserve">without</w:t>
      </w:r>
      <w:r>
        <w:t xml:space="preserve"> a </w:t>
      </w:r>
      <w:r>
        <w:rPr>
          <w:rFonts w:ascii="Courier New" w:hAnsi="Courier New"/>
          <w:sz w:val="20"/>
        </w:rPr>
        <w:t xml:space="preserve">user_id</w:t>
      </w:r>
      <w:r>
        <w:t xml:space="preserve"> is therefore not filtered and reaches every connected session. That is correct for a genuinely global notice and a data leak for anything else. The rule is absolute: </w:t>
      </w:r>
      <w:r>
        <w:rPr>
          <w:b/>
        </w:rPr>
        <w:t xml:space="preserve">a user-scoped event omitting `user_id` leaks to all users</w:t>
      </w:r>
      <w:r>
        <w:t xml:space="preserve">, and the omission is silent, since nothing crashes and nothing warns. §8.11 lists it among the failure modes an author must know.</w:t>
      </w:r>
    </w:p>
    <w:p>
      <w:pPr>
        <w:pStyle w:val="BasicText"/>
      </w:pPr>
      <w:r>
        <w:t xml:space="preserve">One exception is deliberate and confined. A dashboard may be shared, granting named recipients </w:t>
      </w:r>
      <w:r>
        <w:rPr>
          <w:b/>
        </w:rPr>
        <w:t xml:space="preserve">read</w:t>
      </w:r>
      <w:r>
        <w:t xml:space="preserve"> access to that dashboard and, transitively, to the underlying log's data as its cards render it. Every predicate that widens access lives in a single module, so the surface capable of crossing an account boundary is small enough to audit in one sitting. Recipients cannot mutate the dashboard or reach the log by any other route.</w:t>
      </w:r>
    </w:p>
    <w:p>
      <w:pPr>
        <w:pStyle w:val="Heading2"/>
      </w:pPr>
      <w:r>
        <w:t xml:space="preserve">Data Management: Ingest, Columnar Storage, and Offloading</w:t>
      </w:r>
    </w:p>
    <w:p>
      <w:pPr>
        <w:pStyle w:val="BasicText"/>
      </w:pPr>
      <w:r>
        <w:t xml:space="preserve">An upload is staged to disk, its format detected, and an import job enqueued; the request returns a log identifier and a job identifier immediately. Parsing dispatches on format: XES and its gzipped variant through a streaming XML reader, CSV through a column-mapping step, generic XML through a mapping-based path, and OCEL 2.0 through a separate object-centric path. The canonical form is written once per log:</w:t>
      </w:r>
    </w:p>
    <w:p>
      <w:pPr>
        <w:pStyle w:val="BasicTextSQL"/>
      </w:pPr>
      <w:r>
        <w:t xml:space="preserve">data/users/{user_id}/event_logs/{log_id}/</w:t>
      </w:r>
    </w:p>
    <w:p>
      <w:pPr>
        <w:pStyle w:val="BasicTextSQL"/>
      </w:pPr>
      <w:r>
        <w:t xml:space="preserve">  meta.json          source format, ingest statistics, detected schema, mapping</w:t>
      </w:r>
    </w:p>
    <w:p>
      <w:pPr>
        <w:pStyle w:val="BasicTextSQL"/>
      </w:pPr>
      <w:r>
        <w:t xml:space="preserve">  events.parquet     flat event table, sorted by (case_id, timestamp)</w:t>
      </w:r>
    </w:p>
    <w:p>
      <w:pPr>
        <w:pStyle w:val="BasicTextSQL"/>
      </w:pPr>
      <w:r>
        <w:t xml:space="preserve">  cases.parquet      cached case-level aggregates</w:t>
      </w:r>
    </w:p>
    <w:p>
      <w:pPr>
        <w:pStyle w:val="BasicTextSQL"/>
      </w:pPr>
      <w:r>
        <w:t xml:space="preserve">  original.{ext}     the untouched upload, for audit and re-export</w:t>
      </w:r>
    </w:p>
    <w:p>
      <w:pPr>
        <w:pStyle w:val="BasicTextSQL"/>
      </w:pPr>
      <w:r>
        <w:t xml:space="preserve">  ocel/              object-centric imports only: events, objects, relations, o2o</w:t>
      </w:r>
    </w:p>
    <w:p>
      <w:pPr>
        <w:pStyle w:val="BasicText"/>
      </w:pPr>
      <w:r>
        <w:t xml:space="preserve">The rationale is §2.1's structural assumption. XES on disk is XML, so answering "how many events per activity" means parsing hundreds of megabytes of markup for one aggregation. Normalising once into a columnar format makes that aggregation essentially free, shrinks the data by roughly an order of magnitude, and is read natively by every library a module might want. Keeping the original beside the derived form preserves auditability and makes re-import possible.</w:t>
      </w:r>
    </w:p>
    <w:p>
      <w:pPr>
        <w:pStyle w:val="BasicText"/>
      </w:pPr>
      <w:r>
        <w:t xml:space="preserve">Analytical queries run against DuckDB reading those Parquet files while metadata stays relational in SQLite, and DuckDB can attach the SQLite database so a query can join the two in one statement. Because a DuckDB connection is single-threaded, connections are pooled per worker thread through context variables. Per-query thread and memory limits are configurable, so one large query or one dashboard full of cards cannot claim every core on a shared machine.</w:t>
      </w:r>
    </w:p>
    <w:p>
      <w:pPr>
        <w:pStyle w:val="BasicText"/>
      </w:pPr>
      <w:r>
        <w:t xml:space="preserve">Beyond a certain volume the VM's disk becomes the binding constraint, so the platform supports an </w:t>
      </w:r>
      <w:r>
        <w:rPr>
          <w:b/>
        </w:rPr>
        <w:t xml:space="preserve">object-storage backend</w:t>
      </w:r>
      <w:r>
        <w:t xml:space="preserve">. The first implementation was a write-through mirror, and it did not work, for reasons worth reporting. A mirror writes locally then uploads, and on a read miss pulls the whole directory back; the local copy was never evicted, so enabling object storage added a second copy and an upload cost without shrinking the VM. Worse, the artefacts actually consuming disk bypassed the mirror entirely: the metadata database, each module's virtual environment, the cached Python runtimes and uploaded module packages. Hydration was whole-tree and per-process, so a cold read of a ten-gigabyte log pulled all ten gigabytes before DuckDB touched a row, once per worker.</w:t>
      </w:r>
    </w:p>
    <w:p>
      <w:pPr>
        <w:pStyle w:val="BasicText"/>
      </w:pPr>
      <w:r>
        <w:t xml:space="preserve">The redesign inverts the relationship. </w:t>
      </w:r>
      <w:r>
        <w:rPr>
          <w:b/>
        </w:rPr>
        <w:t xml:space="preserve">Object storage is authoritative; local disk is an LRU cache</w:t>
      </w:r>
      <w:r>
        <w:t xml:space="preserve"> bounded by an explicit byte budget, with age-guarded eviction and a dry-run mode for a soak period before deletes are enabled. The bypass holes were closed, migration between backends moves existing data rather than stranding it, the previously declared per-user quota is enforced, and hydration became partial and shared. With a budget configured, the local footprint is bounded by the active working set plus module runtime artefacts rather than by total data ever imported. Two seams are deliberately left open for multi-node operation and named again in §11.4: the cache is per-node with no cross-node coordination, and the metadata database remains a single-writer store whose loss would orphan every object in the bucket.</w:t>
      </w:r>
    </w:p>
    <w:p>
      <w:pPr>
        <w:pStyle w:val="Heading2"/>
      </w:pPr>
      <w:r>
        <w:t xml:space="preserve">Backend: API Surface, Job Runtime, and Event Bus</w:t>
      </w:r>
    </w:p>
    <w:p>
      <w:pPr>
        <w:pStyle w:val="BasicText"/>
      </w:pPr>
      <w:r>
        <w:rPr>
          <w:b/>
        </w:rPr>
        <w:t xml:space="preserve">The HTTP surface</w:t>
      </w:r>
      <w:r>
        <w:t xml:space="preserve"> lives under </w:t>
      </w:r>
      <w:r>
        <w:rPr>
          <w:rFonts w:ascii="Courier New" w:hAnsi="Courier New"/>
          <w:sz w:val="20"/>
        </w:rPr>
        <w:t xml:space="preserve">/api/v1/</w:t>
      </w:r>
      <w:r>
        <w:t xml:space="preserve">, organised by resource: event logs and their data, folders, datasets, jobs, modules, dashboards, sharing, teams, watched folders, preferences, onboarding, API tokens, the assistant, usage, and an administrative group. Module routes mount under </w:t>
      </w:r>
      <w:r>
        <w:rPr>
          <w:rFonts w:ascii="Courier New" w:hAnsi="Courier New"/>
          <w:sz w:val="20"/>
        </w:rPr>
        <w:t xml:space="preserve">/api/v1/modules/{module_id}/...</w:t>
      </w:r>
      <w:r>
        <w:t xml:space="preserve">, so a module's surface is namespaced by construction and cannot collide with the platform's or another module's. OpenAPI is generated rather than written, so no hand-written API types exist in the repository.</w:t>
      </w:r>
    </w:p>
    <w:p>
      <w:pPr>
        <w:pStyle w:val="BasicText"/>
      </w:pPr>
      <w:r>
        <w:rPr>
          <w:b/>
        </w:rPr>
        <w:t xml:space="preserve">The job runtime.</w:t>
      </w:r>
      <w:r>
        <w:t xml:space="preserve"> A producer inserts a row into the SQLite jobs table, assigns a time-ordered UUID v7 and pushes a marker onto an in-process </w:t>
      </w:r>
      <w:r>
        <w:rPr>
          <w:rFonts w:ascii="Courier New" w:hAnsi="Courier New"/>
          <w:sz w:val="20"/>
        </w:rPr>
        <w:t xml:space="preserve">asyncio.Queue</w:t>
      </w:r>
      <w:r>
        <w:t xml:space="preserve">; a pool of asyncio workers consumes it. Concurrency defaults to two and is changeable live by an administrator, resizing the pool without interrupting running work. Cancellation is cooperative through a per-job event handlers check, and retry re-enqueues the same payload under a fresh identifier so the failed attempt stays in the record. Because job state is in SQLite rather than memory, a restart does not lose the queue: on boot the runtime reconciles what it finds. There is no Redis, no Celery and no broker. For CPU-bound work a process pool is available through the context, with a per-job execution timeout that can kill a runaway offload rather than merely marking a database row.</w:t>
      </w:r>
    </w:p>
    <w:p>
      <w:pPr>
        <w:pStyle w:val="BasicText"/>
      </w:pPr>
      <w:r>
        <w:rPr>
          <w:b/>
        </w:rPr>
        <w:t xml:space="preserve">The event bus</w:t>
      </w:r>
      <w:r>
        <w:t xml:space="preserve"> distributes state changes in-process. Publishers emit an envelope of topic, payload and timestamp; subscribers register topic patterns and are each fed through their own bounded queue. The queue policy is the decision worth explaining. Each queue holds a fixed number of envelopes, and when full </w:t>
      </w:r>
      <w:r>
        <w:rPr>
          <w:b/>
        </w:rPr>
        <w:t xml:space="preserve">the oldest is dropped</w:t>
      </w:r>
      <w:r>
        <w:t xml:space="preserve"> rather than the publisher blocking. This is correct given what the bus carries: a </w:t>
      </w:r>
      <w:r>
        <w:rPr>
          <w:rFonts w:ascii="Courier New" w:hAnsi="Courier New"/>
          <w:sz w:val="20"/>
        </w:rPr>
        <w:t xml:space="preserve">job.progress</w:t>
      </w:r>
      <w:r>
        <w:t xml:space="preserve"> tick is one sample of a continuously updating quantity, and losing it costs a slightly staler bar until the next tick, whereas letting one slow browser connection stall the import producing the ticks is far worse. A terminal event such as </w:t>
      </w:r>
      <w:r>
        <w:rPr>
          <w:rFonts w:ascii="Courier New" w:hAnsi="Courier New"/>
          <w:sz w:val="20"/>
        </w:rPr>
        <w:t xml:space="preserve">job.completed</w:t>
      </w:r>
      <w:r>
        <w:t xml:space="preserve"> is not expendable in the same way, and the bus does not distinguish the two, so that property is achieved differently: terminal state is persisted to the jobs table before it is published, and the frontend reconciles against that table on reconnect. </w:t>
      </w:r>
      <w:r>
        <w:rPr>
          <w:b/>
        </w:rPr>
        <w:t xml:space="preserve">The bus is a low-latency accelerator over authoritative database state, never the source of truth.</w:t>
      </w:r>
    </w:p>
    <w:p>
      <w:pPr>
        <w:pStyle w:val="BasicText"/>
      </w:pPr>
      <w:r>
        <w:t xml:space="preserve">Both live streams the browser consumes are bus subscribers: the session-wide, topic-filtered </w:t>
      </w:r>
      <w:r>
        <w:rPr>
          <w:rFonts w:ascii="Courier New" w:hAnsi="Courier New"/>
          <w:sz w:val="20"/>
        </w:rPr>
        <w:t xml:space="preserve">GET /api/v1/events</w:t>
      </w:r>
      <w:r>
        <w:t xml:space="preserve">, and the per-job </w:t>
      </w:r>
      <w:r>
        <w:rPr>
          <w:rFonts w:ascii="Courier New" w:hAnsi="Courier New"/>
          <w:sz w:val="20"/>
        </w:rPr>
        <w:t xml:space="preserve">GET /api/v1/jobs/{job_id}/stream</w:t>
      </w:r>
      <w:r>
        <w:t xml:space="preserve">. Both are Server-Sent Events, for reasons in §4.10.</w:t>
      </w:r>
    </w:p>
    <w:p>
      <w:pPr>
        <w:pStyle w:val="Heading2"/>
      </w:pPr>
      <w:r>
        <w:t xml:space="preserve">Progress Reporting and Readiness Semantics</w:t>
      </w:r>
    </w:p>
    <w:p>
      <w:pPr>
        <w:pStyle w:val="BasicText"/>
      </w:pPr>
      <w:r>
        <w:t xml:space="preserve">A freshly imported log is not immediately useful, because several modules precompute on import and opening the log before they finish shows a page of empty cards. The platform therefore holds a log in </w:t>
      </w:r>
      <w:r>
        <w:rPr>
          <w:rFonts w:ascii="Courier New" w:hAnsi="Courier New"/>
          <w:sz w:val="20"/>
        </w:rPr>
        <w:t xml:space="preserve">processing</w:t>
      </w:r>
      <w:r>
        <w:t xml:space="preserve"> until the analyses it waits for are done, and the semantics of that gate are the subtlest part of the runtime.</w:t>
      </w:r>
    </w:p>
    <w:p>
      <w:pPr>
        <w:pStyle w:val="BasicText"/>
      </w:pPr>
      <w:r>
        <w:t xml:space="preserve">A log moves through </w:t>
      </w:r>
      <w:r>
        <w:rPr>
          <w:rFonts w:ascii="Courier New" w:hAnsi="Courier New"/>
          <w:sz w:val="20"/>
        </w:rPr>
        <w:t xml:space="preserve">importing</w:t>
      </w:r>
      <w:r>
        <w:t xml:space="preserve"> while its source is parsed, then </w:t>
      </w:r>
      <w:r>
        <w:rPr>
          <w:rFonts w:ascii="Courier New" w:hAnsi="Courier New"/>
          <w:sz w:val="20"/>
        </w:rPr>
        <w:t xml:space="preserve">processing</w:t>
      </w:r>
      <w:r>
        <w:t xml:space="preserve"> while modules precompute, then </w:t>
      </w:r>
      <w:r>
        <w:rPr>
          <w:rFonts w:ascii="Courier New" w:hAnsi="Courier New"/>
          <w:sz w:val="20"/>
        </w:rPr>
        <w:t xml:space="preserve">ready</w:t>
      </w:r>
      <w:r>
        <w:t xml:space="preserve">, or </w:t>
      </w:r>
      <w:r>
        <w:rPr>
          <w:rFonts w:ascii="Courier New" w:hAnsi="Courier New"/>
          <w:sz w:val="20"/>
        </w:rPr>
        <w:t xml:space="preserve">failed</w:t>
      </w:r>
      <w:r>
        <w:t xml:space="preserve"> if the import itself errored. The set of modules that must finish, the </w:t>
      </w:r>
      <w:r>
        <w:rPr>
          <w:b/>
        </w:rPr>
        <w:t xml:space="preserve">expected set</w:t>
      </w:r>
      <w:r>
        <w:t xml:space="preserve">, is computed once at import time and frozen; computing it lazily would introduce a race in which the coordinator observes zero subscribers before any has registered and flips the log to </w:t>
      </w:r>
      <w:r>
        <w:rPr>
          <w:rFonts w:ascii="Courier New" w:hAnsi="Courier New"/>
          <w:sz w:val="20"/>
        </w:rPr>
        <w:t xml:space="preserve">ready</w:t>
      </w:r>
      <w:r>
        <w:t xml:space="preserve"> immediately. The expected set is not simply the modules subscribing to the import event. It is the </w:t>
      </w:r>
      <w:r>
        <w:rPr>
          <w:b/>
        </w:rPr>
        <w:t xml:space="preserve">transitive precompute closure</w:t>
      </w:r>
      <w:r>
        <w:t xml:space="preserve">: starting from the job-backed subscribers to </w:t>
      </w:r>
      <w:r>
        <w:rPr>
          <w:rFonts w:ascii="Courier New" w:hAnsi="Courier New"/>
          <w:sz w:val="20"/>
        </w:rPr>
        <w:t xml:space="preserve">log.imported</w:t>
      </w:r>
      <w:r>
        <w:t xml:space="preserve"> or </w:t>
      </w:r>
      <w:r>
        <w:rPr>
          <w:rFonts w:ascii="Courier New" w:hAnsi="Courier New"/>
          <w:sz w:val="20"/>
        </w:rPr>
        <w:t xml:space="preserve">ocel.imported</w:t>
      </w:r>
      <w:r>
        <w:t xml:space="preserve"> that the importing user actually has installed, the loader walks the graph of declared </w:t>
      </w:r>
      <w:r>
        <w:rPr>
          <w:rFonts w:ascii="Courier New" w:hAnsi="Courier New"/>
          <w:sz w:val="20"/>
        </w:rPr>
        <w:t xml:space="preserve">provides</w:t>
      </w:r>
      <w:r>
        <w:t xml:space="preserve"> and </w:t>
      </w:r>
      <w:r>
        <w:rPr>
          <w:rFonts w:ascii="Courier New" w:hAnsi="Courier New"/>
          <w:sz w:val="20"/>
        </w:rPr>
        <w:t xml:space="preserve">consumes</w:t>
      </w:r>
      <w:r>
        <w:t xml:space="preserve"> topics, pulling in every module subscribing to a topic another expected module emits. Ordering is therefore expressed as an </w:t>
      </w:r>
      <w:r>
        <w:rPr>
          <w:b/>
        </w:rPr>
        <w:t xml:space="preserve">event subscription, not a priority number</w:t>
      </w:r>
      <w:r>
        <w:t xml:space="preserve">: a module that must run after discovery subscribes to </w:t>
      </w:r>
      <w:r>
        <w:rPr>
          <w:rFonts w:ascii="Courier New" w:hAnsi="Courier New"/>
          <w:sz w:val="20"/>
        </w:rPr>
        <w:t xml:space="preserve">discovery.completed</w:t>
      </w:r>
      <w:r>
        <w:t xml:space="preserve">, which the platform emits automatically when a precompute job succeeds. §5.6 explains why this is the better design.</w:t>
      </w:r>
    </w:p>
    <w:p>
      <w:pPr>
        <w:pStyle w:val="BasicText"/>
      </w:pPr>
      <w:r>
        <w:t xml:space="preserve">Three properties follow. Because the closure is built from the actual subscription graph, a </w:t>
      </w:r>
      <w:r>
        <w:rPr>
          <w:rFonts w:ascii="Courier New" w:hAnsi="Courier New"/>
          <w:sz w:val="20"/>
        </w:rPr>
        <w:t xml:space="preserve">consumes</w:t>
      </w:r>
      <w:r>
        <w:t xml:space="preserve"> entry naming a topic no loaded module emits is never reached, so a stale declaration degrades to a no-op rather than a stuck log. Because a failed or cancelled module emits no completion event, its dependants are </w:t>
      </w:r>
      <w:r>
        <w:rPr>
          <w:b/>
        </w:rPr>
        <w:t xml:space="preserve">cascade-skipped</w:t>
      </w:r>
      <w:r>
        <w:t xml:space="preserve"> rather than stranded. And because the gate releases on any terminal status, a module that crashes delays a log by the duration of its own failure and no longer. Completion is derived from the job rows, linked to the import job by a parent reference, rather than from an in-memory counter, so an API restart mid-precompute recovers by re-deriving state from the database. The import job's payload carries the computed plan, which the interface renders as a checklist of what is waiting, finished and skipped.</w:t>
      </w:r>
    </w:p>
    <w:p>
      <w:pPr>
        <w:pStyle w:val="BasicText"/>
      </w:pPr>
      <w:r>
        <w:t xml:space="preserve">Progress reporting inside a job is </w:t>
      </w:r>
      <w:r>
        <w:rPr>
          <w:b/>
        </w:rPr>
        <w:t xml:space="preserve">optional and never enforced</w:t>
      </w:r>
      <w:r>
        <w:t xml:space="preserve">. A handler may report a fraction, an absolute current-and-total pair which additionally enables an estimate of time remaining, or a plain running counter for work of unknown scope. A silent job is not an error: it degrades to an indeterminate bar, and after about three minutes without a tick the interface adds a stall hint. Making progress a runtime requirement was rejected because the enforcement would have to be a timeout, and a timeout killing a legitimately slow computation is a worse failure than a bar that does not move.</w:t>
      </w:r>
    </w:p>
    <w:p>
      <w:pPr>
        <w:pStyle w:val="Heading2"/>
      </w:pPr>
      <w:r>
        <w:t xml:space="preserve">Frontend: Structure, State, and Interaction Model</w:t>
      </w:r>
    </w:p>
    <w:p>
      <w:pPr>
        <w:pStyle w:val="BasicText"/>
      </w:pPr>
      <w:r>
        <w:t xml:space="preserve">The application is organised by route group: authentication for the login flow, and a platform group for everything behind the session. Server components fetch through a server-side wrapper reading the cookie-backed token, serving the initial render; everything interactive goes through the browser wrapper, which attaches the bearer token and is consumed by TanStack Query hooks. The division between the two state systems is deliberate: </w:t>
      </w:r>
      <w:r>
        <w:rPr>
          <w:b/>
        </w:rPr>
        <w:t xml:space="preserve">anything from the server lives in the query cache, and only genuinely local interface state lives in Zustand</w:t>
      </w:r>
      <w:r>
        <w:t xml:space="preserve">. Preferences that look local, theme, density, visualisation settings, are held in Zustand for instant reads but bridged to per-user server state, so they follow the account across browsers instead of bleeding between accounts through shared browser storage.</w:t>
      </w:r>
    </w:p>
    <w:p>
      <w:pPr>
        <w:pStyle w:val="BasicText"/>
      </w:pPr>
      <w:r>
        <w:t xml:space="preserve">Three interaction conventions follow from the product principles. </w:t>
      </w:r>
      <w:r>
        <w:rPr>
          <w:b/>
        </w:rPr>
        <w:t xml:space="preserve">Optimistic mutation with snapshot rollback for edits</w:t>
      </w:r>
      <w:r>
        <w:t xml:space="preserve">: a mutation modifying an existing resource cancels in-flight queries, snapshots the cache and writes the expected next state, restores the snapshot on error, and invalidates on settle so the server reconciles; creation and duplication use plain invalidation, because there is no prior row to roll back to. </w:t>
      </w:r>
      <w:r>
        <w:rPr>
          <w:b/>
        </w:rPr>
        <w:t xml:space="preserve">Skeletons rather than blocking spinners</w:t>
      </w:r>
      <w:r>
        <w:t xml:space="preserve"> for above-the-fold content. </w:t>
      </w:r>
      <w:r>
        <w:rPr>
          <w:b/>
        </w:rPr>
        <w:t xml:space="preserve">Motion as state feedback only</w:t>
      </w:r>
      <w:r>
        <w:t xml:space="preserve">, short, never decorative, honouring reduced-motion preferences.</w:t>
      </w:r>
    </w:p>
    <w:p>
      <w:pPr>
        <w:pStyle w:val="BasicText"/>
      </w:pPr>
      <w:r>
        <w:t xml:space="preserve">Module-contributed panels are the one part of the frontend not built by the Next.js build. A separate script bundles each module's declared panel and widgets with esbuild into the module's own output directory, once at container start in production and in watch mode in development. Every shared dependency, React itself, the query client, the component primitives, the charting and graph libraries, is marked external and resolved at run time from a shared runtime object the host installs lazily. That is what lets a panel use the host's React instance, so hooks and context work across the boundary and a panel inherits the host's theme. The cost is a constraint on authors: a panel may import only from an explicit allow-list of platform paths, held in a single file read by both the bundler and the runtime installer, with a parity test asserting the two never diverge. §5.7 develops the reasoning and §8.7 states the symptom when it is ignored.</w:t>
      </w:r>
    </w:p>
    <w:p>
      <w:pPr>
        <w:pStyle w:val="Heading2"/>
      </w:pPr>
      <w:r>
        <w:t xml:space="preserve">Error Handling and Operational Robustness</w:t>
      </w:r>
    </w:p>
    <w:p>
      <w:pPr>
        <w:pStyle w:val="BasicText"/>
      </w:pPr>
      <w:r>
        <w:t xml:space="preserve">The mechanisms here were not planned. Each responds to a defect observed in operation, and they are collected together because scattering them would hide the pattern. Appendix E is the full record.</w:t>
      </w:r>
    </w:p>
    <w:p>
      <w:pPr>
        <w:pStyle w:val="BasicText"/>
      </w:pPr>
      <w:r>
        <w:rPr>
          <w:b/>
        </w:rPr>
        <w:t xml:space="preserve">The transport the proxy chain would not carry.</w:t>
      </w:r>
      <w:r>
        <w:t xml:space="preserve"> Live updates were originally WebSockets. They worked locally and failed silently in production, because the university's edge proxy forwards HTTP but does not carry WebSocket upgrades: the handshake arrived at the API as a plain </w:t>
      </w:r>
      <w:r>
        <w:rPr>
          <w:rFonts w:ascii="Courier New" w:hAnsi="Courier New"/>
          <w:sz w:val="20"/>
        </w:rPr>
        <w:t xml:space="preserve">GET</w:t>
      </w:r>
      <w:r>
        <w:t xml:space="preserve"> with the upgrade headers stripped and returned 404. Nothing crashed; job progress simply never updated, and only in production. Both live streams were migrated to </w:t>
      </w:r>
      <w:r>
        <w:rPr>
          <w:b/>
        </w:rPr>
        <w:t xml:space="preserve">Server-Sent Events over `fetch`</w:t>
      </w:r>
      <w:r>
        <w:t xml:space="preserve">, which ride exactly the path the assistant's token streaming already used successfully. Two secondary benefits followed: because </w:t>
      </w:r>
      <w:r>
        <w:rPr>
          <w:rFonts w:ascii="Courier New" w:hAnsi="Courier New"/>
          <w:sz w:val="20"/>
        </w:rPr>
        <w:t xml:space="preserve">fetch</w:t>
      </w:r>
      <w:r>
        <w:t xml:space="preserve"> can set headers, authentication moved from a query-string token to an </w:t>
      </w:r>
      <w:r>
        <w:rPr>
          <w:rFonts w:ascii="Courier New" w:hAnsi="Courier New"/>
          <w:sz w:val="20"/>
        </w:rPr>
        <w:t xml:space="preserve">Authorization</w:t>
      </w:r>
      <w:r>
        <w:t xml:space="preserve"> header, so tokens stopped appearing in access logs; and because SSE is HTTP, a 401 is unambiguous and means "sign in again" rather than triggering an endless reconnect loop. Both streams reconnect with exponential backoff capped at eight seconds. The client file is still named </w:t>
      </w:r>
      <w:r>
        <w:rPr>
          <w:rFonts w:ascii="Courier New" w:hAnsi="Courier New"/>
          <w:sz w:val="20"/>
        </w:rPr>
        <w:t xml:space="preserve">ws.ts</w:t>
      </w:r>
      <w:r>
        <w:t xml:space="preserve">, because that path is a published module-SDK import alias and renaming it would break third-party panels.</w:t>
      </w:r>
    </w:p>
    <w:p>
      <w:pPr>
        <w:pStyle w:val="BasicText"/>
      </w:pPr>
      <w:r>
        <w:rPr>
          <w:b/>
        </w:rPr>
        <w:t xml:space="preserve">Worker supervision.</w:t>
      </w:r>
      <w:r>
        <w:t xml:space="preserve"> A bridged module runs in a separate process, and separate processes die. The host supervises its worker and respawns it with exponential backoff up to a bounded number of attempts, rather than letting one module's crash disable it until the next restart. The reverse hazard is a worker whose parent has died surviving as an orphan holding a socket and an environment, so the protocol requires every worker to implement a parent-death guard. Both behaviours have regression tests.</w:t>
      </w:r>
    </w:p>
    <w:p>
      <w:pPr>
        <w:pStyle w:val="BasicText"/>
      </w:pPr>
      <w:r>
        <w:rPr>
          <w:b/>
        </w:rPr>
        <w:t xml:space="preserve">A message-size limit that killed workers.</w:t>
      </w:r>
      <w:r>
        <w:t xml:space="preserve"> The bridge frames messages as newline-delimited JSON read through asyncio's stream reader, whose default line limit is 64 KiB. Handler return values, cache writes and result sets routinely exceed that, and a single oversized line raised an internal buffer error that tore down the connection and took the worker with it. The limit is now far beyond any plausible metadata payload and, more importantly, bulk data no longer travels the socket: DataFrames cross as a Parquet file on the shared filesystem.</w:t>
      </w:r>
    </w:p>
    <w:p>
      <w:pPr>
        <w:pStyle w:val="BasicText"/>
      </w:pPr>
      <w:r>
        <w:rPr>
          <w:b/>
        </w:rPr>
        <w:t xml:space="preserve">Contained failures.</w:t>
      </w:r>
      <w:r>
        <w:t xml:space="preserve"> Dependency resolution can fail on a bad specifier, an unreachable index or a package with no wheel; the failure is reported with the resolver's own error text, the module is marked failed to load, and the rest of the platform starts normally. And if a live stream drops, the interface neither freezes nor silently lies: jobs reconcile against the jobs table on reconnect, and a running job silent for about three minutes is annotated as such rather than left animating. The intent throughout is that the failure of a convenience layer degrades the experience without corrupting the state.</w:t>
      </w:r>
    </w:p>
    <w:p>
      <w:pPr>
        <w:pStyle w:val="Heading2"/>
      </w:pPr>
      <w:r>
        <w:t xml:space="preserve">Machine Access: MCP Server and Integrated Assistant</w:t>
      </w:r>
    </w:p>
    <w:p>
      <w:pPr>
        <w:pStyle w:val="BasicText"/>
      </w:pPr>
      <w:r>
        <w:t xml:space="preserve">Two non-graphical access paths exist, both defined primarily by where their data boundary sits.</w:t>
      </w:r>
    </w:p>
    <w:p>
      <w:pPr>
        <w:pStyle w:val="BasicText"/>
      </w:pPr>
      <w:r>
        <w:rPr>
          <w:b/>
        </w:rPr>
        <w:t xml:space="preserve">The MCP server</w:t>
      </w:r>
      <w:r>
        <w:t xml:space="preserve"> exposes the platform to external AI clients over the Model Context Protocol. It is off by default. Eight toolsets cover metadata, processes, analysis, dashboards, jobs, watched folders, account settings and administration, with the administrative set excluded unless explicitly listed. Three properties define its posture. </w:t>
      </w:r>
      <w:r>
        <w:rPr>
          <w:b/>
        </w:rPr>
        <w:t xml:space="preserve">The caller's identity is never a tool argument</w:t>
      </w:r>
      <w:r>
        <w:t xml:space="preserve">: it is resolved from the authenticated principal on the connection, so a token can only act as its owner and §4.5's invariant holds by construction. There is a </w:t>
      </w:r>
      <w:r>
        <w:rPr>
          <w:b/>
        </w:rPr>
        <w:t xml:space="preserve">data wall</w:t>
      </w:r>
      <w:r>
        <w:t xml:space="preserve">: raw event rows are never returned, only aggregates and curated module outputs, so a client can ask what the process looks like but cannot exfiltrate the log row by row. And the server is scope-gated, rate-limited with a burst allowance, concurrency-capped per user and globally, and can be placed in a read-only mode that either unregisters write tools at boot or makes them refuse at run time. Authentication is by personal access token or OAuth 2.1 through the same Keycloak realm, with browser-based clients additionally guarded against DNS rebinding by an origin check.</w:t>
      </w:r>
    </w:p>
    <w:p>
      <w:pPr>
        <w:pStyle w:val="BasicText"/>
      </w:pPr>
      <w:r>
        <w:rPr>
          <w:b/>
        </w:rPr>
        <w:t xml:space="preserve">The integrated assistant</w:t>
      </w:r>
      <w:r>
        <w:t xml:space="preserve"> ("Mate AI") is a chat panel inside the application. Rather than coupling the platform to a model vendor, it targets any OpenAI-compatible endpoint: the user supplies base URL, API key and model name and may customise the system prompt. Those credentials live in the local metadata database as a per-user setting and are transmitted nowhere except to the endpoint the user configured. The assistant can reference the active log, recent job outcomes and enabled modules, and can carry out platform actions through the same guarded surface the MCP tools use.</w:t>
      </w:r>
    </w:p>
    <w:p>
      <w:pPr>
        <w:pStyle w:val="Heading1"/>
      </w:pPr>
      <w:r>
        <w:t xml:space="preserve">Modularity as an Architectural Principle</w:t>
      </w:r>
    </w:p>
    <w:p>
      <w:pPr>
        <w:pStyle w:val="Heading2"/>
      </w:pPr>
      <w:r>
        <w:t xml:space="preserve">Design Goals of the Extension Mechanism</w:t>
      </w:r>
    </w:p>
    <w:p>
      <w:pPr>
        <w:pStyle w:val="BasicText"/>
      </w:pPr>
      <w:r>
        <w:t xml:space="preserve">Design goal G3 of §3.5 stated the requirement this chapter implements. Three properties follow from the gap analysis.</w:t>
      </w:r>
    </w:p>
    <w:p>
      <w:pPr>
        <w:pStyle w:val="BasicText"/>
      </w:pPr>
      <w:r>
        <w:rPr>
          <w:b/>
        </w:rPr>
        <w:t xml:space="preserve">Extension without core modification.</w:t>
      </w:r>
      <w:r>
        <w:t xml:space="preserve"> Adding an analysis method must not require editing any file under </w:t>
      </w:r>
      <w:r>
        <w:rPr>
          <w:rFonts w:ascii="Courier New" w:hAnsi="Courier New"/>
          <w:sz w:val="20"/>
        </w:rPr>
        <w:t xml:space="preserve">apps/api</w:t>
      </w:r>
      <w:r>
        <w:t xml:space="preserve"> or </w:t>
      </w:r>
      <w:r>
        <w:rPr>
          <w:rFonts w:ascii="Courier New" w:hAnsi="Courier New"/>
          <w:sz w:val="20"/>
        </w:rPr>
        <w:t xml:space="preserve">apps/web</w:t>
      </w:r>
      <w:r>
        <w:t xml:space="preserve">. Every core edit is something a maintainer must review, merge and carry forward, and it is the mechanism by which the open-source server tools of §3.3 turn a local extension into a fork. </w:t>
      </w:r>
      <w:r>
        <w:rPr>
          <w:b/>
        </w:rPr>
        <w:t xml:space="preserve">Dependency independence between extensions.</w:t>
      </w:r>
      <w:r>
        <w:t xml:space="preserve"> Two modules must be able to depend on incompatible versions of the same library and both work; this is not hypothetical, since one bundled module pins NumPy 1.26 and TensorFlow, another needs a conflicting SciPy range, and a third brings a package installable only from a Git URL. </w:t>
      </w:r>
      <w:r>
        <w:rPr>
          <w:b/>
        </w:rPr>
        <w:t xml:space="preserve">An authoring contract satisfiable without understanding the platform.</w:t>
      </w:r>
      <w:r>
        <w:t xml:space="preserve"> The author of a drift-detection method understands drift detection; they should not need FastAPI dependency injection, asyncio scheduling, DuckDB pooling or React context propagation to make their method usable.</w:t>
      </w:r>
    </w:p>
    <w:p>
      <w:pPr>
        <w:pStyle w:val="BasicText"/>
      </w:pPr>
      <w:r>
        <w:t xml:space="preserve">To these is added a self-imposed constraint doing more work than the three combined:</w:t>
      </w:r>
    </w:p>
    <w:p>
      <w:pPr>
        <w:pStyle w:val="BasicTextIndentation"/>
      </w:pPr>
      <w:r>
        <w:rPr>
          <w:b/>
        </w:rPr>
        <w:t xml:space="preserve">The platform's own analytical functionality uses the same contract as third-party code. There are no internal hooks reserved for first-party modules.</w:t>
      </w:r>
    </w:p>
    <w:p>
      <w:pPr>
        <w:pStyle w:val="BasicText"/>
      </w:pPr>
      <w:r>
        <w:t xml:space="preserve">The justification is epistemic. A contract its authors need not use is one whose inadequacies are invisible: whenever it fails to express something, the first-party author reaches past it and the gap is never recorded. When every capability the platform ships must be expressible in the contract, each inadequacy stops the platform's own development until it is fixed. This is why discovery is a folder under </w:t>
      </w:r>
      <w:r>
        <w:rPr>
          <w:rFonts w:ascii="Courier New" w:hAnsi="Courier New"/>
          <w:sz w:val="20"/>
        </w:rPr>
        <w:t xml:space="preserve">modules/</w:t>
      </w:r>
      <w:r>
        <w:t xml:space="preserve"> rather than a package under </w:t>
      </w:r>
      <w:r>
        <w:rPr>
          <w:rFonts w:ascii="Courier New" w:hAnsi="Courier New"/>
          <w:sz w:val="20"/>
        </w:rPr>
        <w:t xml:space="preserve">apps/api</w:t>
      </w:r>
      <w:r>
        <w:t xml:space="preserve">, and it is the strongest evidence of sufficiency available short of a controlled study with external authors, which §10.4 concedes was not conducted.</w:t>
      </w:r>
    </w:p>
    <w:p>
      <w:pPr>
        <w:pStyle w:val="Heading2"/>
      </w:pPr>
      <w:r>
        <w:t xml:space="preserve">The Module Contract</w:t>
      </w:r>
    </w:p>
    <w:p>
      <w:pPr>
        <w:pStyle w:val="BasicText"/>
      </w:pPr>
      <w:r>
        <w:t xml:space="preserve">A module is a folder containing two required files.</w:t>
      </w:r>
    </w:p>
    <w:p>
      <w:pPr>
        <w:pStyle w:val="BasicText"/>
      </w:pPr>
      <w:r>
        <w:rPr>
          <w:rFonts w:ascii="Courier New" w:hAnsi="Courier New"/>
          <w:sz w:val="20"/>
        </w:rPr>
        <w:t xml:space="preserve">manifest.yaml</w:t>
      </w:r>
      <w:r>
        <w:t xml:space="preserve"> </w:t>
      </w:r>
      <w:r>
        <w:rPr>
          <w:b/>
        </w:rPr>
        <w:t xml:space="preserve">is the registration.</w:t>
      </w:r>
      <w:r>
        <w:t xml:space="preserve"> It declares identity, the works it implements with full citations, what the log must look like for the module to apply, what other modules it needs as hard or soft dependencies, what it publishes and consumes on the bus, its dependencies and isolation level, and its frontend contributions. There is no </w:t>
      </w:r>
      <w:r>
        <w:rPr>
          <w:rFonts w:ascii="Courier New" w:hAnsi="Courier New"/>
          <w:sz w:val="20"/>
        </w:rPr>
        <w:t xml:space="preserve">register()</w:t>
      </w:r>
      <w:r>
        <w:t xml:space="preserve"> call; the manifest is the whole registration, validated on load so manifest errors fail loudly at startup rather than quietly at first use. Appendix B is the field-by-field reference.</w:t>
      </w:r>
    </w:p>
    <w:p>
      <w:pPr>
        <w:pStyle w:val="BasicText"/>
      </w:pPr>
      <w:r>
        <w:rPr>
          <w:rFonts w:ascii="Courier New" w:hAnsi="Courier New"/>
          <w:sz w:val="20"/>
        </w:rPr>
        <w:t xml:space="preserve">module.py</w:t>
      </w:r>
      <w:r>
        <w:t xml:space="preserve"> </w:t>
      </w:r>
      <w:r>
        <w:rPr>
          <w:b/>
        </w:rPr>
        <w:t xml:space="preserve">is the implementation.</w:t>
      </w:r>
      <w:r>
        <w:t xml:space="preserve"> It contains exactly one subclass of </w:t>
      </w:r>
      <w:r>
        <w:rPr>
          <w:rFonts w:ascii="Courier New" w:hAnsi="Courier New"/>
          <w:sz w:val="20"/>
        </w:rPr>
        <w:t xml:space="preserve">Module</w:t>
      </w:r>
      <w:r>
        <w:t xml:space="preserve">, whose class attribute </w:t>
      </w:r>
      <w:r>
        <w:rPr>
          <w:rFonts w:ascii="Courier New" w:hAnsi="Courier New"/>
          <w:sz w:val="20"/>
        </w:rPr>
        <w:t xml:space="preserve">id</w:t>
      </w:r>
      <w:r>
        <w:t xml:space="preserve"> must match the manifest, and which the loader instantiates </w:t>
      </w:r>
      <w:r>
        <w:rPr>
          <w:b/>
        </w:rPr>
        <w:t xml:space="preserve">once per process</w:t>
      </w:r>
      <w:r>
        <w:t xml:space="preserve">. Handlers are ordinary methods carrying one of three decorators: </w:t>
      </w:r>
      <w:r>
        <w:rPr>
          <w:rFonts w:ascii="Courier New" w:hAnsi="Courier New"/>
          <w:sz w:val="20"/>
        </w:rPr>
        <w:t xml:space="preserve">@route.*</w:t>
      </w:r>
      <w:r>
        <w:t xml:space="preserve"> mounts an HTTP endpoint in the module's namespace with full FastAPI semantics, </w:t>
      </w:r>
      <w:r>
        <w:rPr>
          <w:rFonts w:ascii="Courier New" w:hAnsi="Courier New"/>
          <w:sz w:val="20"/>
        </w:rPr>
        <w:t xml:space="preserve">@on_event(topic)</w:t>
      </w:r>
      <w:r>
        <w:t xml:space="preserve"> subscribes to a bus topic, and </w:t>
      </w:r>
      <w:r>
        <w:rPr>
          <w:rFonts w:ascii="Courier New" w:hAnsi="Courier New"/>
          <w:sz w:val="20"/>
        </w:rPr>
        <w:t xml:space="preserve">@job(...)</w:t>
      </w:r>
      <w:r>
        <w:t xml:space="preserve"> stacks on either to make the handler a persisted, observable, cancellable job returning a job identifier immediately.</w:t>
      </w:r>
    </w:p>
    <w:p>
      <w:pPr>
        <w:pStyle w:val="BasicText"/>
      </w:pPr>
      <w:r>
        <w:t xml:space="preserve">Handlers may be </w:t>
      </w:r>
      <w:r>
        <w:rPr>
          <w:rFonts w:ascii="Courier New" w:hAnsi="Courier New"/>
          <w:sz w:val="20"/>
        </w:rPr>
        <w:t xml:space="preserve">async def</w:t>
      </w:r>
      <w:r>
        <w:t xml:space="preserve"> or plain </w:t>
      </w:r>
      <w:r>
        <w:rPr>
          <w:rFonts w:ascii="Courier New" w:hAnsi="Courier New"/>
          <w:sz w:val="20"/>
        </w:rPr>
        <w:t xml:space="preserve">def</w:t>
      </w:r>
      <w:r>
        <w:t xml:space="preserve">, and neither can block the event loop. The mechanism leans on existing machinery where it exists: </w:t>
      </w:r>
      <w:r>
        <w:rPr>
          <w:rFonts w:ascii="Courier New" w:hAnsi="Courier New"/>
          <w:sz w:val="20"/>
        </w:rPr>
        <w:t xml:space="preserve">@route</w:t>
      </w:r>
      <w:r>
        <w:t xml:space="preserve"> handlers are real FastAPI routes and inherit Starlette's threadpool for synchronous functions, while </w:t>
      </w:r>
      <w:r>
        <w:rPr>
          <w:rFonts w:ascii="Courier New" w:hAnsi="Courier New"/>
          <w:sz w:val="20"/>
        </w:rPr>
        <w:t xml:space="preserve">@on_event</w:t>
      </w:r>
      <w:r>
        <w:t xml:space="preserve"> and </w:t>
      </w:r>
      <w:r>
        <w:rPr>
          <w:rFonts w:ascii="Courier New" w:hAnsi="Courier New"/>
          <w:sz w:val="20"/>
        </w:rPr>
        <w:t xml:space="preserve">@job</w:t>
      </w:r>
      <w:r>
        <w:t xml:space="preserve"> run outside the request lifecycle and are auto-wrapped by the SDK. The wrapping is invisible, a safety net rather than an API, so an author who has never heard of it writes correct code either way.</w:t>
      </w:r>
    </w:p>
    <w:p>
      <w:pPr>
        <w:pStyle w:val="BasicText"/>
      </w:pPr>
      <w:r>
        <w:t xml:space="preserve">Every handler receives a </w:t>
      </w:r>
      <w:r>
        <w:rPr>
          <w:rFonts w:ascii="Courier New" w:hAnsi="Courier New"/>
          <w:sz w:val="20"/>
        </w:rPr>
        <w:t xml:space="preserve">ModuleContext</w:t>
      </w:r>
      <w:r>
        <w:t xml:space="preserve"> exposing the log and module identifiers; </w:t>
      </w:r>
      <w:r>
        <w:rPr>
          <w:rFonts w:ascii="Courier New" w:hAnsi="Courier New"/>
          <w:sz w:val="20"/>
        </w:rPr>
        <w:t xml:space="preserve">event_log</w:t>
      </w:r>
      <w:r>
        <w:t xml:space="preserve"> for data access; </w:t>
      </w:r>
      <w:r>
        <w:rPr>
          <w:rFonts w:ascii="Courier New" w:hAnsi="Courier New"/>
          <w:sz w:val="20"/>
        </w:rPr>
        <w:t xml:space="preserve">open_event_log</w:t>
      </w:r>
      <w:r>
        <w:t xml:space="preserve"> for the one sanctioned way to read a second log; </w:t>
      </w:r>
      <w:r>
        <w:rPr>
          <w:rFonts w:ascii="Courier New" w:hAnsi="Courier New"/>
          <w:sz w:val="20"/>
        </w:rPr>
        <w:t xml:space="preserve">cache</w:t>
      </w:r>
      <w:r>
        <w:t xml:space="preserve">, scoped to the pair of log and module; </w:t>
      </w:r>
      <w:r>
        <w:rPr>
          <w:rFonts w:ascii="Courier New" w:hAnsi="Courier New"/>
          <w:sz w:val="20"/>
        </w:rPr>
        <w:t xml:space="preserve">config</w:t>
      </w:r>
      <w:r>
        <w:t xml:space="preserve">; </w:t>
      </w:r>
      <w:r>
        <w:rPr>
          <w:rFonts w:ascii="Courier New" w:hAnsi="Courier New"/>
          <w:sz w:val="20"/>
        </w:rPr>
        <w:t xml:space="preserve">progress</w:t>
      </w:r>
      <w:r>
        <w:t xml:space="preserve">; </w:t>
      </w:r>
      <w:r>
        <w:rPr>
          <w:rFonts w:ascii="Courier New" w:hAnsi="Courier New"/>
          <w:sz w:val="20"/>
        </w:rPr>
        <w:t xml:space="preserve">bus</w:t>
      </w:r>
      <w:r>
        <w:t xml:space="preserve">; </w:t>
      </w:r>
      <w:r>
        <w:rPr>
          <w:rFonts w:ascii="Courier New" w:hAnsi="Courier New"/>
          <w:sz w:val="20"/>
        </w:rPr>
        <w:t xml:space="preserve">registry</w:t>
      </w:r>
      <w:r>
        <w:t xml:space="preserve">, for typed calls into other modules; </w:t>
      </w:r>
      <w:r>
        <w:rPr>
          <w:rFonts w:ascii="Courier New" w:hAnsi="Courier New"/>
          <w:sz w:val="20"/>
        </w:rPr>
        <w:t xml:space="preserve">logger</w:t>
      </w:r>
      <w:r>
        <w:t xml:space="preserve">, pre-bound with both identifiers; and </w:t>
      </w:r>
      <w:r>
        <w:rPr>
          <w:rFonts w:ascii="Courier New" w:hAnsi="Courier New"/>
          <w:sz w:val="20"/>
        </w:rPr>
        <w:t xml:space="preserve">workdir</w:t>
      </w:r>
      <w:r>
        <w:t xml:space="preserve">, a scratch directory the loader removes after every invocation whether the handler succeeded or not.</w:t>
      </w:r>
    </w:p>
    <w:p>
      <w:pPr>
        <w:pStyle w:val="BasicText"/>
      </w:pPr>
      <w:r>
        <w:t xml:space="preserve">The decision worth stating is that </w:t>
      </w:r>
      <w:r>
        <w:rPr>
          <w:b/>
        </w:rPr>
        <w:t xml:space="preserve">every context facility is typed as a Protocol, not a concrete class</w:t>
      </w:r>
      <w:r>
        <w:t xml:space="preserve">. Three things follow. The platform can change how event data is fetched, or where the cache lives, without touching a module. The same handler code runs unmodified whether the context is the real in-process object or the proxy a bridged worker sees across a socket (§5.5), so the transport is genuinely hidden rather than merely documented as hidden. And a module can be unit-tested against a fabricated context built by the SDK's own helpers, with no running platform, database or real log.</w:t>
      </w:r>
    </w:p>
    <w:p>
      <w:pPr>
        <w:pStyle w:val="Heading2"/>
      </w:pPr>
      <w:r>
        <w:t xml:space="preserve">Discovery, Dependency Resolution, and Materialisation</w:t>
      </w:r>
    </w:p>
    <w:p>
      <w:pPr>
        <w:pStyle w:val="BasicText"/>
      </w:pPr>
      <w:r>
        <w:t xml:space="preserve">Startup proceeds in six steps.</w:t>
      </w:r>
    </w:p>
    <w:p>
      <w:pPr>
        <w:pStyle w:val="BasicText"/>
      </w:pPr>
      <w:r>
        <w:rPr>
          <w:b/>
        </w:rPr>
        <w:t xml:space="preserve">Discovery.</w:t>
      </w:r>
      <w:r>
        <w:t xml:space="preserve"> The platform scans </w:t>
      </w:r>
      <w:r>
        <w:rPr>
          <w:rFonts w:ascii="Courier New" w:hAnsi="Courier New"/>
          <w:sz w:val="20"/>
        </w:rPr>
        <w:t xml:space="preserve">modules/*/manifest.yaml</w:t>
      </w:r>
      <w:r>
        <w:t xml:space="preserve"> one level deep and inspects installed Python distributions exposing a </w:t>
      </w:r>
      <w:r>
        <w:rPr>
          <w:rFonts w:ascii="Courier New" w:hAnsi="Courier New"/>
          <w:sz w:val="20"/>
        </w:rPr>
        <w:t xml:space="preserve">mate.modules</w:t>
      </w:r>
      <w:r>
        <w:t xml:space="preserve"> entry point, so a module may be distributed as a package rather than a folder. The directory is flat and folder names are arbitrary; only the manifest's </w:t>
      </w:r>
      <w:r>
        <w:rPr>
          <w:rFonts w:ascii="Courier New" w:hAnsi="Courier New"/>
          <w:sz w:val="20"/>
        </w:rPr>
        <w:t xml:space="preserve">id</w:t>
      </w:r>
      <w:r>
        <w:t xml:space="preserve"> is authoritative, and a duplicate identifier is a startup error. </w:t>
      </w:r>
      <w:r>
        <w:rPr>
          <w:b/>
        </w:rPr>
        <w:t xml:space="preserve">Validation.</w:t>
      </w:r>
      <w:r>
        <w:t xml:space="preserve"> Manifests are parsed and the dependency graph built; a cycle or a missing hard dependency aborts startup, because a partially satisfied graph produces failures at arbitrary later moments that are far harder to diagnose than a refusal to boot. </w:t>
      </w:r>
      <w:r>
        <w:rPr>
          <w:b/>
        </w:rPr>
        <w:t xml:space="preserve">Materialisation.</w:t>
      </w:r>
      <w:r>
        <w:t xml:space="preserve"> Each module's toolchain is prepared </w:t>
      </w:r>
      <w:r>
        <w:rPr>
          <w:i/>
        </w:rPr>
        <w:t xml:space="preserve">inside its own folder</w:t>
      </w:r>
      <w:r>
        <w:t xml:space="preserve">: for Python, a virtual environment with the declared packages installed. The dependency block is content-hashed and cached, so a boot where nothing changed skips installation and starts in seconds. For in-process modules the hash also folds in the platform's Python version, so an environment built under a different interpreter rebuilds automatically instead of crashing on import. In parallel the web-side bundler compiles each module's declared panel and widgets.</w:t>
      </w:r>
    </w:p>
    <w:p>
      <w:pPr>
        <w:pStyle w:val="BasicText"/>
      </w:pPr>
      <w:r>
        <w:rPr>
          <w:b/>
        </w:rPr>
        <w:t xml:space="preserve">Topological mounting.</w:t>
      </w:r>
      <w:r>
        <w:t xml:space="preserve"> Modules load in hard-dependency order, each class instantiated once, routes registered under </w:t>
      </w:r>
      <w:r>
        <w:rPr>
          <w:rFonts w:ascii="Courier New" w:hAnsi="Courier New"/>
          <w:sz w:val="20"/>
        </w:rPr>
        <w:t xml:space="preserve">/api/v1/modules/{id}/</w:t>
      </w:r>
      <w:r>
        <w:t xml:space="preserve">, event handlers subscribed, job handlers registered and capabilities published. </w:t>
      </w:r>
      <w:r>
        <w:rPr>
          <w:b/>
        </w:rPr>
        <w:t xml:space="preserve">Per-log gating.</w:t>
      </w:r>
      <w:r>
        <w:t xml:space="preserve"> When a log is opened, each module's requirements are re-evaluated against it: the log-model check runs first, so case-centric and object-centric modules never appear for the wrong kind of log, and the column and minimum-size checks then decide availability, with the interface explaining what is missing. </w:t>
      </w:r>
      <w:r>
        <w:rPr>
          <w:b/>
        </w:rPr>
        <w:t xml:space="preserve">Hot reload in development.</w:t>
      </w:r>
      <w:r>
        <w:t xml:space="preserve"> A filesystem watcher reloads changed modules without restarting the platform, gated to the development environment so production boots always run with a known module set.</w:t>
      </w:r>
    </w:p>
    <w:p>
      <w:pPr>
        <w:pStyle w:val="BasicText"/>
      </w:pPr>
      <w:r>
        <w:t xml:space="preserve">Why per-module resolution rather than one shared environment? Because a shared environment makes the set of installable modules a function of which other modules are installed, which is exactly what makes plug-in ecosystems brittle. Under per-module resolution a module's dependency set is a property of the module alone, and a resolution failure is contained: the failing module is marked failed to load with the resolver's own error text on its card, and the rest of the platform starts. The cost is disk and time. A module inheriting the heavy shared libraries adds tens of megabytes; one bringing its own numerical stack adds hundreds, and the module bundling TensorFlow adds roughly half a gigabyte. First boot is correspondingly slow, several minutes on a clean checkout, which is why the API container carries a ten-minute health-check grace period and why the documentation warns explicitly: users who are not told will conclude the system has hung.</w:t>
      </w:r>
    </w:p>
    <w:p>
      <w:pPr>
        <w:pStyle w:val="BasicText"/>
      </w:pPr>
      <w:r>
        <w:t xml:space="preserve">The </w:t>
      </w:r>
      <w:r>
        <w:rPr>
          <w:rFonts w:ascii="Courier New" w:hAnsi="Courier New"/>
          <w:sz w:val="20"/>
        </w:rPr>
        <w:t xml:space="preserve">inherit</w:t>
      </w:r>
      <w:r>
        <w:t xml:space="preserve"> mechanism blunts the disk cost. Most modules need PM4Py, pandas, polars, NumPy and DuckDB, and reinstalling those per module wastes hundreds of megabytes for no benefit. Listing them under </w:t>
      </w:r>
      <w:r>
        <w:rPr>
          <w:rFonts w:ascii="Courier New" w:hAnsi="Courier New"/>
          <w:sz w:val="20"/>
        </w:rPr>
        <w:t xml:space="preserve">inherit</w:t>
      </w:r>
      <w:r>
        <w:t xml:space="preserve"> makes them importable from the platform's environment without reinstallation, while anything not inherited stays fully isolated. Declaring a package as inherited </w:t>
      </w:r>
      <w:r>
        <w:rPr>
          <w:i/>
        </w:rPr>
        <w:t xml:space="preserve">and</w:t>
      </w:r>
      <w:r>
        <w:t xml:space="preserve"> pinning a different version of it is a manifest error caught at startup.</w:t>
      </w:r>
    </w:p>
    <w:p>
      <w:pPr>
        <w:pStyle w:val="Heading2"/>
      </w:pPr>
      <w:r>
        <w:t xml:space="preserve">Isolation Levels and Their Trade-offs</w:t>
      </w:r>
    </w:p>
    <w:p>
      <w:pPr>
        <w:pStyle w:val="BasicText"/>
      </w:pPr>
      <w:r>
        <w:rPr>
          <w:b/>
        </w:rPr>
        <w:t xml:space="preserve">In-process</w:t>
      </w:r>
      <w:r>
        <w:t xml:space="preserve"> is the default. The module is imported into the platform's interpreter, with a custom import finder resolving its imports against its own environment first, then the standard library, then the inherited set, then the SDK. It sees neither other modules' dependencies nor the platform's beyond what it inherited, and calls are ordinary Python calls.</w:t>
      </w:r>
    </w:p>
    <w:p>
      <w:pPr>
        <w:pStyle w:val="BasicText"/>
      </w:pPr>
      <w:r>
        <w:t xml:space="preserve">The constraint is that in-process modules are </w:t>
      </w:r>
      <w:r>
        <w:rPr>
          <w:b/>
        </w:rPr>
        <w:t xml:space="preserve">ABI-locked to the platform's interpreter</w:t>
      </w:r>
      <w:r>
        <w:t xml:space="preserve">, currently 3.12, and their environments are always built on exactly that Python. A manifest's </w:t>
      </w:r>
      <w:r>
        <w:rPr>
          <w:rFonts w:ascii="Courier New" w:hAnsi="Courier New"/>
          <w:sz w:val="20"/>
        </w:rPr>
        <w:t xml:space="preserve">requires-python</w:t>
      </w:r>
      <w:r>
        <w:t xml:space="preserve"> is therefore a </w:t>
      </w:r>
      <w:r>
        <w:rPr>
          <w:b/>
        </w:rPr>
        <w:t xml:space="preserve">validation gate, not an interpreter selector</w:t>
      </w:r>
      <w:r>
        <w:t xml:space="preserve">: if the platform's interpreter does not satisfy it, the module refuses to load with an actionable message instead of failing later with a cryptic extension-module error. The corollary is easy to get wrong: hand-pinning an upper bound such as </w:t>
      </w:r>
      <w:r>
        <w:rPr>
          <w:rFonts w:ascii="Courier New" w:hAnsi="Courier New"/>
          <w:sz w:val="20"/>
        </w:rPr>
        <w:t xml:space="preserve">&lt;3.13</w:t>
      </w:r>
      <w:r>
        <w:t xml:space="preserve"> to dodge a suspected ABI mismatch achieves nothing, because the platform already pins the interpreter.</w:t>
      </w:r>
    </w:p>
    <w:p>
      <w:pPr>
        <w:pStyle w:val="BasicText"/>
      </w:pPr>
      <w:r>
        <w:rPr>
          <w:b/>
        </w:rPr>
        <w:t xml:space="preserve">Subprocess</w:t>
      </w:r>
      <w:r>
        <w:t xml:space="preserve"> runs the module in a long-lived worker on its own interpreter, selected from </w:t>
      </w:r>
      <w:r>
        <w:rPr>
          <w:rFonts w:ascii="Courier New" w:hAnsi="Courier New"/>
          <w:sz w:val="20"/>
        </w:rPr>
        <w:t xml:space="preserve">requires-python</w:t>
      </w:r>
      <w:r>
        <w:t xml:space="preserve"> and downloaded by the package manager if absent, with handler calls proxied over a Unix-socket JSON-RPC channel. The decision rule is narrow and should be applied literally:</w:t>
      </w:r>
    </w:p>
    <w:p>
      <w:pPr>
        <w:pStyle w:val="BasicTextIndentation"/>
      </w:pPr>
      <w:r>
        <w:t xml:space="preserve">Choose subprocess isolation when, and only when, the module needs a </w:t>
      </w:r>
      <w:r>
        <w:rPr>
          <w:b/>
        </w:rPr>
        <w:t xml:space="preserve">different Python version</w:t>
      </w:r>
      <w:r>
        <w:t xml:space="preserve"> than the platform, or has a </w:t>
      </w:r>
      <w:r>
        <w:rPr>
          <w:b/>
        </w:rPr>
        <w:t xml:space="preserve">native-library conflict that cannot be reconciled</w:t>
      </w:r>
      <w:r>
        <w:t xml:space="preserve"> with the platform's own, such as requiring NumPy 1.x while the platform ships 2.x.</w:t>
      </w:r>
    </w:p>
    <w:p>
      <w:pPr>
        <w:pStyle w:val="BasicText"/>
      </w:pPr>
      <w:r>
        <w:t xml:space="preserve">Everything else, including a large dependency tree or a long computation, is not a reason: the process pool exists for CPU-bound work, and dependency isolation is already provided in-process. The costs are real: roughly 5 to 50 milliseconds per call; no </w:t>
      </w:r>
      <w:r>
        <w:rPr>
          <w:rFonts w:ascii="Courier New" w:hAnsi="Courier New"/>
          <w:sz w:val="20"/>
        </w:rPr>
        <w:t xml:space="preserve">inherit</w:t>
      </w:r>
      <w:r>
        <w:t xml:space="preserve">, because there is no shared interpreter across a process boundary, so inherited names are installed into the module's own environment; best-effort rather than immediate cancellation; static rather than dynamic job titles; and no </w:t>
      </w:r>
      <w:r>
        <w:rPr>
          <w:rFonts w:ascii="Courier New" w:hAnsi="Courier New"/>
          <w:sz w:val="20"/>
        </w:rPr>
        <w:t xml:space="preserve">open_event_log</w:t>
      </w:r>
      <w:r>
        <w:t xml:space="preserve">, so a bridged module cannot read a second log.</w:t>
      </w:r>
    </w:p>
    <w:p>
      <w:pPr>
        <w:pStyle w:val="BasicText"/>
      </w:pPr>
      <w:r>
        <w:t xml:space="preserve">Data movement deserves its own note, because the naive design fails. Arguments, return values and cache writes travel as JSON over the socket. DataFrames do not: </w:t>
      </w:r>
      <w:r>
        <w:rPr>
          <w:rFonts w:ascii="Courier New" w:hAnsi="Courier New"/>
          <w:sz w:val="20"/>
        </w:rPr>
        <w:t xml:space="preserve">pandas()</w:t>
      </w:r>
      <w:r>
        <w:t xml:space="preserve">, </w:t>
      </w:r>
      <w:r>
        <w:rPr>
          <w:rFonts w:ascii="Courier New" w:hAnsi="Courier New"/>
          <w:sz w:val="20"/>
        </w:rPr>
        <w:t xml:space="preserve">polars()</w:t>
      </w:r>
      <w:r>
        <w:t xml:space="preserve"> and </w:t>
      </w:r>
      <w:r>
        <w:rPr>
          <w:rFonts w:ascii="Courier New" w:hAnsi="Courier New"/>
          <w:sz w:val="20"/>
        </w:rPr>
        <w:t xml:space="preserve">pm4py()</w:t>
      </w:r>
      <w:r>
        <w:t xml:space="preserve"> inside a worker are served by writing the requested view to a </w:t>
      </w:r>
      <w:r>
        <w:rPr>
          <w:b/>
        </w:rPr>
        <w:t xml:space="preserve">Parquet file on the shared filesystem</w:t>
      </w:r>
      <w:r>
        <w:t xml:space="preserve"> and passing its path, so the worker reads it with its own libraries at full speed. Sending a DataFrame through the socket would mean serialising megabytes of numeric data as JSON, and the original implementation hit exactly the wall that predicts (§4.10).</w:t>
      </w:r>
    </w:p>
    <w:p>
      <w:pPr>
        <w:pStyle w:val="Caption"/>
      </w:pPr>
      <w:r>
        <w:t xml:space="preserve">Tab. </w:t>
      </w:r>
      <w:fldSimple w:instr=" SEQ Tab. \* ARABIC ">
        <w:r>
          <w:t>1</w:t>
        </w:r>
      </w:fldSimple>
      <w:r>
        <w:t xml:space="preserve">: </w:t>
      </w:r>
      <w:r>
        <w:t xml:space="preserve">The two isolation levels and when each applies.</w:t>
      </w:r>
    </w:p>
    <w:tbl>
      <w:tblPr>
        <w:tblStyle w:val="TableGrid"/>
        <w:tblW w:w="8500" w:type="dxa"/>
        <w:tblLayout w:type="fixed"/>
        <w:tblLook w:val="04A0" w:firstRow="1" w:lastRow="0" w:firstColumn="1" w:lastColumn="0" w:noHBand="0" w:noVBand="1"/>
      </w:tblPr>
      <w:tblGrid>
        <w:gridCol w:w="2094"/>
        <w:gridCol w:w="2546"/>
        <w:gridCol w:w="3860"/>
      </w:tblGrid>
      <w:tr>
        <w:trPr>
          <w:tblHeader/>
        </w:trPr>
        <w:tc>
          <w:tcPr>
            <w:tcW w:w="2094" w:type="dxa"/>
            <w:shd w:val="clear" w:color="auto" w:fill="F2F2F2"/>
          </w:tcPr>
          <w:p>
            <w:pPr>
              <w:pStyle w:val="BasicTextTable"/>
            </w:pPr>
            <w:r>
              <w:rPr>
                <w:b/>
              </w:rPr>
              <w:t xml:space="preserve">Property</w:t>
            </w:r>
          </w:p>
        </w:tc>
        <w:tc>
          <w:tcPr>
            <w:tcW w:w="2546" w:type="dxa"/>
            <w:shd w:val="clear" w:color="auto" w:fill="F2F2F2"/>
          </w:tcPr>
          <w:p>
            <w:pPr>
              <w:pStyle w:val="BasicTextTable"/>
            </w:pPr>
            <w:r>
              <w:rPr>
                <w:b/>
              </w:rPr>
              <w:t xml:space="preserve">in_process (default)</w:t>
            </w:r>
          </w:p>
        </w:tc>
        <w:tc>
          <w:tcPr>
            <w:tcW w:w="3860" w:type="dxa"/>
            <w:shd w:val="clear" w:color="auto" w:fill="F2F2F2"/>
          </w:tcPr>
          <w:p>
            <w:pPr>
              <w:pStyle w:val="BasicTextTable"/>
            </w:pPr>
            <w:r>
              <w:rPr>
                <w:b/>
              </w:rPr>
              <w:t xml:space="preserve">subprocess</w:t>
            </w:r>
          </w:p>
        </w:tc>
      </w:tr>
      <w:tr>
        <w:tc>
          <w:tcPr>
            <w:tcW w:w="2094" w:type="dxa"/>
          </w:tcPr>
          <w:p>
            <w:pPr>
              <w:pStyle w:val="BasicTextTable"/>
            </w:pPr>
            <w:r>
              <w:t xml:space="preserve">Interpreter</w:t>
            </w:r>
          </w:p>
        </w:tc>
        <w:tc>
          <w:tcPr>
            <w:tcW w:w="2546" w:type="dxa"/>
          </w:tcPr>
          <w:p>
            <w:pPr>
              <w:pStyle w:val="BasicTextTable"/>
            </w:pPr>
            <w:r>
              <w:t xml:space="preserve">The platform's, currently 3.12</w:t>
            </w:r>
          </w:p>
        </w:tc>
        <w:tc>
          <w:tcPr>
            <w:tcW w:w="3860" w:type="dxa"/>
          </w:tcPr>
          <w:p>
            <w:pPr>
              <w:pStyle w:val="BasicTextTable"/>
            </w:pPr>
            <w:r>
              <w:t xml:space="preserve">The module's own, chosen by </w:t>
            </w:r>
            <w:r>
              <w:rPr>
                <w:rFonts w:ascii="Courier New" w:hAnsi="Courier New"/>
                <w:sz w:val="20"/>
              </w:rPr>
              <w:t xml:space="preserve">requires-python</w:t>
            </w:r>
          </w:p>
        </w:tc>
      </w:tr>
      <w:tr>
        <w:tc>
          <w:tcPr>
            <w:tcW w:w="2094" w:type="dxa"/>
          </w:tcPr>
          <w:p>
            <w:pPr>
              <w:pStyle w:val="BasicTextTable"/>
            </w:pPr>
            <w:r>
              <w:rPr>
                <w:rFonts w:ascii="Courier New" w:hAnsi="Courier New"/>
                <w:sz w:val="20"/>
              </w:rPr>
              <w:t xml:space="preserve">requires-python</w:t>
            </w:r>
            <w:r>
              <w:t xml:space="preserve"> acts as</w:t>
            </w:r>
          </w:p>
        </w:tc>
        <w:tc>
          <w:tcPr>
            <w:tcW w:w="2546" w:type="dxa"/>
          </w:tcPr>
          <w:p>
            <w:pPr>
              <w:pStyle w:val="BasicTextTable"/>
            </w:pPr>
            <w:r>
              <w:t xml:space="preserve">Validation gate</w:t>
            </w:r>
          </w:p>
        </w:tc>
        <w:tc>
          <w:tcPr>
            <w:tcW w:w="3860" w:type="dxa"/>
          </w:tcPr>
          <w:p>
            <w:pPr>
              <w:pStyle w:val="BasicTextTable"/>
            </w:pPr>
            <w:r>
              <w:t xml:space="preserve">Interpreter selector</w:t>
            </w:r>
          </w:p>
        </w:tc>
      </w:tr>
      <w:tr>
        <w:tc>
          <w:tcPr>
            <w:tcW w:w="2094" w:type="dxa"/>
          </w:tcPr>
          <w:p>
            <w:pPr>
              <w:pStyle w:val="BasicTextTable"/>
            </w:pPr>
            <w:r>
              <w:t xml:space="preserve">Call overhead</w:t>
            </w:r>
          </w:p>
        </w:tc>
        <w:tc>
          <w:tcPr>
            <w:tcW w:w="2546" w:type="dxa"/>
          </w:tcPr>
          <w:p>
            <w:pPr>
              <w:pStyle w:val="BasicTextTable"/>
            </w:pPr>
            <w:r>
              <w:t xml:space="preserve">None (direct call)</w:t>
            </w:r>
          </w:p>
        </w:tc>
        <w:tc>
          <w:tcPr>
            <w:tcW w:w="3860" w:type="dxa"/>
          </w:tcPr>
          <w:p>
            <w:pPr>
              <w:pStyle w:val="BasicTextTable"/>
            </w:pPr>
            <w:r>
              <w:t xml:space="preserve">Approximately 5 to 50 ms per call</w:t>
            </w:r>
          </w:p>
        </w:tc>
      </w:tr>
      <w:tr>
        <w:tc>
          <w:tcPr>
            <w:tcW w:w="2094" w:type="dxa"/>
          </w:tcPr>
          <w:p>
            <w:pPr>
              <w:pStyle w:val="BasicTextTable"/>
            </w:pPr>
            <w:r>
              <w:rPr>
                <w:rFonts w:ascii="Courier New" w:hAnsi="Courier New"/>
                <w:sz w:val="20"/>
              </w:rPr>
              <w:t xml:space="preserve">inherit</w:t>
            </w:r>
            <w:r>
              <w:t xml:space="preserve"> shared libraries</w:t>
            </w:r>
          </w:p>
        </w:tc>
        <w:tc>
          <w:tcPr>
            <w:tcW w:w="2546" w:type="dxa"/>
          </w:tcPr>
          <w:p>
            <w:pPr>
              <w:pStyle w:val="BasicTextTable"/>
            </w:pPr>
            <w:r>
              <w:t xml:space="preserve">Yes, no reinstall</w:t>
            </w:r>
          </w:p>
        </w:tc>
        <w:tc>
          <w:tcPr>
            <w:tcW w:w="3860" w:type="dxa"/>
          </w:tcPr>
          <w:p>
            <w:pPr>
              <w:pStyle w:val="BasicTextTable"/>
            </w:pPr>
            <w:r>
              <w:t xml:space="preserve">No, installed into the module's own environment</w:t>
            </w:r>
          </w:p>
        </w:tc>
      </w:tr>
      <w:tr>
        <w:tc>
          <w:tcPr>
            <w:tcW w:w="2094" w:type="dxa"/>
          </w:tcPr>
          <w:p>
            <w:pPr>
              <w:pStyle w:val="BasicTextTable"/>
            </w:pPr>
            <w:r>
              <w:t xml:space="preserve">DataFrame access</w:t>
            </w:r>
          </w:p>
        </w:tc>
        <w:tc>
          <w:tcPr>
            <w:tcW w:w="2546" w:type="dxa"/>
          </w:tcPr>
          <w:p>
            <w:pPr>
              <w:pStyle w:val="BasicTextTable"/>
            </w:pPr>
            <w:r>
              <w:t xml:space="preserve">Direct</w:t>
            </w:r>
          </w:p>
        </w:tc>
        <w:tc>
          <w:tcPr>
            <w:tcW w:w="3860" w:type="dxa"/>
          </w:tcPr>
          <w:p>
            <w:pPr>
              <w:pStyle w:val="BasicTextTable"/>
            </w:pPr>
            <w:r>
              <w:t xml:space="preserve">Parquet handoff on the shared filesystem</w:t>
            </w:r>
          </w:p>
        </w:tc>
      </w:tr>
      <w:tr>
        <w:tc>
          <w:tcPr>
            <w:tcW w:w="2094" w:type="dxa"/>
          </w:tcPr>
          <w:p>
            <w:pPr>
              <w:pStyle w:val="BasicTextTable"/>
            </w:pPr>
            <w:r>
              <w:rPr>
                <w:rFonts w:ascii="Courier New" w:hAnsi="Courier New"/>
                <w:sz w:val="20"/>
              </w:rPr>
              <w:t xml:space="preserve">open_event_log</w:t>
            </w:r>
          </w:p>
        </w:tc>
        <w:tc>
          <w:tcPr>
            <w:tcW w:w="2546" w:type="dxa"/>
          </w:tcPr>
          <w:p>
            <w:pPr>
              <w:pStyle w:val="BasicTextTable"/>
            </w:pPr>
            <w:r>
              <w:t xml:space="preserve">Available</w:t>
            </w:r>
          </w:p>
        </w:tc>
        <w:tc>
          <w:tcPr>
            <w:tcW w:w="3860" w:type="dxa"/>
          </w:tcPr>
          <w:p>
            <w:pPr>
              <w:pStyle w:val="BasicTextTable"/>
            </w:pPr>
            <w:r>
              <w:t xml:space="preserve">Not proxied</w:t>
            </w:r>
          </w:p>
        </w:tc>
      </w:tr>
      <w:tr>
        <w:tc>
          <w:tcPr>
            <w:tcW w:w="2094" w:type="dxa"/>
          </w:tcPr>
          <w:p>
            <w:pPr>
              <w:pStyle w:val="BasicTextTable"/>
            </w:pPr>
            <w:r>
              <w:t xml:space="preserve">Cancellation</w:t>
            </w:r>
          </w:p>
        </w:tc>
        <w:tc>
          <w:tcPr>
            <w:tcW w:w="2546" w:type="dxa"/>
          </w:tcPr>
          <w:p>
            <w:pPr>
              <w:pStyle w:val="BasicTextTable"/>
            </w:pPr>
            <w:r>
              <w:t xml:space="preserve">Cooperative, immediate</w:t>
            </w:r>
          </w:p>
        </w:tc>
        <w:tc>
          <w:tcPr>
            <w:tcW w:w="3860" w:type="dxa"/>
          </w:tcPr>
          <w:p>
            <w:pPr>
              <w:pStyle w:val="BasicTextTable"/>
            </w:pPr>
            <w:r>
              <w:t xml:space="preserve">Best effort</w:t>
            </w:r>
          </w:p>
        </w:tc>
      </w:tr>
      <w:tr>
        <w:tc>
          <w:tcPr>
            <w:tcW w:w="2094" w:type="dxa"/>
          </w:tcPr>
          <w:p>
            <w:pPr>
              <w:pStyle w:val="BasicTextTable"/>
            </w:pPr>
            <w:r>
              <w:t xml:space="preserve">Choose it when</w:t>
            </w:r>
          </w:p>
        </w:tc>
        <w:tc>
          <w:tcPr>
            <w:tcW w:w="2546" w:type="dxa"/>
          </w:tcPr>
          <w:p>
            <w:pPr>
              <w:pStyle w:val="BasicTextTable"/>
            </w:pPr>
            <w:r>
              <w:t xml:space="preserve">Always, unless the row below applies</w:t>
            </w:r>
          </w:p>
        </w:tc>
        <w:tc>
          <w:tcPr>
            <w:tcW w:w="3860" w:type="dxa"/>
          </w:tcPr>
          <w:p>
            <w:pPr>
              <w:pStyle w:val="BasicTextTable"/>
            </w:pPr>
            <w:r>
              <w:t xml:space="preserve">A different Python version, or an irreconcilable native-library conflict</w:t>
            </w:r>
          </w:p>
        </w:tc>
      </w:tr>
    </w:tbl>
    <w:p>
      <w:pPr>
        <w:pStyle w:val="BasicText"/>
      </w:pPr>
    </w:p>
    <w:p>
      <w:pPr>
        <w:pStyle w:val="Heading2"/>
      </w:pPr>
      <w:r>
        <w:t xml:space="preserve">Polyglot Modules and the Host–Worker Protocol</w:t>
      </w:r>
    </w:p>
    <w:p>
      <w:pPr>
        <w:pStyle w:val="BasicText"/>
      </w:pPr>
      <w:r>
        <w:t xml:space="preserve">The bridge carrying subprocess isolation is not Python-specific, which is where the extension mechanism stops being a Python plug-in system. A manifest may declare a </w:t>
      </w:r>
      <w:r>
        <w:rPr>
          <w:rFonts w:ascii="Courier New" w:hAnsi="Courier New"/>
          <w:sz w:val="20"/>
        </w:rPr>
        <w:t xml:space="preserve">runtime</w:t>
      </w:r>
      <w:r>
        <w:t xml:space="preserve"> block instead of Python dependencies, naming a non-Python execution kind, and the module mounts through the same bridge.</w:t>
      </w:r>
    </w:p>
    <w:p>
      <w:pPr>
        <w:pStyle w:val="BasicText"/>
      </w:pPr>
      <w:r>
        <w:t xml:space="preserve">The platform's side is organised around a runtime abstraction owning exactly two seams: </w:t>
      </w:r>
      <w:r>
        <w:rPr>
          <w:rFonts w:ascii="Courier New" w:hAnsi="Courier New"/>
          <w:sz w:val="20"/>
        </w:rPr>
        <w:t xml:space="preserve">materialize</w:t>
      </w:r>
      <w:r>
        <w:t xml:space="preserve"> prepares and validates the module's toolchain artefacts, and </w:t>
      </w:r>
      <w:r>
        <w:rPr>
          <w:rFonts w:ascii="Courier New" w:hAnsi="Courier New"/>
          <w:sz w:val="20"/>
        </w:rPr>
        <w:t xml:space="preserve">launch_spec</w:t>
      </w:r>
      <w:r>
        <w:t xml:space="preserve"> returns the argument vector, environment and working directory used to spawn the worker. Everything downstream of the worker socket is runtime-agnostic, speaking JSON and Parquet and never language objects.</w:t>
      </w:r>
    </w:p>
    <w:p>
      <w:pPr>
        <w:pStyle w:val="BasicText"/>
      </w:pPr>
      <w:r>
        <w:rPr>
          <w:b/>
        </w:rPr>
        <w:t xml:space="preserve">The JVM is the reference implementation</w:t>
      </w:r>
      <w:r>
        <w:t xml:space="preserve">, chosen because the process mining research ecosystem, ProM above all, is Java, and wrapping an existing Java algorithm is the intended use. A JVM module ships as a self-contained fat jar; there is deliberately </w:t>
      </w:r>
      <w:r>
        <w:rPr>
          <w:b/>
        </w:rPr>
        <w:t xml:space="preserve">no server-side dependency resolution</w:t>
      </w:r>
      <w:r>
        <w:t xml:space="preserve">, no Maven or Gradle at load time, because reproducing a second language's resolver inside the platform would multiply the failure surface for little gain. Materialisation only validates: a runtime present and new enough, the declared jar present, and the jar runnable. A Java runtime is baked into the API image, so no toolchain is needed on the deployment host, and the jar is committed, so no build step is needed at deployment.</w:t>
      </w:r>
    </w:p>
    <w:p>
      <w:pPr>
        <w:pStyle w:val="BasicText"/>
      </w:pPr>
      <w:r>
        <w:t xml:space="preserve">The wire protocol is a specification rather than prose, because a second implementer needs a specification. It fixes the process-launch contract including a mandatory parent-death guard, the newline-delimited JSON framing, the handshake in which the worker announces its handlers, the three host-to-worker methods, the context methods the worker may call back, error and cancellation semantics, and a conformance checklist. Conformance is tested rather than asserted: a cross-runtime suite exercises the same behaviours against every runtime, and a golden-file test pins the exact wire messages so a protocol change cannot pass unnoticed. Node and R runtimes are </w:t>
      </w:r>
      <w:r>
        <w:rPr>
          <w:b/>
        </w:rPr>
        <w:t xml:space="preserve">reserved by design and rejected at present</w:t>
      </w:r>
      <w:r>
        <w:t xml:space="preserve">; the manifest's runtime kinds are a closed set, so declaring an unimplemented kind fails at load with a clear message.</w:t>
      </w:r>
    </w:p>
    <w:p>
      <w:pPr>
        <w:pStyle w:val="Heading2"/>
      </w:pPr>
      <w:r>
        <w:t xml:space="preserve">Inter-Module Communication</w:t>
      </w:r>
    </w:p>
    <w:p>
      <w:pPr>
        <w:pStyle w:val="BasicText"/>
      </w:pPr>
      <w:r>
        <w:t xml:space="preserve">Modules never call each other directly. </w:t>
      </w:r>
      <w:r>
        <w:rPr>
          <w:b/>
        </w:rPr>
        <w:t xml:space="preserve">The event bus</w:t>
      </w:r>
      <w:r>
        <w:t xml:space="preserve"> carries asynchronous, fire-and-forget notification with fan-out: a module emits a topic with a payload and any number of modules may subscribe. Emitted topics must be declared in </w:t>
      </w:r>
      <w:r>
        <w:rPr>
          <w:rFonts w:ascii="Courier New" w:hAnsi="Courier New"/>
          <w:sz w:val="20"/>
        </w:rPr>
        <w:t xml:space="preserve">provides</w:t>
      </w:r>
      <w:r>
        <w:t xml:space="preserve"> and subscribed topics in </w:t>
      </w:r>
      <w:r>
        <w:rPr>
          <w:rFonts w:ascii="Courier New" w:hAnsi="Courier New"/>
          <w:sz w:val="20"/>
        </w:rPr>
        <w:t xml:space="preserve">consumes</w:t>
      </w:r>
      <w:r>
        <w:t xml:space="preserve">, validated at startup, so a module reacting to an event nobody emits, or emitting one it never declared, is caught at boot rather than becoming a silent no-op in production. Payload shapes are Pydantic models enforced per topic at publish time. </w:t>
      </w:r>
      <w:r>
        <w:rPr>
          <w:b/>
        </w:rPr>
        <w:t xml:space="preserve">The capability registry</w:t>
      </w:r>
      <w:r>
        <w:t xml:space="preserve"> carries synchronous, typed request and response, and also answers whether a capability is present, so a module can degrade gracefully: the performance module computes metrics per discovered activity when discovery is installed and falls back to raw activity labels when it is not. The registry is user-scoped, so a call only reaches modules the calling user has installed.</w:t>
      </w:r>
    </w:p>
    <w:p>
      <w:pPr>
        <w:pStyle w:val="BasicText"/>
      </w:pPr>
      <w:r>
        <w:t xml:space="preserve">The decision worth defending is that </w:t>
      </w:r>
      <w:r>
        <w:rPr>
          <w:b/>
        </w:rPr>
        <w:t xml:space="preserve">ordering between precomputing modules is an event subscription, not a priority field</w:t>
      </w:r>
      <w:r>
        <w:t xml:space="preserve">. A numeric </w:t>
      </w:r>
      <w:r>
        <w:rPr>
          <w:rFonts w:ascii="Courier New" w:hAnsi="Courier New"/>
          <w:sz w:val="20"/>
        </w:rPr>
        <w:t xml:space="preserve">precompute_order</w:t>
      </w:r>
      <w:r>
        <w:t xml:space="preserve"> is worse in three ways. A number expresses </w:t>
      </w:r>
      <w:r>
        <w:rPr>
          <w:i/>
        </w:rPr>
        <w:t xml:space="preserve">when</w:t>
      </w:r>
      <w:r>
        <w:t xml:space="preserve"> rather than </w:t>
      </w:r>
      <w:r>
        <w:rPr>
          <w:i/>
        </w:rPr>
        <w:t xml:space="preserve">why</w:t>
      </w:r>
      <w:r>
        <w:t xml:space="preserve">, so nothing records that a module runs later because it needs discovery's output, and the reason is what a future maintainer needs. Numbers do not compose: two modules each needing discovery have no principled way to choose values relative to each other. And a number cannot express failure semantics, whereas an event simply not emitted when its producer fails gives cascade-skipping for free (§4.8). Subscribing to </w:t>
      </w:r>
      <w:r>
        <w:rPr>
          <w:rFonts w:ascii="Courier New" w:hAnsi="Courier New"/>
          <w:sz w:val="20"/>
        </w:rPr>
        <w:t xml:space="preserve">discovery.completed</w:t>
      </w:r>
      <w:r>
        <w:t xml:space="preserve"> says what is meant, composes transitively, and degrades correctly. The producer does nothing: the platform emits </w:t>
      </w:r>
      <w:r>
        <w:rPr>
          <w:rFonts w:ascii="Courier New" w:hAnsi="Courier New"/>
          <w:sz w:val="20"/>
        </w:rPr>
        <w:t xml:space="preserve">&lt;module_id&gt;.completed</w:t>
      </w:r>
      <w:r>
        <w:t xml:space="preserve"> automatically when a precompute job succeeds, so ordering is a decision the </w:t>
      </w:r>
      <w:r>
        <w:rPr>
          <w:i/>
        </w:rPr>
        <w:t xml:space="preserve">consumer</w:t>
      </w:r>
      <w:r>
        <w:t xml:space="preserve"> makes without the upstream module knowing it has dependants.</w:t>
      </w:r>
    </w:p>
    <w:p>
      <w:pPr>
        <w:pStyle w:val="Heading2"/>
      </w:pPr>
      <w:r>
        <w:t xml:space="preserve">User Interface Extension through Panels</w:t>
      </w:r>
    </w:p>
    <w:p>
      <w:pPr>
        <w:pStyle w:val="BasicText"/>
      </w:pPr>
      <w:r>
        <w:t xml:space="preserve">A module contributes interface by declaring a panel entry point and optionally reusable widgets, bundled separately from the main application build and served by the API under the module's namespace; the host loads a panel lazily, executing the bundle with a small loader that resolves its imports from a shared runtime object. The mechanism solves a specific problem: a panel must share the host's React instance, query client and component primitives, or hooks and context will not flow across the boundary and every panel would ship its own copy of the component library. So every shared dependency is external at bundle time and resolved at run time from the host.</w:t>
      </w:r>
    </w:p>
    <w:p>
      <w:pPr>
        <w:pStyle w:val="BasicText"/>
      </w:pPr>
      <w:r>
        <w:t xml:space="preserve">The constraint this imposes is an </w:t>
      </w:r>
      <w:r>
        <w:rPr>
          <w:b/>
        </w:rPr>
        <w:t xml:space="preserve">explicit allow-list of importable platform paths</w:t>
      </w:r>
      <w:r>
        <w:t xml:space="preserve">, deliberately small and stable: the HTTP helpers, the live-stream subscribers, formatting utilities, the widget and canvas kits, the drill-down helpers and the visualisation-settings store. Two properties motivate it. The platform can refactor everything not on the list without breaking third-party panels, which is what makes evolving a large frontend possible while third-party code exists against it. And the list is a single file read by both the bundler and the runtime installer, with a test asserting they never diverge, so it cannot rot into a lie. The failure mode confuses new authors and is stated again in §8.7: importing outside the allow-list produces a </w:t>
      </w:r>
      <w:r>
        <w:rPr>
          <w:b/>
        </w:rPr>
        <w:t xml:space="preserve">build failure, not a runtime error</w:t>
      </w:r>
      <w:r>
        <w:t xml:space="preserve">.</w:t>
      </w:r>
    </w:p>
    <w:p>
      <w:pPr>
        <w:pStyle w:val="Heading2"/>
      </w:pPr>
      <w:r>
        <w:t xml:space="preserve">Ownership, Installation, and Lifecycle</w:t>
      </w:r>
    </w:p>
    <w:p>
      <w:pPr>
        <w:pStyle w:val="BasicText"/>
      </w:pPr>
      <w:r>
        <w:t xml:space="preserve">Modules are shared code but </w:t>
      </w:r>
      <w:r>
        <w:rPr>
          <w:b/>
        </w:rPr>
        <w:t xml:space="preserve">per-user installations</w:t>
      </w:r>
      <w:r>
        <w:t xml:space="preserve">. The code lives once on disk, under </w:t>
      </w:r>
      <w:r>
        <w:rPr>
          <w:rFonts w:ascii="Courier New" w:hAnsi="Courier New"/>
          <w:sz w:val="20"/>
        </w:rPr>
        <w:t xml:space="preserve">modules/</w:t>
      </w:r>
      <w:r>
        <w:t xml:space="preserve"> for bundled defaults or a separate uploads directory for user-installed ones, so an upload can never overwrite or shadow a default. What is per-user is the </w:t>
      </w:r>
      <w:r>
        <w:rPr>
          <w:i/>
        </w:rPr>
        <w:t xml:space="preserve">installation</w:t>
      </w:r>
      <w:r>
        <w:t xml:space="preserve">: a table records who has what, enablement is reference-counted, every user is seeded the default set on first login, and uninstalling is user-scoped and reversible with a restore-defaults action.</w:t>
      </w:r>
    </w:p>
    <w:p>
      <w:pPr>
        <w:pStyle w:val="BasicText"/>
      </w:pPr>
      <w:r>
        <w:t xml:space="preserve">Three consequences follow. A module must not assume it is globally enabled, because the user making a request may not have it, and any cross-module interaction only reaches modules that user has. The precompute closure of §4.8 is intersected with the importing user's installed set, so two users importing the same file may legitimately wait for different analyses. And uninstalling is cheap and safe.</w:t>
      </w:r>
    </w:p>
    <w:p>
      <w:pPr>
        <w:pStyle w:val="Heading2"/>
      </w:pPr>
      <w:r>
        <w:t xml:space="preserve">Trust and Security Model for Third-Party Modules</w:t>
      </w:r>
    </w:p>
    <w:p>
      <w:pPr>
        <w:pStyle w:val="BasicText"/>
      </w:pPr>
      <w:r>
        <w:t xml:space="preserve">Overstating isolation would be the most damaging inaccuracy in this report, so this section states what it does and does not guarantee.</w:t>
      </w:r>
    </w:p>
    <w:p>
      <w:pPr>
        <w:pStyle w:val="BasicText"/>
      </w:pPr>
      <w:r>
        <w:rPr>
          <w:b/>
        </w:rPr>
        <w:t xml:space="preserve">What isolation provides.</w:t>
      </w:r>
      <w:r>
        <w:t xml:space="preserve"> Dependency isolation is complete: a module cannot see another's packages, break another by upgrading a shared library, or corrupt the platform's environment. Process separation, when elected, contains a crash, a memory blow-up or a native segmentation fault to the worker, recovered by respawning. Failure isolation at load time means a module whose dependencies do not resolve does not prevent startup. Result isolation means a module writing through its context cache writes to a per-user, per-log location and cannot reach another tenant's data through the sanctioned interfaces.</w:t>
      </w:r>
    </w:p>
    <w:p>
      <w:pPr>
        <w:pStyle w:val="BasicText"/>
      </w:pPr>
      <w:r>
        <w:rPr>
          <w:b/>
        </w:rPr>
        <w:t xml:space="preserve">What isolation does not provide.</w:t>
      </w:r>
      <w:r>
        <w:t xml:space="preserve"> None of this is a </w:t>
      </w:r>
      <w:r>
        <w:rPr>
          <w:b/>
        </w:rPr>
        <w:t xml:space="preserve">security sandbox against a malicious author</w:t>
      </w:r>
      <w:r>
        <w:t xml:space="preserve">. An in-process module executes inside the platform's process with the platform's privileges: it can read and write any file that process can reach, including other users' Parquet data and the metadata database, open network connections, and import whatever it likes. Subprocess isolation moves the code to a different process but not to a different security principal, since the worker runs as the same operating-system user, on the same filesystem, with the same reachable network. There is no seccomp profile, no container per module, no capability dropping and no filesystem namespace.</w:t>
      </w:r>
    </w:p>
    <w:p>
      <w:pPr>
        <w:pStyle w:val="BasicText"/>
      </w:pPr>
      <w:r>
        <w:rPr>
          <w:b/>
        </w:rPr>
        <w:t xml:space="preserve">The operational consequence</w:t>
      </w:r>
      <w:r>
        <w:t xml:space="preserve"> must be stated to operators rather than left implicit: </w:t>
      </w:r>
      <w:r>
        <w:rPr>
          <w:b/>
        </w:rPr>
        <w:t xml:space="preserve">installing a module is a trusted action, equivalent to running code on the server.</w:t>
      </w:r>
      <w:r>
        <w:t xml:space="preserve"> An administrator can restrict installation to administrators, which is the appropriate posture for an installation with untrusted users. This report's extensibility claim is a claim about </w:t>
      </w:r>
      <w:r>
        <w:rPr>
          <w:b/>
        </w:rPr>
        <w:t xml:space="preserve">dependency and failure isolation, not adversarial containment</w:t>
      </w:r>
      <w:r>
        <w:t xml:space="preserve">, and §11.1 records the gap as an architectural limitation rather than an oversight.</w:t>
      </w:r>
    </w:p>
    <w:p>
      <w:pPr>
        <w:pStyle w:val="Heading2"/>
      </w:pPr>
      <w:r>
        <w:t xml:space="preserve">Deliberate Limitations of the Module Model</w:t>
      </w:r>
    </w:p>
    <w:p>
      <w:pPr>
        <w:pStyle w:val="BasicText"/>
      </w:pPr>
      <w:r>
        <w:t xml:space="preserve">Five boundaries are built into the design. Naming them here rather than discovering them in the evaluation is what makes Chapter 10 a verdict rather than a defence.</w:t>
      </w:r>
    </w:p>
    <w:p>
      <w:pPr>
        <w:pStyle w:val="BasicText"/>
      </w:pPr>
      <w:r>
        <w:rPr>
          <w:b/>
        </w:rPr>
        <w:t xml:space="preserve">Single-node execution.</w:t>
      </w:r>
      <w:r>
        <w:t xml:space="preserve"> A module runs on the host that received the request; there is no scheduling across machines. This follows from G1, since distributing modules would need a broker.</w:t>
      </w:r>
    </w:p>
    <w:p>
      <w:pPr>
        <w:pStyle w:val="BasicText"/>
      </w:pPr>
      <w:r>
        <w:rPr>
          <w:b/>
        </w:rPr>
        <w:t xml:space="preserve">One instance per process.</w:t>
      </w:r>
      <w:r>
        <w:t xml:space="preserve"> The </w:t>
      </w:r>
      <w:r>
        <w:rPr>
          <w:rFonts w:ascii="Courier New" w:hAnsi="Courier New"/>
          <w:sz w:val="20"/>
        </w:rPr>
        <w:t xml:space="preserve">Module</w:t>
      </w:r>
      <w:r>
        <w:t xml:space="preserve"> subclass is instantiated once, so handlers must hold no request-scoped state. This buys a trivial lifecycle with no initialisation ordering problems, at the cost of a rule authors must know and the interface cannot enforce.</w:t>
      </w:r>
    </w:p>
    <w:p>
      <w:pPr>
        <w:pStyle w:val="BasicText"/>
      </w:pPr>
      <w:r>
        <w:rPr>
          <w:b/>
        </w:rPr>
        <w:t xml:space="preserve">No versioned coexistence.</w:t>
      </w:r>
      <w:r>
        <w:t xml:space="preserve"> Two versions of one module identifier cannot load at once. Supporting it would need versioned routing, capability names and event topics, which is a large amount of machinery for a situation that has not arisen.</w:t>
      </w:r>
    </w:p>
    <w:p>
      <w:pPr>
        <w:pStyle w:val="BasicText"/>
      </w:pPr>
      <w:r>
        <w:rPr>
          <w:b/>
        </w:rPr>
        <w:t xml:space="preserve">No per-module resource quotas.</w:t>
      </w:r>
      <w:r>
        <w:t xml:space="preserve"> There is no memory ceiling, CPU share or disk budget per module. The controls that exist are platform-wide: worker concurrency, a job execution timeout, DuckDB thread and memory limits, and a per-user storage budget. A module allocating without bound degrades the whole instance.</w:t>
      </w:r>
    </w:p>
    <w:p>
      <w:pPr>
        <w:pStyle w:val="BasicText"/>
      </w:pPr>
      <w:r>
        <w:rPr>
          <w:b/>
        </w:rPr>
        <w:t xml:space="preserve">A frozen precompute closure per import.</w:t>
      </w:r>
      <w:r>
        <w:t xml:space="preserve"> The set of modules a log waits for is fixed when the import begins, so a module installed midway does not join that import's closure and a log imported before a module existed does not retroactively acquire its results. This is the price of the determinism argued for in §4.8.</w:t>
      </w:r>
    </w:p>
    <w:p>
      <w:pPr>
        <w:pStyle w:val="Heading1"/>
      </w:pPr>
      <w:r>
        <w:t xml:space="preserve">Extensibility in Practice: Module Integration as Evidence</w:t>
      </w:r>
    </w:p>
    <w:p>
      <w:pPr>
        <w:pStyle w:val="Heading2"/>
      </w:pPr>
      <w:r>
        <w:t xml:space="preserve">Selection Rationale</w:t>
      </w:r>
    </w:p>
    <w:p>
      <w:pPr>
        <w:pStyle w:val="BasicText"/>
      </w:pPr>
      <w:r>
        <w:t xml:space="preserve">Seventeen modules ship with the platform, and which seventeen was not decided by feature coverage alone. A set chosen only for coverage is a catalogue, and a catalogue proves nothing about the extension mechanism. The selection served two purposes, and the second turns it into evidence.</w:t>
      </w:r>
    </w:p>
    <w:p>
      <w:pPr>
        <w:pStyle w:val="BasicText"/>
      </w:pPr>
      <w:r>
        <w:t xml:space="preserve">The </w:t>
      </w:r>
      <w:r>
        <w:rPr>
          <w:b/>
        </w:rPr>
        <w:t xml:space="preserve">first</w:t>
      </w:r>
      <w:r>
        <w:t xml:space="preserve"> is that a user opening a freshly imported log should find the analyses they expect. Discovery, performance and conformance are the baseline of §2.2 and had to be present in several algorithmic variants, because a platform offering one discovery algorithm has quietly taken a position on the fitness-precision trade-off on the user's behalf. Object-centric discovery had to be present because the ingest path supports OCEL. The complexity and drift families were the research topics this seminar engaged with.</w:t>
      </w:r>
    </w:p>
    <w:p>
      <w:pPr>
        <w:pStyle w:val="BasicText"/>
      </w:pPr>
      <w:r>
        <w:t xml:space="preserve">The </w:t>
      </w:r>
      <w:r>
        <w:rPr>
          <w:b/>
        </w:rPr>
        <w:t xml:space="preserve">second</w:t>
      </w:r>
      <w:r>
        <w:t xml:space="preserve"> is that each module stresses a different axis of the extension mechanism, so the set functions as an integration test of the contract. Four axes were covered. </w:t>
      </w:r>
      <w:r>
        <w:rPr>
          <w:b/>
        </w:rPr>
        <w:t xml:space="preserve">Compute-heavy scientific code with a pinned dependency stack</w:t>
      </w:r>
      <w:r>
        <w:t xml:space="preserve">: </w:t>
      </w:r>
      <w:r>
        <w:rPr>
          <w:rFonts w:ascii="Courier New" w:hAnsi="Courier New"/>
          <w:sz w:val="20"/>
        </w:rPr>
        <w:t xml:space="preserve">cv4cdd</w:t>
      </w:r>
      <w:r>
        <w:t xml:space="preserve"> brings TensorFlow, a trained model as a binary artefact and an upper bound on the Python version. </w:t>
      </w:r>
      <w:r>
        <w:rPr>
          <w:b/>
        </w:rPr>
        <w:t xml:space="preserve">A non-Python runtime</w:t>
      </w:r>
      <w:r>
        <w:t xml:space="preserve">: </w:t>
      </w:r>
      <w:r>
        <w:rPr>
          <w:rFonts w:ascii="Courier New" w:hAnsi="Courier New"/>
          <w:sz w:val="20"/>
        </w:rPr>
        <w:t xml:space="preserve">alpha_miner_java</w:t>
      </w:r>
      <w:r>
        <w:t xml:space="preserve"> is implemented entirely in Java and shipped as a fat jar. </w:t>
      </w:r>
      <w:r>
        <w:rPr>
          <w:b/>
        </w:rPr>
        <w:t xml:space="preserve">An external service dependency</w:t>
      </w:r>
      <w:r>
        <w:t xml:space="preserve">: </w:t>
      </w:r>
      <w:r>
        <w:rPr>
          <w:rFonts w:ascii="Courier New" w:hAnsi="Courier New"/>
          <w:sz w:val="20"/>
        </w:rPr>
        <w:t xml:space="preserve">actor_performance</w:t>
      </w:r>
      <w:r>
        <w:t xml:space="preserve"> needs a graph database beside the platform, not a library inside it. </w:t>
      </w:r>
      <w:r>
        <w:rPr>
          <w:b/>
        </w:rPr>
        <w:t xml:space="preserve">An external model provider</w:t>
      </w:r>
      <w:r>
        <w:t xml:space="preserve">: </w:t>
      </w:r>
      <w:r>
        <w:rPr>
          <w:rFonts w:ascii="Courier New" w:hAnsi="Courier New"/>
          <w:sz w:val="20"/>
        </w:rPr>
        <w:t xml:space="preserve">concept_drift_explainer</w:t>
      </w:r>
      <w:r>
        <w:t xml:space="preserve"> calls a hosted language model and vector store, testing the manifest's ability to declare a data-egress boundary it was not designed to describe.</w:t>
      </w:r>
    </w:p>
    <w:p>
      <w:pPr>
        <w:pStyle w:val="Heading2"/>
      </w:pPr>
      <w:r>
        <w:t xml:space="preserve">Module Profiles</w:t>
      </w:r>
    </w:p>
    <w:p>
      <w:pPr>
        <w:pStyle w:val="BasicText"/>
      </w:pPr>
      <w:r>
        <w:t xml:space="preserve">Grouped by category and kept short; algorithmic background, parameters and known limitations are in Appendix D, and the table below records what each module exercised.</w:t>
      </w:r>
    </w:p>
    <w:p>
      <w:pPr>
        <w:pStyle w:val="BasicText"/>
      </w:pPr>
      <w:r>
        <w:rPr>
          <w:b/>
        </w:rPr>
        <w:t xml:space="preserve">Foundation.</w:t>
      </w:r>
      <w:r>
        <w:t xml:space="preserve"> </w:t>
      </w:r>
      <w:r>
        <w:rPr>
          <w:b/>
        </w:rPr>
        <w:t xml:space="preserve">Discovery</w:t>
      </w:r>
      <w:r>
        <w:t xml:space="preserve"> turns a log into a process model and renders it as a directly-follows graph, a Petri net from the Alpha or Inductive miner, a process tree, a heuristics net or BPMN (van der Aalst et al., 2004), computing the layout following the backbone-based process map approach of Lee et al. (2026). It provides seven capabilities other modules call, and at 14,727 lines it established that a module can be a substantial application rather than a thin wrapper. </w:t>
      </w:r>
      <w:r>
        <w:rPr>
          <w:b/>
        </w:rPr>
        <w:t xml:space="preserve">Performance</w:t>
      </w:r>
      <w:r>
        <w:t xml:space="preserve"> measures throughput, cycle and lead times, the 90th-percentile cycle time and bottlenecks; it declares </w:t>
      </w:r>
      <w:r>
        <w:rPr>
          <w:rFonts w:ascii="Courier New" w:hAnsi="Courier New"/>
          <w:sz w:val="20"/>
        </w:rPr>
        <w:t xml:space="preserve">discovery</w:t>
      </w:r>
      <w:r>
        <w:t xml:space="preserve"> as an optional dependency, computing metrics per discovered activity when present and falling back to raw activity labels when not. </w:t>
      </w:r>
      <w:r>
        <w:rPr>
          <w:b/>
        </w:rPr>
        <w:t xml:space="preserve">Object-Centric Discovery</w:t>
      </w:r>
      <w:r>
        <w:t xml:space="preserve"> discovers a process from OCEL logs, exposing object types, activities and the object-centric DFG (Berti et al., 2023; van der Aalst, 2019); it consumes </w:t>
      </w:r>
      <w:r>
        <w:rPr>
          <w:rFonts w:ascii="Courier New" w:hAnsi="Courier New"/>
          <w:sz w:val="20"/>
        </w:rPr>
        <w:t xml:space="preserve">ocel.imported</w:t>
      </w:r>
      <w:r>
        <w:t xml:space="preserve"> rather than </w:t>
      </w:r>
      <w:r>
        <w:rPr>
          <w:rFonts w:ascii="Courier New" w:hAnsi="Courier New"/>
          <w:sz w:val="20"/>
        </w:rPr>
        <w:t xml:space="preserve">log.imported</w:t>
      </w:r>
      <w:r>
        <w:t xml:space="preserve">, and it forced the log-model gate, without which case-centric and object-centric modules appeared for each other's logs and failed confusingly.</w:t>
      </w:r>
    </w:p>
    <w:p>
      <w:pPr>
        <w:pStyle w:val="BasicText"/>
      </w:pPr>
      <w:r>
        <w:rPr>
          <w:b/>
        </w:rPr>
        <w:t xml:space="preserve">Analysis.</w:t>
      </w:r>
      <w:r>
        <w:t xml:space="preserve"> </w:t>
      </w:r>
      <w:r>
        <w:rPr>
          <w:b/>
        </w:rPr>
        <w:t xml:space="preserve">Conformance Checking</w:t>
      </w:r>
      <w:r>
        <w:t xml:space="preserve"> takes a user-supplied BPMN reference model and computes fitness, precision and per-activity deviations with token-based replay by default and alignments optionally, painting the deviations onto the model (Carmona et al., 2022; Rozinat &amp; van der Aalst, 2008); it is the only module whose primary input is an artefact the user uploads. </w:t>
      </w:r>
      <w:r>
        <w:rPr>
          <w:b/>
        </w:rPr>
        <w:t xml:space="preserve">Complexity</w:t>
      </w:r>
      <w:r>
        <w:t xml:space="preserve"> measures entropy-based complexity over variants and activity sequences, with Lempel-Ziv, affinity, structure and Pentland's task and process complexity (Augusto et al., 2022), and was the first module needing richer XES attributes than the canonical three columns. </w:t>
      </w:r>
      <w:r>
        <w:rPr>
          <w:b/>
        </w:rPr>
        <w:t xml:space="preserve">Complexity V2</w:t>
      </w:r>
      <w:r>
        <w:t xml:space="preserve"> implements the 28-metric suite of Langer (2025) and is the clearest instance of a master's thesis becoming usable software. </w:t>
      </w:r>
      <w:r>
        <w:rPr>
          <w:b/>
        </w:rPr>
        <w:t xml:space="preserve">Complexity Over Time</w:t>
      </w:r>
      <w:r>
        <w:t xml:space="preserve">, </w:t>
      </w:r>
      <w:r>
        <w:rPr>
          <w:b/>
        </w:rPr>
        <w:t xml:space="preserve">Complexity V2 Over Time</w:t>
      </w:r>
      <w:r>
        <w:t xml:space="preserve"> and </w:t>
      </w:r>
      <w:r>
        <w:rPr>
          <w:b/>
        </w:rPr>
        <w:t xml:space="preserve">Performance Over Time</w:t>
      </w:r>
      <w:r>
        <w:t xml:space="preserve"> slice the log into time windows and score each with the corresponding suite; that they exist as separate modules rather than as flags is itself a finding, since it was cheaper to write a second module than to make the first configurable (§6.7). </w:t>
      </w:r>
      <w:r>
        <w:rPr>
          <w:b/>
        </w:rPr>
        <w:t xml:space="preserve">Log Evolution</w:t>
      </w:r>
      <w:r>
        <w:t xml:space="preserve"> shows how a log grows and shifts, inherits nothing but pandas, and at 1,291 lines is close to the floor of what a useful module costs. </w:t>
      </w:r>
      <w:r>
        <w:rPr>
          <w:b/>
        </w:rPr>
        <w:t xml:space="preserve">CV4CDD</w:t>
      </w:r>
      <w:r>
        <w:t xml:space="preserve"> detects when and how a process changed, encoding the log as a similarity image and running a trained object-detection model to find sudden, gradual, incremental and recurring drifts (Kraus &amp; van der Aa, 2024, 2025); </w:t>
      </w:r>
      <w:r>
        <w:rPr>
          <w:b/>
        </w:rPr>
        <w:t xml:space="preserve">Concept Drift Explainer</w:t>
      </w:r>
      <w:r>
        <w:t xml:space="preserve"> explains </w:t>
      </w:r>
      <w:r>
        <w:rPr>
          <w:i/>
        </w:rPr>
        <w:t xml:space="preserve">why</w:t>
      </w:r>
      <w:r>
        <w:t xml:space="preserve"> it changed, taking those drift points, searching the user's uploaded enterprise documents for context and returning ranked, citation-backed candidate causes (Schaffner, 2025). </w:t>
      </w:r>
      <w:r>
        <w:rPr>
          <w:b/>
        </w:rPr>
        <w:t xml:space="preserve">AgentSimulator</w:t>
      </w:r>
      <w:r>
        <w:t xml:space="preserve"> simulates the process as interacting agents, learning each resource's behaviour, calendars and handovers from the log and scoring synthetic logs against a held-out slice (Kirchdorfer et al., 2025). </w:t>
      </w:r>
      <w:r>
        <w:rPr>
          <w:b/>
        </w:rPr>
        <w:t xml:space="preserve">Actor Performance</w:t>
      </w:r>
      <w:r>
        <w:t xml:space="preserve"> decomposes waiting time by actor behaviour, distinguishing direct continuation, continuation after an interruption, and handover to an actor who was idle or busy (Klijn et al., 2024). </w:t>
      </w:r>
      <w:r>
        <w:rPr>
          <w:b/>
        </w:rPr>
        <w:t xml:space="preserve">Alpha Miner (Java)</w:t>
      </w:r>
      <w:r>
        <w:t xml:space="preserve"> discovers a Petri net with the classic Alpha algorithm (van der Aalst et al., 2004); it is analytically redundant with Discovery, and that is the point, since it demonstrates the JVM runtime with an algorithm whose correct output is already known.</w:t>
      </w:r>
    </w:p>
    <w:p>
      <w:pPr>
        <w:pStyle w:val="BasicText"/>
      </w:pPr>
      <w:r>
        <w:rPr>
          <w:b/>
        </w:rPr>
        <w:t xml:space="preserve">Comparison.</w:t>
      </w:r>
      <w:r>
        <w:t xml:space="preserve"> </w:t>
      </w:r>
      <w:r>
        <w:rPr>
          <w:b/>
        </w:rPr>
        <w:t xml:space="preserve">Process Comparison</w:t>
      </w:r>
      <w:r>
        <w:t xml:space="preserve"> compares two filtered views side by side, an overlaid DFG diff, variant differences, similarity by earth mover's distance and footprints, and per-activity frequency changes; each side carries its own filter, so the two views may be two cohorts of the </w:t>
      </w:r>
      <w:r>
        <w:rPr>
          <w:i/>
        </w:rPr>
        <w:t xml:space="preserve">same</w:t>
      </w:r>
      <w:r>
        <w:t xml:space="preserve"> log, which is what motivated </w:t>
      </w:r>
      <w:r>
        <w:rPr>
          <w:rFonts w:ascii="Courier New" w:hAnsi="Courier New"/>
          <w:sz w:val="20"/>
        </w:rPr>
        <w:t xml:space="preserve">open_event_log</w:t>
      </w:r>
      <w:r>
        <w:t xml:space="preserve"> and the filter-aware cache key. </w:t>
      </w:r>
      <w:r>
        <w:rPr>
          <w:b/>
        </w:rPr>
        <w:t xml:space="preserve">Pcomp</w:t>
      </w:r>
      <w:r>
        <w:t xml:space="preserve"> tests whether two logs differ in a statistically meaningful way, using earth mover's distance under a permutation or bootstrap test (Pitsch et al., 2025); it is 211 lines of module code plus a panel, with everything else coming from the authors' published package installed from a Git URL.</w:t>
      </w:r>
    </w:p>
    <w:p>
      <w:pPr>
        <w:pStyle w:val="Caption"/>
      </w:pPr>
      <w:r>
        <w:t xml:space="preserve">Tab. </w:t>
      </w:r>
      <w:fldSimple w:instr=" SEQ Tab. \* ARABIC ">
        <w:r>
          <w:t>1</w:t>
        </w:r>
      </w:fldSimple>
      <w:r>
        <w:t xml:space="preserve">: </w:t>
      </w:r>
      <w:r>
        <w:t xml:space="preserve">The bundled module set, the platform property each exercised most, and its size.</w:t>
      </w:r>
    </w:p>
    <w:tbl>
      <w:tblPr>
        <w:tblStyle w:val="TableGrid"/>
        <w:tblW w:w="8500" w:type="dxa"/>
        <w:tblLayout w:type="fixed"/>
        <w:tblLook w:val="04A0" w:firstRow="1" w:lastRow="0" w:firstColumn="1" w:lastColumn="0" w:noHBand="0" w:noVBand="1"/>
      </w:tblPr>
      <w:tblGrid>
        <w:gridCol w:w="2100"/>
        <w:gridCol w:w="1349"/>
        <w:gridCol w:w="3770"/>
        <w:gridCol w:w="1281"/>
      </w:tblGrid>
      <w:tr>
        <w:trPr>
          <w:tblHeader/>
        </w:trPr>
        <w:tc>
          <w:tcPr>
            <w:tcW w:w="2100" w:type="dxa"/>
            <w:shd w:val="clear" w:color="auto" w:fill="F2F2F2"/>
          </w:tcPr>
          <w:p>
            <w:pPr>
              <w:pStyle w:val="BasicTextTable"/>
            </w:pPr>
            <w:r>
              <w:rPr>
                <w:b/>
              </w:rPr>
              <w:t xml:space="preserve">Module</w:t>
            </w:r>
          </w:p>
        </w:tc>
        <w:tc>
          <w:tcPr>
            <w:tcW w:w="1349" w:type="dxa"/>
            <w:shd w:val="clear" w:color="auto" w:fill="F2F2F2"/>
          </w:tcPr>
          <w:p>
            <w:pPr>
              <w:pStyle w:val="BasicTextTable"/>
            </w:pPr>
            <w:r>
              <w:rPr>
                <w:b/>
              </w:rPr>
              <w:t xml:space="preserve">Isolation</w:t>
            </w:r>
          </w:p>
        </w:tc>
        <w:tc>
          <w:tcPr>
            <w:tcW w:w="3770" w:type="dxa"/>
            <w:shd w:val="clear" w:color="auto" w:fill="F2F2F2"/>
          </w:tcPr>
          <w:p>
            <w:pPr>
              <w:pStyle w:val="BasicTextTable"/>
            </w:pPr>
            <w:r>
              <w:rPr>
                <w:b/>
              </w:rPr>
              <w:t xml:space="preserve">Platform property exercised</w:t>
            </w:r>
          </w:p>
        </w:tc>
        <w:tc>
          <w:tcPr>
            <w:tcW w:w="1281" w:type="dxa"/>
            <w:shd w:val="clear" w:color="auto" w:fill="F2F2F2"/>
          </w:tcPr>
          <w:p>
            <w:pPr>
              <w:pStyle w:val="BasicTextTable"/>
            </w:pPr>
            <w:r>
              <w:rPr>
                <w:b/>
              </w:rPr>
              <w:t xml:space="preserve">LOC</w:t>
            </w:r>
          </w:p>
        </w:tc>
      </w:tr>
      <w:tr>
        <w:tc>
          <w:tcPr>
            <w:tcW w:w="2100" w:type="dxa"/>
          </w:tcPr>
          <w:p>
            <w:pPr>
              <w:pStyle w:val="BasicTextTable"/>
            </w:pPr>
            <w:r>
              <w:t xml:space="preserve">discovery</w:t>
            </w:r>
          </w:p>
        </w:tc>
        <w:tc>
          <w:tcPr>
            <w:tcW w:w="1349" w:type="dxa"/>
          </w:tcPr>
          <w:p>
            <w:pPr>
              <w:pStyle w:val="BasicTextTable"/>
            </w:pPr>
            <w:r>
              <w:t xml:space="preserve">in_process</w:t>
            </w:r>
          </w:p>
        </w:tc>
        <w:tc>
          <w:tcPr>
            <w:tcW w:w="3770" w:type="dxa"/>
          </w:tcPr>
          <w:p>
            <w:pPr>
              <w:pStyle w:val="BasicTextTable"/>
            </w:pPr>
            <w:r>
              <w:t xml:space="preserve">Capability registry as provider; module as a full application</w:t>
            </w:r>
          </w:p>
        </w:tc>
        <w:tc>
          <w:tcPr>
            <w:tcW w:w="1281" w:type="dxa"/>
          </w:tcPr>
          <w:p>
            <w:pPr>
              <w:pStyle w:val="BasicTextTable"/>
            </w:pPr>
            <w:r>
              <w:t xml:space="preserve">14,727</w:t>
            </w:r>
          </w:p>
        </w:tc>
      </w:tr>
      <w:tr>
        <w:tc>
          <w:tcPr>
            <w:tcW w:w="2100" w:type="dxa"/>
          </w:tcPr>
          <w:p>
            <w:pPr>
              <w:pStyle w:val="BasicTextTable"/>
            </w:pPr>
            <w:r>
              <w:t xml:space="preserve">performance</w:t>
            </w:r>
          </w:p>
        </w:tc>
        <w:tc>
          <w:tcPr>
            <w:tcW w:w="1349" w:type="dxa"/>
          </w:tcPr>
          <w:p>
            <w:pPr>
              <w:pStyle w:val="BasicTextTable"/>
            </w:pPr>
            <w:r>
              <w:t xml:space="preserve">in_process</w:t>
            </w:r>
          </w:p>
        </w:tc>
        <w:tc>
          <w:tcPr>
            <w:tcW w:w="3770" w:type="dxa"/>
          </w:tcPr>
          <w:p>
            <w:pPr>
              <w:pStyle w:val="BasicTextTable"/>
            </w:pPr>
            <w:r>
              <w:t xml:space="preserve">Degradation on an optional dependency</w:t>
            </w:r>
          </w:p>
        </w:tc>
        <w:tc>
          <w:tcPr>
            <w:tcW w:w="1281" w:type="dxa"/>
          </w:tcPr>
          <w:p>
            <w:pPr>
              <w:pStyle w:val="BasicTextTable"/>
            </w:pPr>
            <w:r>
              <w:t xml:space="preserve">1,454</w:t>
            </w:r>
          </w:p>
        </w:tc>
      </w:tr>
      <w:tr>
        <w:tc>
          <w:tcPr>
            <w:tcW w:w="2100" w:type="dxa"/>
          </w:tcPr>
          <w:p>
            <w:pPr>
              <w:pStyle w:val="BasicTextTable"/>
            </w:pPr>
            <w:r>
              <w:t xml:space="preserve">ocel_discovery</w:t>
            </w:r>
          </w:p>
        </w:tc>
        <w:tc>
          <w:tcPr>
            <w:tcW w:w="1349" w:type="dxa"/>
          </w:tcPr>
          <w:p>
            <w:pPr>
              <w:pStyle w:val="BasicTextTable"/>
            </w:pPr>
            <w:r>
              <w:t xml:space="preserve">in_process</w:t>
            </w:r>
          </w:p>
        </w:tc>
        <w:tc>
          <w:tcPr>
            <w:tcW w:w="3770" w:type="dxa"/>
          </w:tcPr>
          <w:p>
            <w:pPr>
              <w:pStyle w:val="BasicTextTable"/>
            </w:pPr>
            <w:r>
              <w:t xml:space="preserve">Log-model gating; the object-centric import topic</w:t>
            </w:r>
          </w:p>
        </w:tc>
        <w:tc>
          <w:tcPr>
            <w:tcW w:w="1281" w:type="dxa"/>
          </w:tcPr>
          <w:p>
            <w:pPr>
              <w:pStyle w:val="BasicTextTable"/>
            </w:pPr>
            <w:r>
              <w:t xml:space="preserve">2,982</w:t>
            </w:r>
          </w:p>
        </w:tc>
      </w:tr>
      <w:tr>
        <w:tc>
          <w:tcPr>
            <w:tcW w:w="2100" w:type="dxa"/>
          </w:tcPr>
          <w:p>
            <w:pPr>
              <w:pStyle w:val="BasicTextTable"/>
            </w:pPr>
            <w:r>
              <w:t xml:space="preserve">conformance</w:t>
            </w:r>
          </w:p>
        </w:tc>
        <w:tc>
          <w:tcPr>
            <w:tcW w:w="1349" w:type="dxa"/>
          </w:tcPr>
          <w:p>
            <w:pPr>
              <w:pStyle w:val="BasicTextTable"/>
            </w:pPr>
            <w:r>
              <w:t xml:space="preserve">in_process</w:t>
            </w:r>
          </w:p>
        </w:tc>
        <w:tc>
          <w:tcPr>
            <w:tcW w:w="3770" w:type="dxa"/>
          </w:tcPr>
          <w:p>
            <w:pPr>
              <w:pStyle w:val="BasicTextTable"/>
            </w:pPr>
            <w:r>
              <w:t xml:space="preserve">Module-owned upload and configuration surface</w:t>
            </w:r>
          </w:p>
        </w:tc>
        <w:tc>
          <w:tcPr>
            <w:tcW w:w="1281" w:type="dxa"/>
          </w:tcPr>
          <w:p>
            <w:pPr>
              <w:pStyle w:val="BasicTextTable"/>
            </w:pPr>
            <w:r>
              <w:t xml:space="preserve">3,232</w:t>
            </w:r>
          </w:p>
        </w:tc>
      </w:tr>
      <w:tr>
        <w:tc>
          <w:tcPr>
            <w:tcW w:w="2100" w:type="dxa"/>
          </w:tcPr>
          <w:p>
            <w:pPr>
              <w:pStyle w:val="BasicTextTable"/>
            </w:pPr>
            <w:r>
              <w:t xml:space="preserve">complexity</w:t>
            </w:r>
          </w:p>
        </w:tc>
        <w:tc>
          <w:tcPr>
            <w:tcW w:w="1349" w:type="dxa"/>
          </w:tcPr>
          <w:p>
            <w:pPr>
              <w:pStyle w:val="BasicTextTable"/>
            </w:pPr>
            <w:r>
              <w:t xml:space="preserve">in_process</w:t>
            </w:r>
          </w:p>
        </w:tc>
        <w:tc>
          <w:tcPr>
            <w:tcW w:w="3770" w:type="dxa"/>
          </w:tcPr>
          <w:p>
            <w:pPr>
              <w:pStyle w:val="BasicTextTable"/>
            </w:pPr>
            <w:r>
              <w:t xml:space="preserve">Optional-column requirements</w:t>
            </w:r>
          </w:p>
        </w:tc>
        <w:tc>
          <w:tcPr>
            <w:tcW w:w="1281" w:type="dxa"/>
          </w:tcPr>
          <w:p>
            <w:pPr>
              <w:pStyle w:val="BasicTextTable"/>
            </w:pPr>
            <w:r>
              <w:t xml:space="preserve">2,140</w:t>
            </w:r>
          </w:p>
        </w:tc>
      </w:tr>
      <w:tr>
        <w:tc>
          <w:tcPr>
            <w:tcW w:w="2100" w:type="dxa"/>
          </w:tcPr>
          <w:p>
            <w:pPr>
              <w:pStyle w:val="BasicTextTable"/>
            </w:pPr>
            <w:r>
              <w:t xml:space="preserve">complexity_v2</w:t>
            </w:r>
          </w:p>
        </w:tc>
        <w:tc>
          <w:tcPr>
            <w:tcW w:w="1349" w:type="dxa"/>
          </w:tcPr>
          <w:p>
            <w:pPr>
              <w:pStyle w:val="BasicTextTable"/>
            </w:pPr>
            <w:r>
              <w:t xml:space="preserve">in_process</w:t>
            </w:r>
          </w:p>
        </w:tc>
        <w:tc>
          <w:tcPr>
            <w:tcW w:w="3770" w:type="dxa"/>
          </w:tcPr>
          <w:p>
            <w:pPr>
              <w:pStyle w:val="BasicTextTable"/>
            </w:pPr>
            <w:r>
              <w:t xml:space="preserve">Inheriting the numerical stack</w:t>
            </w:r>
          </w:p>
        </w:tc>
        <w:tc>
          <w:tcPr>
            <w:tcW w:w="1281" w:type="dxa"/>
          </w:tcPr>
          <w:p>
            <w:pPr>
              <w:pStyle w:val="BasicTextTable"/>
            </w:pPr>
            <w:r>
              <w:t xml:space="preserve">2,521</w:t>
            </w:r>
          </w:p>
        </w:tc>
      </w:tr>
      <w:tr>
        <w:tc>
          <w:tcPr>
            <w:tcW w:w="2100" w:type="dxa"/>
          </w:tcPr>
          <w:p>
            <w:pPr>
              <w:pStyle w:val="BasicTextTable"/>
            </w:pPr>
            <w:r>
              <w:t xml:space="preserve">complexity_over_time</w:t>
            </w:r>
          </w:p>
        </w:tc>
        <w:tc>
          <w:tcPr>
            <w:tcW w:w="1349" w:type="dxa"/>
          </w:tcPr>
          <w:p>
            <w:pPr>
              <w:pStyle w:val="BasicTextTable"/>
            </w:pPr>
            <w:r>
              <w:t xml:space="preserve">in_process</w:t>
            </w:r>
          </w:p>
        </w:tc>
        <w:tc>
          <w:tcPr>
            <w:tcW w:w="3770" w:type="dxa"/>
          </w:tcPr>
          <w:p>
            <w:pPr>
              <w:pStyle w:val="BasicTextTable"/>
            </w:pPr>
            <w:r>
              <w:t xml:space="preserve">Time-sliced recomputation</w:t>
            </w:r>
          </w:p>
        </w:tc>
        <w:tc>
          <w:tcPr>
            <w:tcW w:w="1281" w:type="dxa"/>
          </w:tcPr>
          <w:p>
            <w:pPr>
              <w:pStyle w:val="BasicTextTable"/>
            </w:pPr>
            <w:r>
              <w:t xml:space="preserve">2,775</w:t>
            </w:r>
          </w:p>
        </w:tc>
      </w:tr>
      <w:tr>
        <w:tc>
          <w:tcPr>
            <w:tcW w:w="2100" w:type="dxa"/>
          </w:tcPr>
          <w:p>
            <w:pPr>
              <w:pStyle w:val="BasicTextTable"/>
            </w:pPr>
            <w:r>
              <w:t xml:space="preserve">complexity_v2_over_time</w:t>
            </w:r>
          </w:p>
        </w:tc>
        <w:tc>
          <w:tcPr>
            <w:tcW w:w="1349" w:type="dxa"/>
          </w:tcPr>
          <w:p>
            <w:pPr>
              <w:pStyle w:val="BasicTextTable"/>
            </w:pPr>
            <w:r>
              <w:t xml:space="preserve">in_process</w:t>
            </w:r>
          </w:p>
        </w:tc>
        <w:tc>
          <w:tcPr>
            <w:tcW w:w="3770" w:type="dxa"/>
          </w:tcPr>
          <w:p>
            <w:pPr>
              <w:pStyle w:val="BasicTextTable"/>
            </w:pPr>
            <w:r>
              <w:t xml:space="preserve">The same, at 28 metrics</w:t>
            </w:r>
          </w:p>
        </w:tc>
        <w:tc>
          <w:tcPr>
            <w:tcW w:w="1281" w:type="dxa"/>
          </w:tcPr>
          <w:p>
            <w:pPr>
              <w:pStyle w:val="BasicTextTable"/>
            </w:pPr>
            <w:r>
              <w:t xml:space="preserve">3,545</w:t>
            </w:r>
          </w:p>
        </w:tc>
      </w:tr>
      <w:tr>
        <w:tc>
          <w:tcPr>
            <w:tcW w:w="2100" w:type="dxa"/>
          </w:tcPr>
          <w:p>
            <w:pPr>
              <w:pStyle w:val="BasicTextTable"/>
            </w:pPr>
            <w:r>
              <w:t xml:space="preserve">performance_over_time</w:t>
            </w:r>
          </w:p>
        </w:tc>
        <w:tc>
          <w:tcPr>
            <w:tcW w:w="1349" w:type="dxa"/>
          </w:tcPr>
          <w:p>
            <w:pPr>
              <w:pStyle w:val="BasicTextTable"/>
            </w:pPr>
            <w:r>
              <w:t xml:space="preserve">in_process</w:t>
            </w:r>
          </w:p>
        </w:tc>
        <w:tc>
          <w:tcPr>
            <w:tcW w:w="3770" w:type="dxa"/>
          </w:tcPr>
          <w:p>
            <w:pPr>
              <w:pStyle w:val="BasicTextTable"/>
            </w:pPr>
            <w:r>
              <w:t xml:space="preserve">The same, for KPIs</w:t>
            </w:r>
          </w:p>
        </w:tc>
        <w:tc>
          <w:tcPr>
            <w:tcW w:w="1281" w:type="dxa"/>
          </w:tcPr>
          <w:p>
            <w:pPr>
              <w:pStyle w:val="BasicTextTable"/>
            </w:pPr>
            <w:r>
              <w:t xml:space="preserve">1,920</w:t>
            </w:r>
          </w:p>
        </w:tc>
      </w:tr>
      <w:tr>
        <w:tc>
          <w:tcPr>
            <w:tcW w:w="2100" w:type="dxa"/>
          </w:tcPr>
          <w:p>
            <w:pPr>
              <w:pStyle w:val="BasicTextTable"/>
            </w:pPr>
            <w:r>
              <w:t xml:space="preserve">log_evolution</w:t>
            </w:r>
          </w:p>
        </w:tc>
        <w:tc>
          <w:tcPr>
            <w:tcW w:w="1349" w:type="dxa"/>
          </w:tcPr>
          <w:p>
            <w:pPr>
              <w:pStyle w:val="BasicTextTable"/>
            </w:pPr>
            <w:r>
              <w:t xml:space="preserve">in_process</w:t>
            </w:r>
          </w:p>
        </w:tc>
        <w:tc>
          <w:tcPr>
            <w:tcW w:w="3770" w:type="dxa"/>
          </w:tcPr>
          <w:p>
            <w:pPr>
              <w:pStyle w:val="BasicTextTable"/>
            </w:pPr>
            <w:r>
              <w:t xml:space="preserve">Minimum viable dependency set</w:t>
            </w:r>
          </w:p>
        </w:tc>
        <w:tc>
          <w:tcPr>
            <w:tcW w:w="1281" w:type="dxa"/>
          </w:tcPr>
          <w:p>
            <w:pPr>
              <w:pStyle w:val="BasicTextTable"/>
            </w:pPr>
            <w:r>
              <w:t xml:space="preserve">1,291</w:t>
            </w:r>
          </w:p>
        </w:tc>
      </w:tr>
      <w:tr>
        <w:tc>
          <w:tcPr>
            <w:tcW w:w="2100" w:type="dxa"/>
          </w:tcPr>
          <w:p>
            <w:pPr>
              <w:pStyle w:val="BasicTextTable"/>
            </w:pPr>
            <w:r>
              <w:t xml:space="preserve">cv4cdd</w:t>
            </w:r>
          </w:p>
        </w:tc>
        <w:tc>
          <w:tcPr>
            <w:tcW w:w="1349" w:type="dxa"/>
          </w:tcPr>
          <w:p>
            <w:pPr>
              <w:pStyle w:val="BasicTextTable"/>
            </w:pPr>
            <w:r>
              <w:t xml:space="preserve">in_process</w:t>
            </w:r>
          </w:p>
        </w:tc>
        <w:tc>
          <w:tcPr>
            <w:tcW w:w="3770" w:type="dxa"/>
          </w:tcPr>
          <w:p>
            <w:pPr>
              <w:pStyle w:val="BasicTextTable"/>
            </w:pPr>
            <w:r>
              <w:t xml:space="preserve">Pinned dependencies plus a binary model artefact</w:t>
            </w:r>
          </w:p>
        </w:tc>
        <w:tc>
          <w:tcPr>
            <w:tcW w:w="1281" w:type="dxa"/>
          </w:tcPr>
          <w:p>
            <w:pPr>
              <w:pStyle w:val="BasicTextTable"/>
            </w:pPr>
            <w:r>
              <w:t xml:space="preserve">3,946</w:t>
            </w:r>
          </w:p>
        </w:tc>
      </w:tr>
      <w:tr>
        <w:tc>
          <w:tcPr>
            <w:tcW w:w="2100" w:type="dxa"/>
          </w:tcPr>
          <w:p>
            <w:pPr>
              <w:pStyle w:val="BasicTextTable"/>
            </w:pPr>
            <w:r>
              <w:t xml:space="preserve">concept_drift_explainer</w:t>
            </w:r>
          </w:p>
        </w:tc>
        <w:tc>
          <w:tcPr>
            <w:tcW w:w="1349" w:type="dxa"/>
          </w:tcPr>
          <w:p>
            <w:pPr>
              <w:pStyle w:val="BasicTextTable"/>
            </w:pPr>
            <w:r>
              <w:t xml:space="preserve">in_process</w:t>
            </w:r>
          </w:p>
        </w:tc>
        <w:tc>
          <w:tcPr>
            <w:tcW w:w="3770" w:type="dxa"/>
          </w:tcPr>
          <w:p>
            <w:pPr>
              <w:pStyle w:val="BasicTextTable"/>
            </w:pPr>
            <w:r>
              <w:t xml:space="preserve">Hard module dependency; egress boundary</w:t>
            </w:r>
          </w:p>
        </w:tc>
        <w:tc>
          <w:tcPr>
            <w:tcW w:w="1281" w:type="dxa"/>
          </w:tcPr>
          <w:p>
            <w:pPr>
              <w:pStyle w:val="BasicTextTable"/>
            </w:pPr>
            <w:r>
              <w:t xml:space="preserve">3,787</w:t>
            </w:r>
          </w:p>
        </w:tc>
      </w:tr>
      <w:tr>
        <w:tc>
          <w:tcPr>
            <w:tcW w:w="2100" w:type="dxa"/>
          </w:tcPr>
          <w:p>
            <w:pPr>
              <w:pStyle w:val="BasicTextTable"/>
            </w:pPr>
            <w:r>
              <w:t xml:space="preserve">agentsimulator</w:t>
            </w:r>
          </w:p>
        </w:tc>
        <w:tc>
          <w:tcPr>
            <w:tcW w:w="1349" w:type="dxa"/>
          </w:tcPr>
          <w:p>
            <w:pPr>
              <w:pStyle w:val="BasicTextTable"/>
            </w:pPr>
            <w:r>
              <w:t xml:space="preserve">subprocess</w:t>
            </w:r>
          </w:p>
        </w:tc>
        <w:tc>
          <w:tcPr>
            <w:tcW w:w="3770" w:type="dxa"/>
          </w:tcPr>
          <w:p>
            <w:pPr>
              <w:pStyle w:val="BasicTextTable"/>
            </w:pPr>
            <w:r>
              <w:t xml:space="preserve">Separate interpreter; Parquet DataFrame handoff</w:t>
            </w:r>
          </w:p>
        </w:tc>
        <w:tc>
          <w:tcPr>
            <w:tcW w:w="1281" w:type="dxa"/>
          </w:tcPr>
          <w:p>
            <w:pPr>
              <w:pStyle w:val="BasicTextTable"/>
            </w:pPr>
            <w:r>
              <w:t xml:space="preserve">9,107</w:t>
            </w:r>
          </w:p>
        </w:tc>
      </w:tr>
      <w:tr>
        <w:tc>
          <w:tcPr>
            <w:tcW w:w="2100" w:type="dxa"/>
          </w:tcPr>
          <w:p>
            <w:pPr>
              <w:pStyle w:val="BasicTextTable"/>
            </w:pPr>
            <w:r>
              <w:t xml:space="preserve">actor_performance</w:t>
            </w:r>
          </w:p>
        </w:tc>
        <w:tc>
          <w:tcPr>
            <w:tcW w:w="1349" w:type="dxa"/>
          </w:tcPr>
          <w:p>
            <w:pPr>
              <w:pStyle w:val="BasicTextTable"/>
            </w:pPr>
            <w:r>
              <w:t xml:space="preserve">subprocess</w:t>
            </w:r>
          </w:p>
        </w:tc>
        <w:tc>
          <w:tcPr>
            <w:tcW w:w="3770" w:type="dxa"/>
          </w:tcPr>
          <w:p>
            <w:pPr>
              <w:pStyle w:val="BasicTextTable"/>
            </w:pPr>
            <w:r>
              <w:t xml:space="preserve">Sidecar service under a compose profile</w:t>
            </w:r>
          </w:p>
        </w:tc>
        <w:tc>
          <w:tcPr>
            <w:tcW w:w="1281" w:type="dxa"/>
          </w:tcPr>
          <w:p>
            <w:pPr>
              <w:pStyle w:val="BasicTextTable"/>
            </w:pPr>
            <w:r>
              <w:t xml:space="preserve">2,330</w:t>
            </w:r>
          </w:p>
        </w:tc>
      </w:tr>
      <w:tr>
        <w:tc>
          <w:tcPr>
            <w:tcW w:w="2100" w:type="dxa"/>
          </w:tcPr>
          <w:p>
            <w:pPr>
              <w:pStyle w:val="BasicTextTable"/>
            </w:pPr>
            <w:r>
              <w:t xml:space="preserve">alpha_miner_java</w:t>
            </w:r>
          </w:p>
        </w:tc>
        <w:tc>
          <w:tcPr>
            <w:tcW w:w="1349" w:type="dxa"/>
          </w:tcPr>
          <w:p>
            <w:pPr>
              <w:pStyle w:val="BasicTextTable"/>
            </w:pPr>
            <w:r>
              <w:t xml:space="preserve">JVM runtime</w:t>
            </w:r>
          </w:p>
        </w:tc>
        <w:tc>
          <w:tcPr>
            <w:tcW w:w="3770" w:type="dxa"/>
          </w:tcPr>
          <w:p>
            <w:pPr>
              <w:pStyle w:val="BasicTextTable"/>
            </w:pPr>
            <w:r>
              <w:t xml:space="preserve">Polyglot bridge and protocol conformance</w:t>
            </w:r>
          </w:p>
        </w:tc>
        <w:tc>
          <w:tcPr>
            <w:tcW w:w="1281" w:type="dxa"/>
          </w:tcPr>
          <w:p>
            <w:pPr>
              <w:pStyle w:val="BasicTextTable"/>
            </w:pPr>
            <w:r>
              <w:t xml:space="preserve">jar</w:t>
            </w:r>
          </w:p>
        </w:tc>
      </w:tr>
      <w:tr>
        <w:tc>
          <w:tcPr>
            <w:tcW w:w="2100" w:type="dxa"/>
          </w:tcPr>
          <w:p>
            <w:pPr>
              <w:pStyle w:val="BasicTextTable"/>
            </w:pPr>
            <w:r>
              <w:t xml:space="preserve">process_comparison</w:t>
            </w:r>
          </w:p>
        </w:tc>
        <w:tc>
          <w:tcPr>
            <w:tcW w:w="1349" w:type="dxa"/>
          </w:tcPr>
          <w:p>
            <w:pPr>
              <w:pStyle w:val="BasicTextTable"/>
            </w:pPr>
            <w:r>
              <w:t xml:space="preserve">in_process</w:t>
            </w:r>
          </w:p>
        </w:tc>
        <w:tc>
          <w:tcPr>
            <w:tcW w:w="3770" w:type="dxa"/>
          </w:tcPr>
          <w:p>
            <w:pPr>
              <w:pStyle w:val="BasicTextTable"/>
            </w:pPr>
            <w:r>
              <w:t xml:space="preserve">Cross-log access; filter-aware cache keys</w:t>
            </w:r>
          </w:p>
        </w:tc>
        <w:tc>
          <w:tcPr>
            <w:tcW w:w="1281" w:type="dxa"/>
          </w:tcPr>
          <w:p>
            <w:pPr>
              <w:pStyle w:val="BasicTextTable"/>
            </w:pPr>
            <w:r>
              <w:t xml:space="preserve">3,598</w:t>
            </w:r>
          </w:p>
        </w:tc>
      </w:tr>
      <w:tr>
        <w:tc>
          <w:tcPr>
            <w:tcW w:w="2100" w:type="dxa"/>
          </w:tcPr>
          <w:p>
            <w:pPr>
              <w:pStyle w:val="BasicTextTable"/>
            </w:pPr>
            <w:r>
              <w:t xml:space="preserve">pcomp</w:t>
            </w:r>
          </w:p>
        </w:tc>
        <w:tc>
          <w:tcPr>
            <w:tcW w:w="1349" w:type="dxa"/>
          </w:tcPr>
          <w:p>
            <w:pPr>
              <w:pStyle w:val="BasicTextTable"/>
            </w:pPr>
            <w:r>
              <w:t xml:space="preserve">in_process</w:t>
            </w:r>
          </w:p>
        </w:tc>
        <w:tc>
          <w:tcPr>
            <w:tcW w:w="3770" w:type="dxa"/>
          </w:tcPr>
          <w:p>
            <w:pPr>
              <w:pStyle w:val="BasicTextTable"/>
            </w:pPr>
            <w:r>
              <w:t xml:space="preserve">Dependency installed from a Git URL</w:t>
            </w:r>
          </w:p>
        </w:tc>
        <w:tc>
          <w:tcPr>
            <w:tcW w:w="1281" w:type="dxa"/>
          </w:tcPr>
          <w:p>
            <w:pPr>
              <w:pStyle w:val="BasicTextTable"/>
            </w:pPr>
            <w:r>
              <w:t xml:space="preserve">825</w:t>
            </w:r>
          </w:p>
        </w:tc>
      </w:tr>
    </w:tbl>
    <w:p>
      <w:pPr>
        <w:pStyle w:val="BasicText"/>
      </w:pPr>
    </w:p>
    <w:p>
      <w:pPr>
        <w:pStyle w:val="Heading2"/>
      </w:pPr>
      <w:r>
        <w:t xml:space="preserve">Case Study: Porting Python Research Code into a Module</w:t>
      </w:r>
    </w:p>
    <w:p>
      <w:pPr>
        <w:pStyle w:val="BasicText"/>
      </w:pPr>
      <w:r>
        <w:t xml:space="preserve">The CV4CDD reference implementation is a good specimen precisely because it is normal. Published alongside two papers (Kraus &amp; van der Aa, 2024, 2025), it looked the way research repositories look: scripts driven from the command line, helper modules importing each other by relative path, a configuration block of module-level constants, hard-coded input and output paths, a </w:t>
      </w:r>
      <w:r>
        <w:rPr>
          <w:rFonts w:ascii="Courier New" w:hAnsi="Courier New"/>
          <w:sz w:val="20"/>
        </w:rPr>
        <w:t xml:space="preserve">requirements.txt</w:t>
      </w:r>
      <w:r>
        <w:t xml:space="preserve"> pinning TensorFlow, a trained model checkpoint in the repository, and no interface.</w:t>
      </w:r>
    </w:p>
    <w:p>
      <w:pPr>
        <w:pStyle w:val="BasicText"/>
      </w:pPr>
      <w:r>
        <w:rPr>
          <w:b/>
        </w:rPr>
        <w:t xml:space="preserve">A manifest, absorbed entirely.</w:t>
      </w:r>
      <w:r>
        <w:t xml:space="preserve"> Identity, citations, required columns, the import subscription, the provided capability, the frontend entry and the dependency block with its Python upper bound are declaration, not code. Nothing in the research repository changed to produce it.</w:t>
      </w:r>
    </w:p>
    <w:p>
      <w:pPr>
        <w:pStyle w:val="BasicText"/>
      </w:pPr>
      <w:r>
        <w:rPr>
          <w:b/>
        </w:rPr>
        <w:t xml:space="preserve">An entry point and an adapter, the real work.</w:t>
      </w:r>
      <w:r>
        <w:t xml:space="preserve"> The module class is 458 lines and the adapter a further 447. Between them they translate the platform's event-log access into the shapes the original expects, replace module-level configuration constants with values read from user configuration, redirect file input and output into the invocation's scratch directory and the result cache, and report progress. The 2,000-odd lines under the original repository's own directory structure were vendored </w:t>
      </w:r>
      <w:r>
        <w:rPr>
          <w:b/>
        </w:rPr>
        <w:t xml:space="preserve">unmodified</w:t>
      </w:r>
      <w:r>
        <w:t xml:space="preserve">, which was the objective: the platform-facing code is an adapter, and the research code stays recognisable to its author and re-syncable against upstream. A panel of 424 lines renders detected drifts on a timeline.</w:t>
      </w:r>
    </w:p>
    <w:p>
      <w:pPr>
        <w:pStyle w:val="BasicText"/>
      </w:pPr>
      <w:r>
        <w:rPr>
          <w:b/>
        </w:rPr>
        <w:t xml:space="preserve">Two edits the SDK could not absorb.</w:t>
      </w:r>
      <w:r>
        <w:t xml:space="preserve"> File-system assumptions: the original wrote intermediate images relative to the working directory, which in a server process is neither writable nor per-invocation. And global state: it loaded the model once into a module-level variable at import time, which is exactly what the once-per-process rule makes dangerous. Both are invisible in a script and load-bearing in a server.</w:t>
      </w:r>
    </w:p>
    <w:p>
      <w:pPr>
        <w:pStyle w:val="BasicText"/>
      </w:pPr>
      <w:r>
        <w:t xml:space="preserve">Two properties of the model artefact caused more trouble than the code. The checkpoint is large enough that committing it is awkward and downloading at boot is slow, so the platform grew the ability to pin a model globally as an administrative action. And because the module is enabled by default and subscribes to the import event, on an installation with no model </w:t>
      </w:r>
      <w:r>
        <w:rPr>
          <w:b/>
        </w:rPr>
        <w:t xml:space="preserve">every log import starts a job that fails</w:t>
      </w:r>
      <w:r>
        <w:t xml:space="preserve">. That is a genuine wart, documented in the deployment guide, and §11.3 records it rather than hiding it.</w:t>
      </w:r>
    </w:p>
    <w:p>
      <w:pPr>
        <w:pStyle w:val="BasicText"/>
      </w:pPr>
      <w:r>
        <w:t xml:space="preserve">Effort: roughly three working days from checkout to a module rendering drift points, with the largest single block spent on dependency resolution rather than on code.</w:t>
      </w:r>
    </w:p>
    <w:p>
      <w:pPr>
        <w:pStyle w:val="Heading2"/>
      </w:pPr>
      <w:r>
        <w:t xml:space="preserve">Case Study: A Non-Python Module</w:t>
      </w:r>
    </w:p>
    <w:p>
      <w:pPr>
        <w:pStyle w:val="BasicText"/>
      </w:pPr>
      <w:r>
        <w:t xml:space="preserve">The Alpha Miner answers one question: does the contract abstract over the execution runtime, or does it merely have a place where a non-Python runtime could go?</w:t>
      </w:r>
    </w:p>
    <w:p>
      <w:pPr>
        <w:pStyle w:val="BasicText"/>
      </w:pPr>
      <w:r>
        <w:t xml:space="preserve">The module folder contains three things: </w:t>
      </w:r>
      <w:r>
        <w:rPr>
          <w:rFonts w:ascii="Courier New" w:hAnsi="Courier New"/>
          <w:sz w:val="20"/>
        </w:rPr>
        <w:t xml:space="preserve">manifest.yaml</w:t>
      </w:r>
      <w:r>
        <w:t xml:space="preserve">, a </w:t>
      </w:r>
      <w:r>
        <w:rPr>
          <w:rFonts w:ascii="Courier New" w:hAnsi="Courier New"/>
          <w:sz w:val="20"/>
        </w:rPr>
        <w:t xml:space="preserve">README.md</w:t>
      </w:r>
      <w:r>
        <w:t xml:space="preserve"> and </w:t>
      </w:r>
      <w:r>
        <w:rPr>
          <w:rFonts w:ascii="Courier New" w:hAnsi="Courier New"/>
          <w:sz w:val="20"/>
        </w:rPr>
        <w:t xml:space="preserve">dist/alpha-miner-all.jar</w:t>
      </w:r>
      <w:r>
        <w:t xml:space="preserve">. There is no Python file in it. The manifest replaces the Python dependency block with a runtime block naming the kind, the jar path, the minimum Java version and the JVM arguments, and declares a typed dataset so the discovered Petri net is rendered by the platform's generic graph visualisation rather than by a panel. That the module needs no frontend to be useful is itself a result: a module can contribute an artefact and let the platform display it.</w:t>
      </w:r>
    </w:p>
    <w:p>
      <w:pPr>
        <w:pStyle w:val="BasicText"/>
      </w:pPr>
      <w:r>
        <w:t xml:space="preserve">What the </w:t>
      </w:r>
      <w:r>
        <w:rPr>
          <w:b/>
        </w:rPr>
        <w:t xml:space="preserve">platform</w:t>
      </w:r>
      <w:r>
        <w:t xml:space="preserve"> had to supply, once, is the substantial part: the runtime abstraction and its JVM implementation, 319 lines of Python; the Java SDK a module author links against, 1,794 lines; and a conformance fixture of 185 lines. A Java runtime was baked into the API image so no toolchain is needed on the deployment host. What the </w:t>
      </w:r>
      <w:r>
        <w:rPr>
          <w:b/>
        </w:rPr>
        <w:t xml:space="preserve">module author</w:t>
      </w:r>
      <w:r>
        <w:t xml:space="preserve"> had to supply is 341 lines of Java implementing the Alpha algorithm and declaring one handler.</w:t>
      </w:r>
    </w:p>
    <w:p>
      <w:pPr>
        <w:pStyle w:val="BasicText"/>
      </w:pPr>
      <w:r>
        <w:t xml:space="preserve">The bridge's costs are measurable. Per-call overhead is the same 5 to 50 milliseconds as any bridged module, which for a discovery run measured in seconds is noise. Data transfer is the more interesting figure: the log does not cross the socket at all, since the host writes the requested view to Parquet on the shared filesystem and the worker reads it with its own library. This is why a jar with no knowledge of the platform's internals can process a million-event log without a bespoke serialisation format. Conformance is tested, not asserted: a golden-file test pins the exact bytes of the wire messages, so a protocol change that would break a third-party worker fails in the platform's own test suite.</w:t>
      </w:r>
    </w:p>
    <w:p>
      <w:pPr>
        <w:pStyle w:val="Heading2"/>
      </w:pPr>
      <w:r>
        <w:t xml:space="preserve">Case Study: A Module with External Dependencies</w:t>
      </w:r>
    </w:p>
    <w:p>
      <w:pPr>
        <w:pStyle w:val="BasicText"/>
      </w:pPr>
      <w:r>
        <w:t xml:space="preserve">Two modules extend past the process boundary in different directions and together exposed the limits of the manifest as a declaration format.</w:t>
      </w:r>
    </w:p>
    <w:p>
      <w:pPr>
        <w:pStyle w:val="BasicText"/>
      </w:pPr>
      <w:r>
        <w:rPr>
          <w:b/>
        </w:rPr>
        <w:t xml:space="preserve">Actor Performance needs a server, not a library.</w:t>
      </w:r>
      <w:r>
        <w:t xml:space="preserve"> Its method builds an event knowledge graph and queries it through a graph database (Klijn et al., 2024), which a module cannot bring in its virtual environment. The pattern settled on is an </w:t>
      </w:r>
      <w:r>
        <w:rPr>
          <w:b/>
        </w:rPr>
        <w:t xml:space="preserve">optional compose-profile sidecar</w:t>
      </w:r>
      <w:r>
        <w:t xml:space="preserve">: the container is declared behind a profile that is off by default, the operator enables it with one environment variable and a password, and the module connects to a configured address. Three rules make this safe to share. The module must treat the shared instance as transient scratch space rather than its own store; it must namespace everything it writes by tenant, because one instance serves all users; and it must degrade to an explanatory setup screen rather than an error when the sidecar is absent. That last rule matters more than it looks: because the module declares no import subscription, an installation without the sidecar shows a module explaining what is missing rather than a red failed job on every import.</w:t>
      </w:r>
    </w:p>
    <w:p>
      <w:pPr>
        <w:pStyle w:val="BasicText"/>
      </w:pPr>
      <w:r>
        <w:rPr>
          <w:b/>
        </w:rPr>
        <w:t xml:space="preserve">Concept Drift Explainer needs a model provider and a vector store.</w:t>
      </w:r>
      <w:r>
        <w:t xml:space="preserve"> It is the only module sending the user's data off the host: it takes CV4CDD's drift points, retrieves passages from documents the user uploaded, and asks a hosted language model to rank candidate explanations with citations. Configuration and credentials are the user's, validated against the module's schema. The module declares itself as not confidentiality-safe, and both its description and its card say so, so a user analysing a restricted log knows before running it that doing so transmits content to a third party.</w:t>
      </w:r>
    </w:p>
    <w:p>
      <w:pPr>
        <w:pStyle w:val="BasicText"/>
      </w:pPr>
      <w:r>
        <w:t xml:space="preserve">What this revealed is a genuine limitation. The manifest describes dependencies well when a dependency is a package. It has no vocabulary for "requires a service at an address the operator must provide", and none for "transmits data to a destination the user configures". Both were handled by adding narrow, specific fields, a confidentiality flag and a documented sidecar convention, rather than by generalising, because a general capability-and-permission model was more machinery than two cases justified. §11.4 lists the generalisation as an open seam, and §5.9's honesty applies with particular force: nothing prevents a module from opening a network connection, and the confidentiality flag is a </w:t>
      </w:r>
      <w:r>
        <w:rPr>
          <w:b/>
        </w:rPr>
        <w:t xml:space="preserve">declaration by the author, not an enforcement by the platform</w:t>
      </w:r>
      <w:r>
        <w:t xml:space="preserve">.</w:t>
      </w:r>
    </w:p>
    <w:p>
      <w:pPr>
        <w:pStyle w:val="Heading2"/>
      </w:pPr>
      <w:r>
        <w:t xml:space="preserve">Comparative Integration Effort</w:t>
      </w:r>
    </w:p>
    <w:p>
      <w:pPr>
        <w:pStyle w:val="Caption"/>
      </w:pPr>
      <w:r>
        <w:t xml:space="preserve">Tab. </w:t>
      </w:r>
      <w:fldSimple w:instr=" SEQ Tab. \* ARABIC ">
        <w:r>
          <w:t>1</w:t>
        </w:r>
      </w:fldSimple>
      <w:r>
        <w:t xml:space="preserve">: </w:t>
      </w:r>
      <w:r>
        <w:t xml:space="preserve">Integration effort by module. Platform lines counts lines added to the platform's own source tree to make that module possible.</w:t>
      </w:r>
    </w:p>
    <w:tbl>
      <w:tblPr>
        <w:tblStyle w:val="TableGrid"/>
        <w:tblW w:w="8500" w:type="dxa"/>
        <w:tblLayout w:type="fixed"/>
        <w:tblLook w:val="04A0" w:firstRow="1" w:lastRow="0" w:firstColumn="1" w:lastColumn="0" w:noHBand="0" w:noVBand="1"/>
      </w:tblPr>
      <w:tblGrid>
        <w:gridCol w:w="1500"/>
        <w:gridCol w:w="1114"/>
        <w:gridCol w:w="1015"/>
        <w:gridCol w:w="1795"/>
        <w:gridCol w:w="3076"/>
      </w:tblGrid>
      <w:tr>
        <w:trPr>
          <w:tblHeader/>
        </w:trPr>
        <w:tc>
          <w:tcPr>
            <w:tcW w:w="1500" w:type="dxa"/>
            <w:shd w:val="clear" w:color="auto" w:fill="F2F2F2"/>
          </w:tcPr>
          <w:p>
            <w:pPr>
              <w:pStyle w:val="BasicTextTable"/>
            </w:pPr>
            <w:r>
              <w:rPr>
                <w:b/>
              </w:rPr>
              <w:t xml:space="preserve">Integration</w:t>
            </w:r>
          </w:p>
        </w:tc>
        <w:tc>
          <w:tcPr>
            <w:tcW w:w="1114" w:type="dxa"/>
            <w:shd w:val="clear" w:color="auto" w:fill="F2F2F2"/>
          </w:tcPr>
          <w:p>
            <w:pPr>
              <w:pStyle w:val="BasicTextTable"/>
            </w:pPr>
            <w:r>
              <w:rPr>
                <w:b/>
              </w:rPr>
              <w:t xml:space="preserve">Platform lines</w:t>
            </w:r>
          </w:p>
        </w:tc>
        <w:tc>
          <w:tcPr>
            <w:tcW w:w="1015" w:type="dxa"/>
            <w:shd w:val="clear" w:color="auto" w:fill="F2F2F2"/>
          </w:tcPr>
          <w:p>
            <w:pPr>
              <w:pStyle w:val="BasicTextTable"/>
            </w:pPr>
            <w:r>
              <w:rPr>
                <w:b/>
              </w:rPr>
              <w:t xml:space="preserve">Module lines</w:t>
            </w:r>
          </w:p>
        </w:tc>
        <w:tc>
          <w:tcPr>
            <w:tcW w:w="1795" w:type="dxa"/>
            <w:shd w:val="clear" w:color="auto" w:fill="F2F2F2"/>
          </w:tcPr>
          <w:p>
            <w:pPr>
              <w:pStyle w:val="BasicTextTable"/>
            </w:pPr>
            <w:r>
              <w:rPr>
                <w:b/>
              </w:rPr>
              <w:t xml:space="preserve">Reused unmodified</w:t>
            </w:r>
          </w:p>
        </w:tc>
        <w:tc>
          <w:tcPr>
            <w:tcW w:w="3076" w:type="dxa"/>
            <w:shd w:val="clear" w:color="auto" w:fill="F2F2F2"/>
          </w:tcPr>
          <w:p>
            <w:pPr>
              <w:pStyle w:val="BasicTextTable"/>
            </w:pPr>
            <w:r>
              <w:rPr>
                <w:b/>
              </w:rPr>
              <w:t xml:space="preserve">Platform defects uncovered</w:t>
            </w:r>
          </w:p>
        </w:tc>
      </w:tr>
      <w:tr>
        <w:tc>
          <w:tcPr>
            <w:tcW w:w="1500" w:type="dxa"/>
          </w:tcPr>
          <w:p>
            <w:pPr>
              <w:pStyle w:val="BasicTextTable"/>
            </w:pPr>
            <w:r>
              <w:t xml:space="preserve">cv4cdd</w:t>
            </w:r>
          </w:p>
        </w:tc>
        <w:tc>
          <w:tcPr>
            <w:tcW w:w="1114" w:type="dxa"/>
          </w:tcPr>
          <w:p>
            <w:pPr>
              <w:pStyle w:val="BasicTextTable"/>
            </w:pPr>
            <w:r>
              <w:t xml:space="preserve">0</w:t>
            </w:r>
          </w:p>
        </w:tc>
        <w:tc>
          <w:tcPr>
            <w:tcW w:w="1015" w:type="dxa"/>
          </w:tcPr>
          <w:p>
            <w:pPr>
              <w:pStyle w:val="BasicTextTable"/>
            </w:pPr>
            <w:r>
              <w:t xml:space="preserve">1,329</w:t>
            </w:r>
          </w:p>
        </w:tc>
        <w:tc>
          <w:tcPr>
            <w:tcW w:w="1795" w:type="dxa"/>
          </w:tcPr>
          <w:p>
            <w:pPr>
              <w:pStyle w:val="BasicTextTable"/>
            </w:pPr>
            <w:r>
              <w:t xml:space="preserve">~2,000</w:t>
            </w:r>
          </w:p>
        </w:tc>
        <w:tc>
          <w:tcPr>
            <w:tcW w:w="3076" w:type="dxa"/>
          </w:tcPr>
          <w:p>
            <w:pPr>
              <w:pStyle w:val="BasicTextTable"/>
            </w:pPr>
            <w:r>
              <w:t xml:space="preserve">Cache size limits; the workdir contract; a global-state hazard</w:t>
            </w:r>
          </w:p>
        </w:tc>
      </w:tr>
      <w:tr>
        <w:tc>
          <w:tcPr>
            <w:tcW w:w="1500" w:type="dxa"/>
          </w:tcPr>
          <w:p>
            <w:pPr>
              <w:pStyle w:val="BasicTextTable"/>
            </w:pPr>
            <w:r>
              <w:t xml:space="preserve">agentsimulator</w:t>
            </w:r>
          </w:p>
        </w:tc>
        <w:tc>
          <w:tcPr>
            <w:tcW w:w="1114" w:type="dxa"/>
          </w:tcPr>
          <w:p>
            <w:pPr>
              <w:pStyle w:val="BasicTextTable"/>
            </w:pPr>
            <w:r>
              <w:t xml:space="preserve">0</w:t>
            </w:r>
          </w:p>
        </w:tc>
        <w:tc>
          <w:tcPr>
            <w:tcW w:w="1015" w:type="dxa"/>
          </w:tcPr>
          <w:p>
            <w:pPr>
              <w:pStyle w:val="BasicTextTable"/>
            </w:pPr>
            <w:r>
              <w:t xml:space="preserve">~2,700</w:t>
            </w:r>
          </w:p>
        </w:tc>
        <w:tc>
          <w:tcPr>
            <w:tcW w:w="1795" w:type="dxa"/>
          </w:tcPr>
          <w:p>
            <w:pPr>
              <w:pStyle w:val="BasicTextTable"/>
            </w:pPr>
            <w:r>
              <w:t xml:space="preserve">~4,900</w:t>
            </w:r>
          </w:p>
        </w:tc>
        <w:tc>
          <w:tcPr>
            <w:tcW w:w="3076" w:type="dxa"/>
          </w:tcPr>
          <w:p>
            <w:pPr>
              <w:pStyle w:val="BasicTextTable"/>
            </w:pPr>
            <w:r>
              <w:t xml:space="preserve">The 64 KiB socket limit; DataFrames across the bridge; interpreter selection</w:t>
            </w:r>
          </w:p>
        </w:tc>
      </w:tr>
      <w:tr>
        <w:tc>
          <w:tcPr>
            <w:tcW w:w="1500" w:type="dxa"/>
          </w:tcPr>
          <w:p>
            <w:pPr>
              <w:pStyle w:val="BasicTextTable"/>
            </w:pPr>
            <w:r>
              <w:t xml:space="preserve">alpha_miner_java</w:t>
            </w:r>
          </w:p>
        </w:tc>
        <w:tc>
          <w:tcPr>
            <w:tcW w:w="1114" w:type="dxa"/>
          </w:tcPr>
          <w:p>
            <w:pPr>
              <w:pStyle w:val="BasicTextTable"/>
            </w:pPr>
            <w:r>
              <w:t xml:space="preserve">2,298</w:t>
            </w:r>
          </w:p>
        </w:tc>
        <w:tc>
          <w:tcPr>
            <w:tcW w:w="1015" w:type="dxa"/>
          </w:tcPr>
          <w:p>
            <w:pPr>
              <w:pStyle w:val="BasicTextTable"/>
            </w:pPr>
            <w:r>
              <w:t xml:space="preserve">341 Java</w:t>
            </w:r>
          </w:p>
        </w:tc>
        <w:tc>
          <w:tcPr>
            <w:tcW w:w="1795" w:type="dxa"/>
          </w:tcPr>
          <w:p>
            <w:pPr>
              <w:pStyle w:val="BasicTextTable"/>
            </w:pPr>
            <w:r>
              <w:t xml:space="preserve">0</w:t>
            </w:r>
          </w:p>
        </w:tc>
        <w:tc>
          <w:tcPr>
            <w:tcW w:w="3076" w:type="dxa"/>
          </w:tcPr>
          <w:p>
            <w:pPr>
              <w:pStyle w:val="BasicTextTable"/>
            </w:pPr>
            <w:r>
              <w:t xml:space="preserve">The runtime abstraction did not exist</w:t>
            </w:r>
          </w:p>
        </w:tc>
      </w:tr>
      <w:tr>
        <w:tc>
          <w:tcPr>
            <w:tcW w:w="1500" w:type="dxa"/>
          </w:tcPr>
          <w:p>
            <w:pPr>
              <w:pStyle w:val="BasicTextTable"/>
            </w:pPr>
            <w:r>
              <w:t xml:space="preserve">actor_performance</w:t>
            </w:r>
          </w:p>
        </w:tc>
        <w:tc>
          <w:tcPr>
            <w:tcW w:w="1114" w:type="dxa"/>
          </w:tcPr>
          <w:p>
            <w:pPr>
              <w:pStyle w:val="BasicTextTable"/>
            </w:pPr>
            <w:r>
              <w:t xml:space="preserve">0</w:t>
            </w:r>
          </w:p>
        </w:tc>
        <w:tc>
          <w:tcPr>
            <w:tcW w:w="1015" w:type="dxa"/>
          </w:tcPr>
          <w:p>
            <w:pPr>
              <w:pStyle w:val="BasicTextTable"/>
            </w:pPr>
            <w:r>
              <w:t xml:space="preserve">1,914</w:t>
            </w:r>
          </w:p>
        </w:tc>
        <w:tc>
          <w:tcPr>
            <w:tcW w:w="1795" w:type="dxa"/>
          </w:tcPr>
          <w:p>
            <w:pPr>
              <w:pStyle w:val="BasicTextTable"/>
            </w:pPr>
            <w:r>
              <w:t xml:space="preserve">promg, as a declared dependency</w:t>
            </w:r>
          </w:p>
        </w:tc>
        <w:tc>
          <w:tcPr>
            <w:tcW w:w="3076" w:type="dxa"/>
          </w:tcPr>
          <w:p>
            <w:pPr>
              <w:pStyle w:val="BasicTextTable"/>
            </w:pPr>
            <w:r>
              <w:t xml:space="preserve">Modules needing a service; tenant namespacing in a shared sidecar</w:t>
            </w:r>
          </w:p>
        </w:tc>
      </w:tr>
      <w:tr>
        <w:tc>
          <w:tcPr>
            <w:tcW w:w="1500" w:type="dxa"/>
          </w:tcPr>
          <w:p>
            <w:pPr>
              <w:pStyle w:val="BasicTextTable"/>
            </w:pPr>
            <w:r>
              <w:t xml:space="preserve">concept_drift_explainer</w:t>
            </w:r>
          </w:p>
        </w:tc>
        <w:tc>
          <w:tcPr>
            <w:tcW w:w="1114" w:type="dxa"/>
          </w:tcPr>
          <w:p>
            <w:pPr>
              <w:pStyle w:val="BasicTextTable"/>
            </w:pPr>
            <w:r>
              <w:t xml:space="preserve">0</w:t>
            </w:r>
          </w:p>
        </w:tc>
        <w:tc>
          <w:tcPr>
            <w:tcW w:w="1015" w:type="dxa"/>
          </w:tcPr>
          <w:p>
            <w:pPr>
              <w:pStyle w:val="BasicTextTable"/>
            </w:pPr>
            <w:r>
              <w:t xml:space="preserve">2,885</w:t>
            </w:r>
          </w:p>
        </w:tc>
        <w:tc>
          <w:tcPr>
            <w:tcW w:w="1795" w:type="dxa"/>
          </w:tcPr>
          <w:p>
            <w:pPr>
              <w:pStyle w:val="BasicTextTable"/>
            </w:pPr>
            <w:r>
              <w:t xml:space="preserve">0</w:t>
            </w:r>
          </w:p>
        </w:tc>
        <w:tc>
          <w:tcPr>
            <w:tcW w:w="3076" w:type="dxa"/>
          </w:tcPr>
          <w:p>
            <w:pPr>
              <w:pStyle w:val="BasicTextTable"/>
            </w:pPr>
            <w:r>
              <w:t xml:space="preserve">Hard module dependencies; the egress declaration gap</w:t>
            </w:r>
          </w:p>
        </w:tc>
      </w:tr>
      <w:tr>
        <w:tc>
          <w:tcPr>
            <w:tcW w:w="1500" w:type="dxa"/>
          </w:tcPr>
          <w:p>
            <w:pPr>
              <w:pStyle w:val="BasicTextTable"/>
            </w:pPr>
            <w:r>
              <w:t xml:space="preserve">pcomp</w:t>
            </w:r>
          </w:p>
        </w:tc>
        <w:tc>
          <w:tcPr>
            <w:tcW w:w="1114" w:type="dxa"/>
          </w:tcPr>
          <w:p>
            <w:pPr>
              <w:pStyle w:val="BasicTextTable"/>
            </w:pPr>
            <w:r>
              <w:t xml:space="preserve">0</w:t>
            </w:r>
          </w:p>
        </w:tc>
        <w:tc>
          <w:tcPr>
            <w:tcW w:w="1015" w:type="dxa"/>
          </w:tcPr>
          <w:p>
            <w:pPr>
              <w:pStyle w:val="BasicTextTable"/>
            </w:pPr>
            <w:r>
              <w:t xml:space="preserve">651</w:t>
            </w:r>
          </w:p>
        </w:tc>
        <w:tc>
          <w:tcPr>
            <w:tcW w:w="1795" w:type="dxa"/>
          </w:tcPr>
          <w:p>
            <w:pPr>
              <w:pStyle w:val="BasicTextTable"/>
            </w:pPr>
            <w:r>
              <w:t xml:space="preserve">the authors' package, from Git</w:t>
            </w:r>
          </w:p>
        </w:tc>
        <w:tc>
          <w:tcPr>
            <w:tcW w:w="3076" w:type="dxa"/>
          </w:tcPr>
          <w:p>
            <w:pPr>
              <w:pStyle w:val="BasicTextTable"/>
            </w:pPr>
            <w:r>
              <w:t xml:space="preserve">Git-URL dependencies in the manifest</w:t>
            </w:r>
          </w:p>
        </w:tc>
      </w:tr>
    </w:tbl>
    <w:p>
      <w:pPr>
        <w:pStyle w:val="BasicText"/>
      </w:pPr>
    </w:p>
    <w:p>
      <w:pPr>
        <w:pStyle w:val="BasicText"/>
      </w:pPr>
      <w:r>
        <w:t xml:space="preserve">The </w:t>
      </w:r>
      <w:r>
        <w:rPr>
          <w:rFonts w:ascii="Courier New" w:hAnsi="Courier New"/>
          <w:sz w:val="20"/>
        </w:rPr>
        <w:t xml:space="preserve">alpha_miner_java</w:t>
      </w:r>
      <w:r>
        <w:t xml:space="preserve"> figure is 319 lines of Python runtime abstraction, 1,794 of Java SDK and 185 of conformance fixture. Module lines include the frontend panel where one exists.</w:t>
      </w:r>
    </w:p>
    <w:p>
      <w:pPr>
        <w:pStyle w:val="BasicText"/>
      </w:pPr>
      <w:r>
        <w:rPr>
          <w:b/>
        </w:rPr>
        <w:t xml:space="preserve">The absence is the load-bearing result.</w:t>
      </w:r>
      <w:r>
        <w:t xml:space="preserve"> Five of the six integrations changed </w:t>
      </w:r>
      <w:r>
        <w:rPr>
          <w:b/>
        </w:rPr>
        <w:t xml:space="preserve">zero lines</w:t>
      </w:r>
      <w:r>
        <w:t xml:space="preserve"> of the platform's own source. The sixth changed 2,298, and every one of them built a </w:t>
      </w:r>
      <w:r>
        <w:rPr>
          <w:i/>
        </w:rPr>
        <w:t xml:space="preserve">general</w:t>
      </w:r>
      <w:r>
        <w:t xml:space="preserve"> capability rather than accommodating that module: a second JVM module would change zero lines too. This is the concrete form of objective O1 and the strongest empirical claim this report makes.</w:t>
      </w:r>
    </w:p>
    <w:p>
      <w:pPr>
        <w:pStyle w:val="BasicText"/>
      </w:pPr>
      <w:r>
        <w:rPr>
          <w:b/>
        </w:rPr>
        <w:t xml:space="preserve">Effort declined over the project</w:t>
      </w:r>
      <w:r>
        <w:t xml:space="preserve">, but attributing the decline needs care. The earliest integration cost roughly three working days and uncovered three platform defects; the most recent was written by a project member on a separate branch in substantially less time, at 651 lines and one platform change. Part of the decline is genuinely attributable to contract improvements traceable to specific integrations: the workdir contract came from CV4CDD, the Parquet handoff and raised message limit from AgentSimulator, the </w:t>
      </w:r>
      <w:r>
        <w:rPr>
          <w:rFonts w:ascii="Courier New" w:hAnsi="Courier New"/>
          <w:sz w:val="20"/>
        </w:rPr>
        <w:t xml:space="preserve">open_event_log</w:t>
      </w:r>
      <w:r>
        <w:t xml:space="preserve"> accessor from Process Comparison. Part is that </w:t>
      </w:r>
      <w:r>
        <w:rPr>
          <w:rFonts w:ascii="Courier New" w:hAnsi="Courier New"/>
          <w:sz w:val="20"/>
        </w:rPr>
        <w:t xml:space="preserve">pcomp</w:t>
      </w:r>
      <w:r>
        <w:t xml:space="preserve">'s reference implementation was already a properly packaged distribution while CV4CDD's was a directory of scripts, and part is that the authors had by then written several modules. §10.4 treats this conflation as the central threat to the extensibility claim.</w:t>
      </w:r>
    </w:p>
    <w:p>
      <w:pPr>
        <w:pStyle w:val="Heading2"/>
      </w:pPr>
      <w:r>
        <w:t xml:space="preserve">Lessons Learned and Resulting Changes to the Contract</w:t>
      </w:r>
    </w:p>
    <w:p>
      <w:pPr>
        <w:pStyle w:val="BasicText"/>
      </w:pPr>
      <w:r>
        <w:t xml:space="preserve">Each lesson is paired with the change it caused, because a lesson that changed nothing is an opinion.</w:t>
      </w:r>
    </w:p>
    <w:p>
      <w:pPr>
        <w:pStyle w:val="BasicText"/>
      </w:pPr>
      <w:r>
        <w:rPr>
          <w:b/>
        </w:rPr>
        <w:t xml:space="preserve">Research code assumes a writable working directory, and a server has none.</w:t>
      </w:r>
      <w:r>
        <w:t xml:space="preserve"> </w:t>
      </w:r>
      <w:r>
        <w:rPr>
          <w:i/>
        </w:rPr>
        <w:t xml:space="preserve">Change:</w:t>
      </w:r>
      <w:r>
        <w:t xml:space="preserve"> </w:t>
      </w:r>
      <w:r>
        <w:rPr>
          <w:rFonts w:ascii="Courier New" w:hAnsi="Courier New"/>
          <w:sz w:val="20"/>
        </w:rPr>
        <w:t xml:space="preserve">ctx.workdir</w:t>
      </w:r>
      <w:r>
        <w:t xml:space="preserve"> became part of the contract, a per-invocation scratch directory the loader removes in a </w:t>
      </w:r>
      <w:r>
        <w:rPr>
          <w:rFonts w:ascii="Courier New" w:hAnsi="Courier New"/>
          <w:sz w:val="20"/>
        </w:rPr>
        <w:t xml:space="preserve">finally</w:t>
      </w:r>
      <w:r>
        <w:t xml:space="preserve"> block covering all four invocation sites, with a startup sweep clearing directories a previous crash left behind.</w:t>
      </w:r>
    </w:p>
    <w:p>
      <w:pPr>
        <w:pStyle w:val="BasicText"/>
      </w:pPr>
      <w:r>
        <w:rPr>
          <w:b/>
        </w:rPr>
        <w:t xml:space="preserve">Bulk data cannot cross a socket as JSON.</w:t>
      </w:r>
      <w:r>
        <w:t xml:space="preserve"> AgentSimulator's first bridged run died on a message larger than the stream reader's default line limit, presenting as an unexplained worker crash. </w:t>
      </w:r>
      <w:r>
        <w:rPr>
          <w:i/>
        </w:rPr>
        <w:t xml:space="preserve">Change:</w:t>
      </w:r>
      <w:r>
        <w:t xml:space="preserve"> the limit was raised well past any plausible control message, and DataFrame access across the bridge became a Parquet handoff.</w:t>
      </w:r>
    </w:p>
    <w:p>
      <w:pPr>
        <w:pStyle w:val="BasicText"/>
      </w:pPr>
      <w:r>
        <w:rPr>
          <w:b/>
        </w:rPr>
        <w:t xml:space="preserve">Ordering between precomputing modules is a real requirement, and a priority number is the wrong shape.</w:t>
      </w:r>
      <w:r>
        <w:t xml:space="preserve"> </w:t>
      </w:r>
      <w:r>
        <w:rPr>
          <w:i/>
        </w:rPr>
        <w:t xml:space="preserve">Change:</w:t>
      </w:r>
      <w:r>
        <w:t xml:space="preserve"> the reserved </w:t>
      </w:r>
      <w:r>
        <w:rPr>
          <w:rFonts w:ascii="Courier New" w:hAnsi="Courier New"/>
          <w:sz w:val="20"/>
        </w:rPr>
        <w:t xml:space="preserve">&lt;module_id&gt;.completed</w:t>
      </w:r>
      <w:r>
        <w:t xml:space="preserve"> event, the transitive precompute closure and cascade-skipping (§4.8).</w:t>
      </w:r>
    </w:p>
    <w:p>
      <w:pPr>
        <w:pStyle w:val="BasicText"/>
      </w:pPr>
      <w:r>
        <w:rPr>
          <w:b/>
        </w:rPr>
        <w:t xml:space="preserve">A module sometimes needs a second log, and letting it fetch one itself would breach isolation.</w:t>
      </w:r>
      <w:r>
        <w:t xml:space="preserve"> </w:t>
      </w:r>
      <w:r>
        <w:rPr>
          <w:i/>
        </w:rPr>
        <w:t xml:space="preserve">Change:</w:t>
      </w:r>
      <w:r>
        <w:t xml:space="preserve"> </w:t>
      </w:r>
      <w:r>
        <w:rPr>
          <w:rFonts w:ascii="Courier New" w:hAnsi="Courier New"/>
          <w:sz w:val="20"/>
        </w:rPr>
        <w:t xml:space="preserve">ctx.open_event_log(log_id, filters)</w:t>
      </w:r>
      <w:r>
        <w:t xml:space="preserve">, the single sanctioned cross-log accessor, enforcing the ownership check itself and reporting another user's log as not found rather than as forbidden.</w:t>
      </w:r>
    </w:p>
    <w:p>
      <w:pPr>
        <w:pStyle w:val="BasicText"/>
      </w:pPr>
      <w:r>
        <w:rPr>
          <w:b/>
        </w:rPr>
        <w:t xml:space="preserve">"Same analysis, sliced by time" recurred four times.</w:t>
      </w:r>
      <w:r>
        <w:t xml:space="preserve"> </w:t>
      </w:r>
      <w:r>
        <w:rPr>
          <w:i/>
        </w:rPr>
        <w:t xml:space="preserve">Change:</w:t>
      </w:r>
      <w:r>
        <w:t xml:space="preserve"> none, deliberately. A shared time-slicing helper was considered and rejected because the four aggregate differently and a helper general enough for all would have been harder to use than the duplication. Recorded as a lesson recognised and </w:t>
      </w:r>
      <w:r>
        <w:rPr>
          <w:b/>
        </w:rPr>
        <w:t xml:space="preserve">not</w:t>
      </w:r>
      <w:r>
        <w:t xml:space="preserve"> acted upon; §11.3 restates it as such.</w:t>
      </w:r>
    </w:p>
    <w:p>
      <w:pPr>
        <w:pStyle w:val="BasicText"/>
      </w:pPr>
      <w:r>
        <w:rPr>
          <w:b/>
        </w:rPr>
        <w:t xml:space="preserve">User testing found the platform's weakest seam, and it is not in the module contract.</w:t>
      </w:r>
      <w:r>
        <w:t xml:space="preserve"> In a session with an external user, the clearest request was for the modules to be </w:t>
      </w:r>
      <w:r>
        <w:rPr>
          <w:b/>
        </w:rPr>
        <w:t xml:space="preserve">connected</w:t>
      </w:r>
      <w:r>
        <w:t xml:space="preserve">: clicking an activity in one module's output should lead to what every other module knows about that activity, and likewise for a variant. Today each panel is an island, with cross-linking limited to drill-down parameters a widget may choose to emit. </w:t>
      </w:r>
      <w:r>
        <w:rPr>
          <w:i/>
        </w:rPr>
        <w:t xml:space="preserve">Change:</w:t>
      </w:r>
      <w:r>
        <w:t xml:space="preserve"> partial. The drill-down parameter convention and the shared canvas contract were introduced so clickable marks emit a standard set of parameters and a receiving panel can act on them, which is the mechanism a global view would be built on. The global view itself was not built; §11.6 proposes it as the first item of future work, because the abstraction it needs, an activity or variant as an addressable entity across modules, does not exist and is a genuine design question.</w:t>
      </w:r>
    </w:p>
    <w:p>
      <w:pPr>
        <w:pStyle w:val="Heading1"/>
      </w:pPr>
      <w:r>
        <w:t xml:space="preserve">Platform Setup and Operation</w:t>
      </w:r>
    </w:p>
    <w:p>
      <w:pPr>
        <w:pStyle w:val="Heading2"/>
      </w:pPr>
      <w:r>
        <w:t xml:space="preserve">Prerequisites and Repository Layout</w:t>
      </w:r>
    </w:p>
    <w:p>
      <w:pPr>
        <w:pStyle w:val="BasicText"/>
      </w:pPr>
      <w:r>
        <w:t xml:space="preserve">Three things must be true of the host. A </w:t>
      </w:r>
      <w:r>
        <w:rPr>
          <w:b/>
        </w:rPr>
        <w:t xml:space="preserve">container runtime</w:t>
      </w:r>
      <w:r>
        <w:t xml:space="preserve">: Docker Desktop, or Docker Engine with Compose v2, recent enough for the compose merge tags the production overlay uses. Three </w:t>
      </w:r>
      <w:r>
        <w:rPr>
          <w:b/>
        </w:rPr>
        <w:t xml:space="preserve">free ports</w:t>
      </w:r>
      <w:r>
        <w:t xml:space="preserve">, 3000, 8000 and 8080, though the production overlay withdraws all three in favour of 443. And roughly </w:t>
      </w:r>
      <w:r>
        <w:rPr>
          <w:b/>
        </w:rPr>
        <w:t xml:space="preserve">three gigabytes of free disk</w:t>
      </w:r>
      <w:r>
        <w:t xml:space="preserve">, dominated by each module's own dependency tree, of which the drift-detection module's TensorFlow stack alone is about half a gigabyte. What is </w:t>
      </w:r>
      <w:r>
        <w:rPr>
          <w:b/>
        </w:rPr>
        <w:t xml:space="preserve">not</w:t>
      </w:r>
      <w:r>
        <w:t xml:space="preserve"> required is a language toolchain: the images bring their own, and a Java runtime is baked into the API image. Only the host-native mode of §7.3 needs </w:t>
      </w:r>
      <w:r>
        <w:rPr>
          <w:rFonts w:ascii="Courier New" w:hAnsi="Courier New"/>
          <w:sz w:val="20"/>
        </w:rPr>
        <w:t xml:space="preserve">uv</w:t>
      </w:r>
      <w:r>
        <w:t xml:space="preserve"> and </w:t>
      </w:r>
      <w:r>
        <w:rPr>
          <w:rFonts w:ascii="Courier New" w:hAnsi="Courier New"/>
          <w:sz w:val="20"/>
        </w:rPr>
        <w:t xml:space="preserve">pnpm</w:t>
      </w:r>
      <w:r>
        <w:t xml:space="preserve"> locally.</w:t>
      </w:r>
    </w:p>
    <w:p>
      <w:pPr>
        <w:pStyle w:val="BasicTextSQL"/>
      </w:pPr>
      <w:r>
        <w:t xml:space="preserve">mate/</w:t>
      </w:r>
    </w:p>
    <w:p>
      <w:pPr>
        <w:pStyle w:val="BasicTextSQL"/>
      </w:pPr>
      <w:r>
        <w:t xml:space="preserve">  apps/api/               FastAPI backend (Python 3.12, src/mate/api/)</w:t>
      </w:r>
    </w:p>
    <w:p>
      <w:pPr>
        <w:pStyle w:val="BasicTextSQL"/>
      </w:pPr>
      <w:r>
        <w:t xml:space="preserve">  apps/web/               Next.js 15 frontend (App Router, React 19)</w:t>
      </w:r>
    </w:p>
    <w:p>
      <w:pPr>
        <w:pStyle w:val="BasicTextSQL"/>
      </w:pPr>
      <w:r>
        <w:t xml:space="preserve">  packages/module-sdk-py/ Python SDK that module authors subclass</w:t>
      </w:r>
    </w:p>
    <w:p>
      <w:pPr>
        <w:pStyle w:val="BasicTextSQL"/>
      </w:pPr>
      <w:r>
        <w:t xml:space="preserve">  packages/module-sdk-ts/ TypeScript SDK for module frontends</w:t>
      </w:r>
    </w:p>
    <w:p>
      <w:pPr>
        <w:pStyle w:val="BasicTextSQL"/>
      </w:pPr>
      <w:r>
        <w:t xml:space="preserve">  packages/module-sdk-jvm/ Java SDK for JVM modules</w:t>
      </w:r>
    </w:p>
    <w:p>
      <w:pPr>
        <w:pStyle w:val="BasicTextSQL"/>
      </w:pPr>
      <w:r>
        <w:t xml:space="preserve">  packages/shared-types/  TypeScript types generated from OpenAPI</w:t>
      </w:r>
    </w:p>
    <w:p>
      <w:pPr>
        <w:pStyle w:val="BasicTextSQL"/>
      </w:pPr>
      <w:r>
        <w:t xml:space="preserve">  modules/                Bundled module packages, discovered at startup</w:t>
      </w:r>
    </w:p>
    <w:p>
      <w:pPr>
        <w:pStyle w:val="BasicTextSQL"/>
      </w:pPr>
      <w:r>
        <w:t xml:space="preserve">  infra/                  Keycloak realm, Caddy config, bootstrap scripts</w:t>
      </w:r>
    </w:p>
    <w:p>
      <w:pPr>
        <w:pStyle w:val="BasicTextSQL"/>
      </w:pPr>
      <w:r>
        <w:t xml:space="preserve">  data/                   Bind-mounted: SQLite, Parquet, uploads, cached runtimes</w:t>
      </w:r>
    </w:p>
    <w:p>
      <w:pPr>
        <w:pStyle w:val="BasicTextSQL"/>
      </w:pPr>
      <w:r>
        <w:t xml:space="preserve">  docs/                   Design spec, deploy runbook, MCP reference</w:t>
      </w:r>
    </w:p>
    <w:p>
      <w:pPr>
        <w:pStyle w:val="BasicTextSQL"/>
      </w:pPr>
      <w:r>
        <w:t xml:space="preserve">  docker-compose.yml      Base stack</w:t>
      </w:r>
    </w:p>
    <w:p>
      <w:pPr>
        <w:pStyle w:val="BasicTextSQL"/>
      </w:pPr>
      <w:r>
        <w:t xml:space="preserve">  compose.dev.yml         Dev overlay: hot reload</w:t>
      </w:r>
    </w:p>
    <w:p>
      <w:pPr>
        <w:pStyle w:val="BasicTextSQL"/>
      </w:pPr>
      <w:r>
        <w:t xml:space="preserve">  docker-compose.prod.yml Prod overlay: Caddy and TLS</w:t>
      </w:r>
    </w:p>
    <w:p>
      <w:pPr>
        <w:pStyle w:val="BasicTextSQL"/>
      </w:pPr>
      <w:r>
        <w:t xml:space="preserve">  Makefile                The single source of truth for every command</w:t>
      </w:r>
    </w:p>
    <w:p>
      <w:pPr>
        <w:pStyle w:val="Heading2"/>
      </w:pPr>
      <w:r>
        <w:t xml:space="preserve">Local Setup</w:t>
      </w:r>
    </w:p>
    <w:p>
      <w:pPr>
        <w:pStyle w:val="BasicTextSQL"/>
      </w:pPr>
      <w:r>
        <w:t xml:space="preserve">git clone &lt;repo-url&gt; mate &amp;&amp; cd mate</w:t>
      </w:r>
    </w:p>
    <w:p>
      <w:pPr>
        <w:pStyle w:val="BasicTextSQL"/>
      </w:pPr>
      <w:r>
        <w:t xml:space="preserve">cp .env.example .env          # then rotate the two secrets below</w:t>
      </w:r>
    </w:p>
    <w:p>
      <w:pPr>
        <w:pStyle w:val="BasicTextSQL"/>
      </w:pPr>
      <w:r>
        <w:t xml:space="preserve">make up                       # docker compose up -d --build</w:t>
      </w:r>
    </w:p>
    <w:p>
      <w:pPr>
        <w:pStyle w:val="BasicText"/>
      </w:pPr>
      <w:r>
        <w:t xml:space="preserve">Exactly two values must change before the stack is exposed beyond the local machine: </w:t>
      </w:r>
      <w:r>
        <w:rPr>
          <w:rFonts w:ascii="Courier New" w:hAnsi="Courier New"/>
          <w:sz w:val="20"/>
        </w:rPr>
        <w:t xml:space="preserve">AUTH_SECRET</w:t>
      </w:r>
      <w:r>
        <w:t xml:space="preserve">, which encrypts the session cookie, and </w:t>
      </w:r>
      <w:r>
        <w:rPr>
          <w:rFonts w:ascii="Courier New" w:hAnsi="Courier New"/>
          <w:sz w:val="20"/>
        </w:rPr>
        <w:t xml:space="preserve">KEYCLOAK_CLIENT_SECRET</w:t>
      </w:r>
      <w:r>
        <w:t xml:space="preserve">, the confidential client secret for the web client. The sample value of the latter also appears in the committed realm export, which makes rotating it a security step rather than a formality; §7.4 explains that both places must change together or login fails.</w:t>
      </w:r>
    </w:p>
    <w:p>
      <w:pPr>
        <w:pStyle w:val="BasicText"/>
      </w:pPr>
      <w:r>
        <w:t xml:space="preserve">Then open </w:t>
      </w:r>
      <w:r>
        <w:rPr>
          <w:rFonts w:ascii="Courier New" w:hAnsi="Courier New"/>
          <w:sz w:val="20"/>
        </w:rPr>
        <w:t xml:space="preserve">http://localhost:3000</w:t>
      </w:r>
      <w:r>
        <w:t xml:space="preserve"> and sign in as </w:t>
      </w:r>
      <w:r>
        <w:rPr>
          <w:rFonts w:ascii="Courier New" w:hAnsi="Courier New"/>
          <w:sz w:val="20"/>
        </w:rPr>
        <w:t xml:space="preserve">admin@flows-funds.local</w:t>
      </w:r>
      <w:r>
        <w:t xml:space="preserve"> with password </w:t>
      </w:r>
      <w:r>
        <w:rPr>
          <w:rFonts w:ascii="Courier New" w:hAnsi="Courier New"/>
          <w:sz w:val="20"/>
        </w:rPr>
        <w:t xml:space="preserve">flowsfunds</w:t>
      </w:r>
      <w:r>
        <w:t xml:space="preserve">; Keycloak forces a reset. The first run lands on the processes page ready for a XES, XES.gz or CSV file.</w:t>
      </w:r>
    </w:p>
    <w:p>
      <w:pPr>
        <w:pStyle w:val="BasicText"/>
      </w:pPr>
      <w:r>
        <w:rPr>
          <w:b/>
        </w:rPr>
        <w:t xml:space="preserve">First boot takes several minutes, and users who are not warned will conclude the system has hung.</w:t>
      </w:r>
      <w:r>
        <w:t xml:space="preserve"> Each module resolves its own dependencies on first start (§5.3), and one pulls TensorFlow, so the API container carries a ten-minute health-check grace period. Later boots reuse the cached wheels and dependency hashes and start in seconds. This is an intended consequence of per-module isolation, not a defect.</w:t>
      </w:r>
    </w:p>
    <w:p>
      <w:pPr>
        <w:pStyle w:val="BasicText"/>
      </w:pPr>
      <w:r>
        <w:t xml:space="preserve">Additional accounts are created in the Keycloak console at </w:t>
      </w:r>
      <w:r>
        <w:rPr>
          <w:rFonts w:ascii="Courier New" w:hAnsi="Courier New"/>
          <w:sz w:val="20"/>
        </w:rPr>
        <w:t xml:space="preserve">http://localhost:8080/admin</w:t>
      </w:r>
      <w:r>
        <w:t xml:space="preserve">. The same console assigns the </w:t>
      </w:r>
      <w:r>
        <w:rPr>
          <w:rFonts w:ascii="Courier New" w:hAnsi="Courier New"/>
          <w:sz w:val="20"/>
        </w:rPr>
        <w:t xml:space="preserve">admin</w:t>
      </w:r>
      <w:r>
        <w:t xml:space="preserve"> realm role that unlocks the administrative area; the seeded account does </w:t>
      </w:r>
      <w:r>
        <w:rPr>
          <w:b/>
        </w:rPr>
        <w:t xml:space="preserve">not</w:t>
      </w:r>
      <w:r>
        <w:t xml:space="preserve"> carry it.</w:t>
      </w:r>
    </w:p>
    <w:p>
      <w:pPr>
        <w:pStyle w:val="Heading2"/>
      </w:pPr>
      <w:r>
        <w:t xml:space="preserve">Running Modes and Their Selection</w:t>
      </w:r>
    </w:p>
    <w:p>
      <w:pPr>
        <w:pStyle w:val="BasicText"/>
      </w:pPr>
      <w:r>
        <w:t xml:space="preserve">These are </w:t>
      </w:r>
      <w:r>
        <w:rPr>
          <w:b/>
        </w:rPr>
        <w:t xml:space="preserve">four layered configurations of one composition, not four tools</w:t>
      </w:r>
      <w:r>
        <w:t xml:space="preserve">. </w:t>
      </w:r>
      <w:r>
        <w:rPr>
          <w:rFonts w:ascii="Courier New" w:hAnsi="Courier New"/>
          <w:sz w:val="20"/>
        </w:rPr>
        <w:t xml:space="preserve">make up</w:t>
      </w:r>
      <w:r>
        <w:t xml:space="preserve"> is </w:t>
      </w:r>
      <w:r>
        <w:rPr>
          <w:rFonts w:ascii="Courier New" w:hAnsi="Courier New"/>
          <w:sz w:val="20"/>
        </w:rPr>
        <w:t xml:space="preserve">docker compose up -d --build</w:t>
      </w:r>
      <w:r>
        <w:t xml:space="preserve"> against the base file; every other mode adds an overlay.</w:t>
      </w:r>
    </w:p>
    <w:p>
      <w:pPr>
        <w:pStyle w:val="Caption"/>
      </w:pPr>
      <w:r>
        <w:t xml:space="preserve">Tab. </w:t>
      </w:r>
      <w:fldSimple w:instr=" SEQ Tab. \* ARABIC ">
        <w:r>
          <w:t>1</w:t>
        </w:r>
      </w:fldSimple>
      <w:r>
        <w:t xml:space="preserve">: </w:t>
      </w:r>
      <w:r>
        <w:t xml:space="preserve">The four running modes and when to choose each.</w:t>
      </w:r>
    </w:p>
    <w:tbl>
      <w:tblPr>
        <w:tblStyle w:val="TableGrid"/>
        <w:tblW w:w="8500" w:type="dxa"/>
        <w:tblLayout w:type="fixed"/>
        <w:tblLook w:val="04A0" w:firstRow="1" w:lastRow="0" w:firstColumn="1" w:lastColumn="0" w:noHBand="0" w:noVBand="1"/>
      </w:tblPr>
      <w:tblGrid>
        <w:gridCol w:w="1084"/>
        <w:gridCol w:w="2272"/>
        <w:gridCol w:w="2149"/>
        <w:gridCol w:w="2995"/>
      </w:tblGrid>
      <w:tr>
        <w:trPr>
          <w:tblHeader/>
        </w:trPr>
        <w:tc>
          <w:tcPr>
            <w:tcW w:w="1084" w:type="dxa"/>
            <w:shd w:val="clear" w:color="auto" w:fill="F2F2F2"/>
          </w:tcPr>
          <w:p>
            <w:pPr>
              <w:pStyle w:val="BasicTextTable"/>
            </w:pPr>
            <w:r>
              <w:rPr>
                <w:b/>
              </w:rPr>
              <w:t xml:space="preserve">Mode</w:t>
            </w:r>
          </w:p>
        </w:tc>
        <w:tc>
          <w:tcPr>
            <w:tcW w:w="2272" w:type="dxa"/>
            <w:shd w:val="clear" w:color="auto" w:fill="F2F2F2"/>
          </w:tcPr>
          <w:p>
            <w:pPr>
              <w:pStyle w:val="BasicTextTable"/>
            </w:pPr>
            <w:r>
              <w:rPr>
                <w:b/>
              </w:rPr>
              <w:t xml:space="preserve">Command</w:t>
            </w:r>
          </w:p>
        </w:tc>
        <w:tc>
          <w:tcPr>
            <w:tcW w:w="2149" w:type="dxa"/>
            <w:shd w:val="clear" w:color="auto" w:fill="F2F2F2"/>
          </w:tcPr>
          <w:p>
            <w:pPr>
              <w:pStyle w:val="BasicTextTable"/>
            </w:pPr>
            <w:r>
              <w:rPr>
                <w:b/>
              </w:rPr>
              <w:t xml:space="preserve">What it gives</w:t>
            </w:r>
          </w:p>
        </w:tc>
        <w:tc>
          <w:tcPr>
            <w:tcW w:w="2995" w:type="dxa"/>
            <w:shd w:val="clear" w:color="auto" w:fill="F2F2F2"/>
          </w:tcPr>
          <w:p>
            <w:pPr>
              <w:pStyle w:val="BasicTextTable"/>
            </w:pPr>
            <w:r>
              <w:rPr>
                <w:b/>
              </w:rPr>
              <w:t xml:space="preserve">Choose it when</w:t>
            </w:r>
          </w:p>
        </w:tc>
      </w:tr>
      <w:tr>
        <w:tc>
          <w:tcPr>
            <w:tcW w:w="1084" w:type="dxa"/>
          </w:tcPr>
          <w:p>
            <w:pPr>
              <w:pStyle w:val="BasicTextTable"/>
            </w:pPr>
            <w:r>
              <w:t xml:space="preserve">Host-native development</w:t>
            </w:r>
          </w:p>
        </w:tc>
        <w:tc>
          <w:tcPr>
            <w:tcW w:w="2272" w:type="dxa"/>
          </w:tcPr>
          <w:p>
            <w:pPr>
              <w:pStyle w:val="BasicTextTable"/>
            </w:pPr>
            <w:r>
              <w:rPr>
                <w:rFonts w:ascii="Courier New" w:hAnsi="Courier New"/>
                <w:sz w:val="20"/>
              </w:rPr>
              <w:t xml:space="preserve">make dev</w:t>
            </w:r>
          </w:p>
        </w:tc>
        <w:tc>
          <w:tcPr>
            <w:tcW w:w="2149" w:type="dxa"/>
          </w:tcPr>
          <w:p>
            <w:pPr>
              <w:pStyle w:val="BasicTextTable"/>
            </w:pPr>
            <w:r>
              <w:t xml:space="preserve">Both dev servers on the host, hot reload, no Docker</w:t>
            </w:r>
          </w:p>
        </w:tc>
        <w:tc>
          <w:tcPr>
            <w:tcW w:w="2995" w:type="dxa"/>
          </w:tcPr>
          <w:p>
            <w:pPr>
              <w:pStyle w:val="BasicTextTable"/>
            </w:pPr>
            <w:r>
              <w:t xml:space="preserve">You are a </w:t>
            </w:r>
            <w:r>
              <w:rPr>
                <w:b/>
              </w:rPr>
              <w:t xml:space="preserve">module author</w:t>
            </w:r>
            <w:r>
              <w:t xml:space="preserve"> or frontend contributor and want the shortest edit-to-reload loop. Needs </w:t>
            </w:r>
            <w:r>
              <w:rPr>
                <w:rFonts w:ascii="Courier New" w:hAnsi="Courier New"/>
                <w:sz w:val="20"/>
              </w:rPr>
              <w:t xml:space="preserve">uv</w:t>
            </w:r>
            <w:r>
              <w:t xml:space="preserve"> and </w:t>
            </w:r>
            <w:r>
              <w:rPr>
                <w:rFonts w:ascii="Courier New" w:hAnsi="Courier New"/>
                <w:sz w:val="20"/>
              </w:rPr>
              <w:t xml:space="preserve">pnpm</w:t>
            </w:r>
            <w:r>
              <w:t xml:space="preserve"> locally.</w:t>
            </w:r>
          </w:p>
        </w:tc>
      </w:tr>
      <w:tr>
        <w:tc>
          <w:tcPr>
            <w:tcW w:w="1084" w:type="dxa"/>
          </w:tcPr>
          <w:p>
            <w:pPr>
              <w:pStyle w:val="BasicTextTable"/>
            </w:pPr>
            <w:r>
              <w:t xml:space="preserve">Base composition</w:t>
            </w:r>
          </w:p>
        </w:tc>
        <w:tc>
          <w:tcPr>
            <w:tcW w:w="2272" w:type="dxa"/>
          </w:tcPr>
          <w:p>
            <w:pPr>
              <w:pStyle w:val="BasicTextTable"/>
            </w:pPr>
            <w:r>
              <w:rPr>
                <w:rFonts w:ascii="Courier New" w:hAnsi="Courier New"/>
                <w:sz w:val="20"/>
              </w:rPr>
              <w:t xml:space="preserve">make up</w:t>
            </w:r>
          </w:p>
        </w:tc>
        <w:tc>
          <w:tcPr>
            <w:tcW w:w="2149" w:type="dxa"/>
          </w:tcPr>
          <w:p>
            <w:pPr>
              <w:pStyle w:val="BasicTextTable"/>
            </w:pPr>
            <w:r>
              <w:t xml:space="preserve">Production-style built images, detached, no reload, ports published</w:t>
            </w:r>
          </w:p>
        </w:tc>
        <w:tc>
          <w:tcPr>
            <w:tcW w:w="2995" w:type="dxa"/>
          </w:tcPr>
          <w:p>
            <w:pPr>
              <w:pStyle w:val="BasicTextTable"/>
            </w:pPr>
            <w:r>
              <w:t xml:space="preserve">You want to </w:t>
            </w:r>
            <w:r>
              <w:rPr>
                <w:b/>
              </w:rPr>
              <w:t xml:space="preserve">run</w:t>
            </w:r>
            <w:r>
              <w:t xml:space="preserve"> the platform, or preview the production build locally. The quick-start default.</w:t>
            </w:r>
          </w:p>
        </w:tc>
      </w:tr>
      <w:tr>
        <w:tc>
          <w:tcPr>
            <w:tcW w:w="1084" w:type="dxa"/>
          </w:tcPr>
          <w:p>
            <w:pPr>
              <w:pStyle w:val="BasicTextTable"/>
            </w:pPr>
            <w:r>
              <w:t xml:space="preserve">Development overlay</w:t>
            </w:r>
          </w:p>
        </w:tc>
        <w:tc>
          <w:tcPr>
            <w:tcW w:w="2272" w:type="dxa"/>
          </w:tcPr>
          <w:p>
            <w:pPr>
              <w:pStyle w:val="BasicTextTable"/>
            </w:pPr>
            <w:r>
              <w:rPr>
                <w:rFonts w:ascii="Courier New" w:hAnsi="Courier New"/>
                <w:sz w:val="20"/>
              </w:rPr>
              <w:t xml:space="preserve">make up-dev</w:t>
            </w:r>
          </w:p>
        </w:tc>
        <w:tc>
          <w:tcPr>
            <w:tcW w:w="2149" w:type="dxa"/>
          </w:tcPr>
          <w:p>
            <w:pPr>
              <w:pStyle w:val="BasicTextTable"/>
            </w:pPr>
            <w:r>
              <w:rPr>
                <w:rFonts w:ascii="Courier New" w:hAnsi="Courier New"/>
                <w:sz w:val="20"/>
              </w:rPr>
              <w:t xml:space="preserve">uvicorn --reload</w:t>
            </w:r>
            <w:r>
              <w:t xml:space="preserve"> and </w:t>
            </w:r>
            <w:r>
              <w:rPr>
                <w:rFonts w:ascii="Courier New" w:hAnsi="Courier New"/>
                <w:sz w:val="20"/>
              </w:rPr>
              <w:t xml:space="preserve">next dev</w:t>
            </w:r>
            <w:r>
              <w:t xml:space="preserve"> in the containers, source mounted</w:t>
            </w:r>
          </w:p>
        </w:tc>
        <w:tc>
          <w:tcPr>
            <w:tcW w:w="2995" w:type="dxa"/>
          </w:tcPr>
          <w:p>
            <w:pPr>
              <w:pStyle w:val="BasicTextTable"/>
            </w:pPr>
            <w:r>
              <w:t xml:space="preserve">You are a </w:t>
            </w:r>
            <w:r>
              <w:rPr>
                <w:b/>
              </w:rPr>
              <w:t xml:space="preserve">platform contributor</w:t>
            </w:r>
            <w:r>
              <w:t xml:space="preserve"> needing the containerised environment with reload.</w:t>
            </w:r>
          </w:p>
        </w:tc>
      </w:tr>
      <w:tr>
        <w:tc>
          <w:tcPr>
            <w:tcW w:w="1084" w:type="dxa"/>
          </w:tcPr>
          <w:p>
            <w:pPr>
              <w:pStyle w:val="BasicTextTable"/>
            </w:pPr>
            <w:r>
              <w:t xml:space="preserve">Production overlay</w:t>
            </w:r>
          </w:p>
        </w:tc>
        <w:tc>
          <w:tcPr>
            <w:tcW w:w="2272" w:type="dxa"/>
          </w:tcPr>
          <w:p>
            <w:pPr>
              <w:pStyle w:val="BasicTextTable"/>
            </w:pPr>
            <w:r>
              <w:rPr>
                <w:rFonts w:ascii="Courier New" w:hAnsi="Courier New"/>
                <w:sz w:val="20"/>
              </w:rPr>
              <w:t xml:space="preserve">docker compose -f docker-compose.yml -f docker-compose.prod.yml up -d --build</w:t>
            </w:r>
          </w:p>
        </w:tc>
        <w:tc>
          <w:tcPr>
            <w:tcW w:w="2149" w:type="dxa"/>
          </w:tcPr>
          <w:p>
            <w:pPr>
              <w:pStyle w:val="BasicTextTable"/>
            </w:pPr>
            <w:r>
              <w:t xml:space="preserve">Adds Caddy and TLS, collapses onto one origin, withdraws published ports</w:t>
            </w:r>
          </w:p>
        </w:tc>
        <w:tc>
          <w:tcPr>
            <w:tcW w:w="2995" w:type="dxa"/>
          </w:tcPr>
          <w:p>
            <w:pPr>
              <w:pStyle w:val="BasicTextTable"/>
            </w:pPr>
            <w:r>
              <w:t xml:space="preserve">You are </w:t>
            </w:r>
            <w:r>
              <w:rPr>
                <w:b/>
              </w:rPr>
              <w:t xml:space="preserve">deploying</w:t>
            </w:r>
            <w:r>
              <w:t xml:space="preserve">. There is deliberately no </w:t>
            </w:r>
            <w:r>
              <w:rPr>
                <w:rFonts w:ascii="Courier New" w:hAnsi="Courier New"/>
                <w:sz w:val="20"/>
              </w:rPr>
              <w:t xml:space="preserve">make</w:t>
            </w:r>
            <w:r>
              <w:t xml:space="preserve"> target, so the command is conscious.</w:t>
            </w:r>
          </w:p>
        </w:tc>
      </w:tr>
    </w:tbl>
    <w:p>
      <w:pPr>
        <w:pStyle w:val="BasicText"/>
      </w:pPr>
    </w:p>
    <w:p>
      <w:pPr>
        <w:pStyle w:val="Heading2"/>
      </w:pPr>
      <w:r>
        <w:t xml:space="preserve">Deployment on a University Virtual Machine</w:t>
      </w:r>
    </w:p>
    <w:p>
      <w:pPr>
        <w:pStyle w:val="BasicText"/>
      </w:pPr>
      <w:r>
        <w:rPr>
          <w:b/>
        </w:rPr>
        <w:t xml:space="preserve">Provisioning assumptions.</w:t>
      </w:r>
      <w:r>
        <w:t xml:space="preserve"> A Linux VM reachable over SSH, with Docker Engine and Compose v2, membership of the faculty development VPN for administrative access, and TLS certificate files under the standard Let's Encrypt path readable by the Docker daemon; renewal happens outside the platform and the proxy re-reads on restart. </w:t>
      </w:r>
      <w:r>
        <w:rPr>
          <w:b/>
        </w:rPr>
        <w:t xml:space="preserve">The proxy chain shapes the deployment.</w:t>
      </w:r>
      <w:r>
        <w:t xml:space="preserve"> The university's edge proxy knows one thing: this hostname forwards to that port on the VM. It cannot split traffic across three services. So the VM runs a Caddy container binding 443, terminating TLS with the VM's own certificate and routing by path: </w:t>
      </w:r>
      <w:r>
        <w:rPr>
          <w:rFonts w:ascii="Courier New" w:hAnsi="Courier New"/>
          <w:sz w:val="20"/>
        </w:rPr>
        <w:t xml:space="preserve">/api/v1/*</w:t>
      </w:r>
      <w:r>
        <w:t xml:space="preserve"> and </w:t>
      </w:r>
      <w:r>
        <w:rPr>
          <w:rFonts w:ascii="Courier New" w:hAnsi="Courier New"/>
          <w:sz w:val="20"/>
        </w:rPr>
        <w:t xml:space="preserve">/health</w:t>
      </w:r>
      <w:r>
        <w:t xml:space="preserve"> to the API, </w:t>
      </w:r>
      <w:r>
        <w:rPr>
          <w:rFonts w:ascii="Courier New" w:hAnsi="Courier New"/>
          <w:sz w:val="20"/>
        </w:rPr>
        <w:t xml:space="preserve">/auth/*</w:t>
      </w:r>
      <w:r>
        <w:t xml:space="preserve"> to Keycloak, everything else to the web application. The public certificate lives on the university proxy; the VM certificate secures only the proxy-to-VM hop, which is why Caddy binds by port and tolerates the hostname mismatch.</w:t>
      </w:r>
    </w:p>
    <w:tbl>
      <w:tblPr>
        <w:tblStyle w:val="TableGrid"/>
        <w:tblW w:w="8500" w:type="dxa"/>
        <w:tblLayout w:type="fixed"/>
        <w:tblLook w:val="04A0"/>
      </w:tblPr>
      <w:tblGrid>
        <w:gridCol w:w="8500"/>
      </w:tblGrid>
      <w:tr>
        <w:tc>
          <w:tcPr>
            <w:tcW w:w="8500" w:type="dxa"/>
            <w:shd w:val="clear" w:color="auto" w:fill="F7F7F7"/>
          </w:tcPr>
          <w:p>
            <w:pPr>
              <w:pStyle w:val="BasicTextTable"/>
            </w:pPr>
            <w:r>
              <w:rPr>
                <w:b/>
              </w:rPr>
              <w:t xml:space="preserve">[ARTWORK TO BE INSERTED] </w:t>
            </w:r>
            <w:r>
              <w:t xml:space="preserve">DIAGRAM. Three stacked layers with downward arrows. Top: "Internet, https://pm-mate.uni-muenster.de (public cert on the uni proxy)". Middle: "uni edge proxy, forwards :80 and :443 to the VM's :443". Bottom: a box "VM :443, proxy container (Caddy), terminates TLS with the pm-mate-vm certificate" containing three routing rows: "/api/v1/</w:t>
            </w:r>
            <w:r>
              <w:rPr>
                <w:i/>
              </w:rPr>
              <w:t xml:space="preserve"> and /health to api:8000", "/auth/</w:t>
            </w:r>
            <w:r>
              <w:t xml:space="preserve"> to keycloak:8080", "everything else to web:3000". Annotate: "single same-origin: no CORS, no hosts entries" and "WS upgrades are dropped here, see section 4.10".</w:t>
            </w:r>
          </w:p>
        </w:tc>
      </w:tr>
    </w:tbl>
    <w:p>
      <w:pPr>
        <w:pStyle w:val="Caption"/>
      </w:pPr>
      <w:r>
        <w:t xml:space="preserve">Fig. </w:t>
      </w:r>
      <w:fldSimple w:instr=" SEQ Fig. \* ARABIC ">
        <w:r>
          <w:t>1</w:t>
        </w:r>
      </w:fldSimple>
      <w:r>
        <w:t xml:space="preserve">: </w:t>
      </w:r>
      <w:r>
        <w:t xml:space="preserve">The two-proxy chain in production, and the same-origin collapse it produces.</w:t>
      </w:r>
    </w:p>
    <w:p>
      <w:pPr>
        <w:pStyle w:val="BasicText"/>
      </w:pPr>
      <w:r>
        <w:t xml:space="preserve">The consequence is the </w:t>
      </w:r>
      <w:r>
        <w:rPr>
          <w:b/>
        </w:rPr>
        <w:t xml:space="preserve">same-origin collapse</w:t>
      </w:r>
      <w:r>
        <w:t xml:space="preserve">: the browser talks to one origin for everything, so the per-port CORS configuration and the local hosts entry for Keycloak that the localhost setup needs both disappear, and the published ports are withdrawn. This is also where §4.10's transport constraint originates: the edge proxy does not carry WebSocket upgrades, which is why both live streams are Server-Sent Events, and why the verification below exercises live updates specifically.</w:t>
      </w:r>
    </w:p>
    <w:p>
      <w:pPr>
        <w:pStyle w:val="BasicText"/>
      </w:pPr>
      <w:r>
        <w:rPr>
          <w:b/>
        </w:rPr>
        <w:t xml:space="preserve">Bootstrap.</w:t>
      </w:r>
      <w:r>
        <w:t xml:space="preserve"> Clone into the deployment user's home directory and run </w:t>
      </w:r>
      <w:r>
        <w:rPr>
          <w:rFonts w:ascii="Courier New" w:hAnsi="Courier New"/>
          <w:sz w:val="20"/>
        </w:rPr>
        <w:t xml:space="preserve">infra/bootstrap-vm.sh</w:t>
      </w:r>
      <w:r>
        <w:t xml:space="preserve">, which does three fiddly things in one idempotent pass: generates </w:t>
      </w:r>
      <w:r>
        <w:rPr>
          <w:rFonts w:ascii="Courier New" w:hAnsi="Courier New"/>
          <w:sz w:val="20"/>
        </w:rPr>
        <w:t xml:space="preserve">.env</w:t>
      </w:r>
      <w:r>
        <w:t xml:space="preserve"> with fresh secrets, patches the realm export so the production origin is an allowed redirect target and the client secret matches </w:t>
      </w:r>
      <w:r>
        <w:rPr>
          <w:rFonts w:ascii="Courier New" w:hAnsi="Courier New"/>
          <w:sz w:val="20"/>
        </w:rPr>
        <w:t xml:space="preserve">.env</w:t>
      </w:r>
      <w:r>
        <w:t xml:space="preserve">, and brings the stack up after a free-port check. Two things must line up or login fails, and guaranteeing them is why the script exists. The </w:t>
      </w:r>
      <w:r>
        <w:rPr>
          <w:b/>
        </w:rPr>
        <w:t xml:space="preserve">client secret</w:t>
      </w:r>
      <w:r>
        <w:t xml:space="preserve"> appears in </w:t>
      </w:r>
      <w:r>
        <w:rPr>
          <w:rFonts w:ascii="Courier New" w:hAnsi="Courier New"/>
          <w:sz w:val="20"/>
        </w:rPr>
        <w:t xml:space="preserve">.env</w:t>
      </w:r>
      <w:r>
        <w:t xml:space="preserve"> and in the realm JSON and must be identical in both. The </w:t>
      </w:r>
      <w:r>
        <w:rPr>
          <w:b/>
        </w:rPr>
        <w:t xml:space="preserve">redirect URI and web origin</w:t>
      </w:r>
      <w:r>
        <w:t xml:space="preserve"> must include the production hostname, because Keycloak only redirects to pre-approved URLs. A crucial detail for anyone doing this by hand: the realm import happens </w:t>
      </w:r>
      <w:r>
        <w:rPr>
          <w:b/>
        </w:rPr>
        <w:t xml:space="preserve">only on the first boot, into an empty Keycloak database</w:t>
      </w:r>
      <w:r>
        <w:t xml:space="preserve">; on a redeploy it is skipped and realm changes must be made in the administration console.</w:t>
      </w:r>
    </w:p>
    <w:p>
      <w:pPr>
        <w:pStyle w:val="BasicText"/>
      </w:pPr>
      <w:r>
        <w:rPr>
          <w:b/>
        </w:rPr>
        <w:t xml:space="preserve">University login.</w:t>
      </w:r>
      <w:r>
        <w:t xml:space="preserve"> To send every login straight to the university identity provider, register an OIDC client with the university whose redirect URI is Keycloak's broker callback, configure the identity provider on the </w:t>
      </w:r>
      <w:r>
        <w:rPr>
          <w:i/>
        </w:rPr>
        <w:t xml:space="preserve">running</w:t>
      </w:r>
      <w:r>
        <w:t xml:space="preserve"> Keycloak with the supplied script, and set the identity-provider hint in </w:t>
      </w:r>
      <w:r>
        <w:rPr>
          <w:rFonts w:ascii="Courier New" w:hAnsi="Courier New"/>
          <w:sz w:val="20"/>
        </w:rPr>
        <w:t xml:space="preserve">.env</w:t>
      </w:r>
      <w:r>
        <w:t xml:space="preserve">. The local administrator account remains reachable through the Keycloak master realm as a break-glass path. Replacing an already-imported provider requires deleting it first, because Keycloak ignores the provider type on update.</w:t>
      </w:r>
    </w:p>
    <w:p>
      <w:pPr>
        <w:pStyle w:val="BasicText"/>
      </w:pPr>
      <w:r>
        <w:rPr>
          <w:b/>
        </w:rPr>
        <w:t xml:space="preserve">Resource limits and optional services.</w:t>
      </w:r>
      <w:r>
        <w:t xml:space="preserve"> Four environment variables matter on a shared machine: worker concurrency, the job execution timeout, the CPU-offload pool size, and DuckDB's per-query limits. Optional sidecars are enabled by listing compose profiles: the graph database for </w:t>
      </w:r>
      <w:r>
        <w:rPr>
          <w:rFonts w:ascii="Courier New" w:hAnsi="Courier New"/>
          <w:sz w:val="20"/>
        </w:rPr>
        <w:t xml:space="preserve">actor_performance</w:t>
      </w:r>
      <w:r>
        <w:t xml:space="preserve">, and the object-storage backend, which needs a byte budget configured before it reclaims disk rather than merely mirroring.</w:t>
      </w:r>
    </w:p>
    <w:p>
      <w:pPr>
        <w:pStyle w:val="BasicText"/>
      </w:pPr>
      <w:r>
        <w:rPr>
          <w:b/>
        </w:rPr>
        <w:t xml:space="preserve">What does not work out of the box.</w:t>
      </w:r>
      <w:r>
        <w:t xml:space="preserve"> Each item is an opt-in or a per-deployment secret rather than a bug: the graph sidecar is off, so </w:t>
      </w:r>
      <w:r>
        <w:rPr>
          <w:rFonts w:ascii="Courier New" w:hAnsi="Courier New"/>
          <w:sz w:val="20"/>
        </w:rPr>
        <w:t xml:space="preserve">actor_performance</w:t>
      </w:r>
      <w:r>
        <w:t xml:space="preserve"> shows a setup screen; the drift-detection module has no model unless one is uploaded or pinned globally, and without one every import starts a job that fails; the seeded account has no </w:t>
      </w:r>
      <w:r>
        <w:rPr>
          <w:rFonts w:ascii="Courier New" w:hAnsi="Courier New"/>
          <w:sz w:val="20"/>
        </w:rPr>
        <w:t xml:space="preserve">admin</w:t>
      </w:r>
      <w:r>
        <w:t xml:space="preserve"> role; the university identity provider points at placeholders until configured; the MCP server is off; and user deletion does not remove the Keycloak account unless the administrative client is configured.</w:t>
      </w:r>
    </w:p>
    <w:p>
      <w:pPr>
        <w:pStyle w:val="Heading2"/>
      </w:pPr>
      <w:r>
        <w:t xml:space="preserve">Verification and Update Procedure</w:t>
      </w:r>
    </w:p>
    <w:p>
      <w:pPr>
        <w:pStyle w:val="BasicText"/>
      </w:pPr>
      <w:r>
        <w:t xml:space="preserve">A deployment is healthy when five checks pass in this order, because each rules out one layer.</w:t>
      </w:r>
    </w:p>
    <w:p>
      <w:pPr>
        <w:pStyle w:val="BasicTextNumberedList"/>
        <w:numPr>
          <w:ilvl w:val="0"/>
          <w:numId w:val="101"/>
        </w:numPr>
      </w:pPr>
      <w:r>
        <w:rPr>
          <w:b/>
        </w:rPr>
        <w:t xml:space="preserve">The web application answers through the proxy.</w:t>
      </w:r>
      <w:r>
        <w:t xml:space="preserve"> </w:t>
      </w:r>
      <w:r>
        <w:rPr>
          <w:rFonts w:ascii="Courier New" w:hAnsi="Courier New"/>
          <w:sz w:val="20"/>
        </w:rPr>
        <w:t xml:space="preserve">curl -I https://&lt;host&gt;</w:t>
      </w:r>
      <w:r>
        <w:t xml:space="preserve"> returns a redirect or 200.</w:t>
      </w:r>
    </w:p>
    <w:p>
      <w:pPr>
        <w:pStyle w:val="BasicTextNumberedList"/>
        <w:numPr>
          <w:ilvl w:val="0"/>
          <w:numId w:val="101"/>
        </w:numPr>
      </w:pPr>
      <w:r>
        <w:rPr>
          <w:b/>
        </w:rPr>
        <w:t xml:space="preserve">The API answers through the proxy.</w:t>
      </w:r>
      <w:r>
        <w:t xml:space="preserve"> </w:t>
      </w:r>
      <w:r>
        <w:rPr>
          <w:rFonts w:ascii="Courier New" w:hAnsi="Courier New"/>
          <w:sz w:val="20"/>
        </w:rPr>
        <w:t xml:space="preserve">curl https://&lt;host&gt;/health</w:t>
      </w:r>
      <w:r>
        <w:t xml:space="preserve"> returns the liveness payload unauthenticated.</w:t>
      </w:r>
    </w:p>
    <w:p>
      <w:pPr>
        <w:pStyle w:val="BasicTextNumberedList"/>
        <w:numPr>
          <w:ilvl w:val="0"/>
          <w:numId w:val="101"/>
        </w:numPr>
      </w:pPr>
      <w:r>
        <w:rPr>
          <w:b/>
        </w:rPr>
        <w:t xml:space="preserve">The Keycloak issuer is the public URL</w:t>
      </w:r>
      <w:r>
        <w:t xml:space="preserve">, not a container name or localhost, checked against the realm's OpenID configuration document. If this is wrong, login loops, and this is the fastest way to see it.</w:t>
      </w:r>
    </w:p>
    <w:p>
      <w:pPr>
        <w:pStyle w:val="BasicTextNumberedList"/>
        <w:numPr>
          <w:ilvl w:val="0"/>
          <w:numId w:val="101"/>
        </w:numPr>
      </w:pPr>
      <w:r>
        <w:rPr>
          <w:b/>
        </w:rPr>
        <w:t xml:space="preserve">A full login round-trip succeeds.</w:t>
      </w:r>
      <w:r>
        <w:t xml:space="preserve"> Do this once in Safari as well as Chrome, because Safari enforces cookie size limits more strictly and the failure mode is browser-specific (§9.4).</w:t>
      </w:r>
    </w:p>
    <w:p>
      <w:pPr>
        <w:pStyle w:val="BasicTextNumberedList"/>
        <w:numPr>
          <w:ilvl w:val="0"/>
          <w:numId w:val="101"/>
        </w:numPr>
      </w:pPr>
      <w:r>
        <w:rPr>
          <w:b/>
        </w:rPr>
        <w:t xml:space="preserve">Import a log, watch a job, open the assistant.</w:t>
      </w:r>
      <w:r>
        <w:t xml:space="preserve"> This confirms live updates survive both proxies. If everything else works and only live updates stall, the transport is the problem.</w:t>
      </w:r>
    </w:p>
    <w:p>
      <w:pPr>
        <w:pStyle w:val="BasicText"/>
      </w:pPr>
      <w:r>
        <w:t xml:space="preserve">Two further confirmations are worth making on a fresh deployment: that the one-shot realm-hardening service exited zero, since a non-zero exit leaves the platform running with an unpatched realm, and that module mounting succeeded, which the module settings page shows per module with any load errors.</w:t>
      </w:r>
    </w:p>
    <w:p>
      <w:pPr>
        <w:pStyle w:val="BasicText"/>
      </w:pPr>
      <w:r>
        <w:rPr>
          <w:b/>
        </w:rPr>
        <w:t xml:space="preserve">Updating a running instance</w:t>
      </w:r>
      <w:r>
        <w:t xml:space="preserve"> is a pull, a rebuild and a restart; migrations run automatically on API startup. What must precede an update is a </w:t>
      </w:r>
      <w:r>
        <w:rPr>
          <w:b/>
        </w:rPr>
        <w:t xml:space="preserve">backup</w:t>
      </w:r>
      <w:r>
        <w:t xml:space="preserve">, because migrations are not reversible in general: copy the bind-mounted </w:t>
      </w:r>
      <w:r>
        <w:rPr>
          <w:rFonts w:ascii="Courier New" w:hAnsi="Courier New"/>
          <w:sz w:val="20"/>
        </w:rPr>
        <w:t xml:space="preserve">data/</w:t>
      </w:r>
      <w:r>
        <w:t xml:space="preserve"> directory and keep the copy until the update is verified. Two rebuild triggers are easy to forget: any variable inlined into the client bundle at build time needs </w:t>
      </w:r>
      <w:r>
        <w:rPr>
          <w:rFonts w:ascii="Courier New" w:hAnsi="Courier New"/>
          <w:sz w:val="20"/>
        </w:rPr>
        <w:t xml:space="preserve">--build</w:t>
      </w:r>
      <w:r>
        <w:t xml:space="preserve">, and an environment-variable change needs the service brought up again rather than restarted, because a restart preserves the old environment.</w:t>
      </w:r>
    </w:p>
    <w:p>
      <w:pPr>
        <w:pStyle w:val="Heading2"/>
      </w:pPr>
      <w:r>
        <w:t xml:space="preserve">Administration and Data Governance</w:t>
      </w:r>
    </w:p>
    <w:p>
      <w:pPr>
        <w:pStyle w:val="BasicText"/>
      </w:pPr>
      <w:r>
        <w:rPr>
          <w:b/>
        </w:rPr>
        <w:t xml:space="preserve">Role assignment.</w:t>
      </w:r>
      <w:r>
        <w:t xml:space="preserve"> The single realm role </w:t>
      </w:r>
      <w:r>
        <w:rPr>
          <w:rFonts w:ascii="Courier New" w:hAnsi="Courier New"/>
          <w:sz w:val="20"/>
        </w:rPr>
        <w:t xml:space="preserve">admin</w:t>
      </w:r>
      <w:r>
        <w:t xml:space="preserve">, assigned in the Keycloak console, unlocks the administrative area, the export, module policy and the live concurrency control, and deserves the care of any administrative credential.</w:t>
      </w:r>
    </w:p>
    <w:p>
      <w:pPr>
        <w:pStyle w:val="BasicText"/>
      </w:pPr>
      <w:r>
        <w:rPr>
          <w:b/>
        </w:rPr>
        <w:t xml:space="preserve">The metadata export</w:t>
      </w:r>
      <w:r>
        <w:t xml:space="preserve"> is a consistent snapshot of the whole metadata database as one SQLite file. It is the most useful administrative tool and the most sensitive artefact the platform produces: it contains </w:t>
      </w:r>
      <w:r>
        <w:rPr>
          <w:b/>
        </w:rPr>
        <w:t xml:space="preserve">every user's</w:t>
      </w:r>
      <w:r>
        <w:t xml:space="preserve"> accounts, usage data, process metadata, dashboards and settings, not the requesting administrator's. Handle it as a data extract, not a diagnostic dump.</w:t>
      </w:r>
    </w:p>
    <w:p>
      <w:pPr>
        <w:pStyle w:val="BasicText"/>
      </w:pPr>
      <w:r>
        <w:rPr>
          <w:b/>
        </w:rPr>
        <w:t xml:space="preserve">The usage-capture policy</w:t>
      </w:r>
      <w:r>
        <w:t xml:space="preserve"> has three settings and a default worth commenting on. Capture records interaction events locally in the OCEL-shaped model of Abb and Rehse (2024) and transmits nothing off the host. </w:t>
      </w:r>
      <w:r>
        <w:rPr>
          <w:rFonts w:ascii="Courier New" w:hAnsi="Courier New"/>
          <w:sz w:val="20"/>
        </w:rPr>
        <w:t xml:space="preserve">force</w:t>
      </w:r>
      <w:r>
        <w:t xml:space="preserve"> keeps capture on for every user and </w:t>
      </w:r>
      <w:r>
        <w:rPr>
          <w:b/>
        </w:rPr>
        <w:t xml:space="preserve">hides both the onboarding privacy step and the privacy settings tab, so there is no opt-out</w:t>
      </w:r>
      <w:r>
        <w:t xml:space="preserve">; </w:t>
      </w:r>
      <w:r>
        <w:rPr>
          <w:rFonts w:ascii="Courier New" w:hAnsi="Courier New"/>
          <w:sz w:val="20"/>
        </w:rPr>
        <w:t xml:space="preserve">on</w:t>
      </w:r>
      <w:r>
        <w:t xml:space="preserve"> enables it by default with an opt-out; </w:t>
      </w:r>
      <w:r>
        <w:rPr>
          <w:rFonts w:ascii="Courier New" w:hAnsi="Courier New"/>
          <w:sz w:val="20"/>
        </w:rPr>
        <w:t xml:space="preserve">off</w:t>
      </w:r>
      <w:r>
        <w:t xml:space="preserve"> disables it by default with an opt-in. The shipped default is </w:t>
      </w:r>
      <w:r>
        <w:rPr>
          <w:rFonts w:ascii="Courier New" w:hAnsi="Courier New"/>
          <w:sz w:val="20"/>
        </w:rPr>
        <w:t xml:space="preserve">force</w:t>
      </w:r>
      <w:r>
        <w:t xml:space="preserve">. For a research deployment where usage data is part of what is studied and users are informed separately, that is defensible. For any other deployment it is the wrong default, and the honest statement is that the platform makes the convenient choice rather than the conservative one.</w:t>
      </w:r>
    </w:p>
    <w:p>
      <w:pPr>
        <w:pStyle w:val="BasicText"/>
      </w:pPr>
      <w:r>
        <w:rPr>
          <w:b/>
        </w:rPr>
        <w:t xml:space="preserve">Backup</w:t>
      </w:r>
      <w:r>
        <w:t xml:space="preserve"> is copying </w:t>
      </w:r>
      <w:r>
        <w:rPr>
          <w:rFonts w:ascii="Courier New" w:hAnsi="Courier New"/>
          <w:sz w:val="20"/>
        </w:rPr>
        <w:t xml:space="preserve">data/</w:t>
      </w:r>
      <w:r>
        <w:t xml:space="preserve">, which holds the metadata database, per-user Parquet event data and module results, uploaded modules and cached runtimes. Keycloak's data lives in a Docker volume and must be backed up separately if accounts are to survive; taking the stack down with volumes removed wipes accounts and re-imports the realm on the next boot.</w:t>
      </w:r>
    </w:p>
    <w:p>
      <w:pPr>
        <w:pStyle w:val="Heading2"/>
      </w:pPr>
      <w:r>
        <w:t xml:space="preserve">A Typical Analysis Workflow</w:t>
      </w:r>
    </w:p>
    <w:p>
      <w:pPr>
        <w:pStyle w:val="BasicText"/>
      </w:pPr>
      <w:r>
        <w:t xml:space="preserve">This walks once through a user's path so a reader who has not used the system can picture the architecture chapters. Appendix A is the manual.</w:t>
      </w:r>
    </w:p>
    <w:p>
      <w:pPr>
        <w:pStyle w:val="BasicText"/>
      </w:pPr>
      <w:r>
        <w:t xml:space="preserve">The user lands on </w:t>
      </w:r>
      <w:r>
        <w:rPr>
          <w:b/>
        </w:rPr>
        <w:t xml:space="preserve">Processes</w:t>
      </w:r>
      <w:r>
        <w:t xml:space="preserve"> and chooses </w:t>
      </w:r>
      <w:r>
        <w:rPr>
          <w:i/>
        </w:rPr>
        <w:t xml:space="preserve">Import event log</w:t>
      </w:r>
      <w:r>
        <w:t xml:space="preserve">. For a CSV they first complete a column-mapping step, saying which column is the case identifier, which the activity and which the timestamp, since a CSV carries no semantics of its own (§2.1).</w:t>
      </w:r>
    </w:p>
    <w:tbl>
      <w:tblPr>
        <w:tblStyle w:val="TableGrid"/>
        <w:tblW w:w="8500" w:type="dxa"/>
        <w:tblLayout w:type="fixed"/>
        <w:tblLook w:val="04A0"/>
      </w:tblPr>
      <w:tblGrid>
        <w:gridCol w:w="8500"/>
      </w:tblGrid>
      <w:tr>
        <w:tc>
          <w:tcPr>
            <w:tcW w:w="8500" w:type="dxa"/>
            <w:shd w:val="clear" w:color="auto" w:fill="F7F7F7"/>
          </w:tcPr>
          <w:p>
            <w:pPr>
              <w:pStyle w:val="BasicTextTable"/>
            </w:pPr>
            <w:r>
              <w:rPr>
                <w:b/>
              </w:rPr>
              <w:t xml:space="preserve">[ARTWORK TO BE INSERTED] </w:t>
            </w:r>
            <w:r>
              <w:t xml:space="preserve">SCREENSHOT. The import page at /processes/import, light mode, roughly 1440 px wide. Show a CSV mid-import so the column-mapping wizard is visible with case_id, activity and timestamp mapped and at least one unmapped optional column. Crop to the content area.</w:t>
            </w:r>
          </w:p>
        </w:tc>
      </w:tr>
    </w:tbl>
    <w:p>
      <w:pPr>
        <w:pStyle w:val="Caption"/>
      </w:pPr>
      <w:r>
        <w:t xml:space="preserve">Fig. </w:t>
      </w:r>
      <w:fldSimple w:instr=" SEQ Fig. \* ARABIC ">
        <w:r>
          <w:t>1</w:t>
        </w:r>
      </w:fldSimple>
      <w:r>
        <w:t xml:space="preserve">: </w:t>
      </w:r>
      <w:r>
        <w:t xml:space="preserve">Importing an event log, with the column-mapping step shown for a CSV source.</w:t>
      </w:r>
    </w:p>
    <w:p>
      <w:pPr>
        <w:pStyle w:val="BasicText"/>
      </w:pPr>
      <w:r>
        <w:t xml:space="preserve">The request returns immediately with a log identifier and a job identifier, and the new row appears greyed out with an inline progress bar fed by the per-job stream. The bottom-left job dock shows the same progress and a toast announces the queued import.</w:t>
      </w:r>
    </w:p>
    <w:p>
      <w:pPr>
        <w:pStyle w:val="BasicText"/>
      </w:pPr>
      <w:r>
        <w:t xml:space="preserve">When parsing finishes the log does not become available at once. It enters </w:t>
      </w:r>
      <w:r>
        <w:rPr>
          <w:rFonts w:ascii="Courier New" w:hAnsi="Courier New"/>
          <w:sz w:val="20"/>
        </w:rPr>
        <w:t xml:space="preserve">processing</w:t>
      </w:r>
      <w:r>
        <w:t xml:space="preserve"> while the modules in its precompute closure run (§4.8), and the jobs drawer renders that closure as a checklist: what is waiting, running, finished, and skipped because an upstream module failed. Only when every expected module has reached a terminal state does the row un-grey.</w:t>
      </w:r>
    </w:p>
    <w:tbl>
      <w:tblPr>
        <w:tblStyle w:val="TableGrid"/>
        <w:tblW w:w="8500" w:type="dxa"/>
        <w:tblLayout w:type="fixed"/>
        <w:tblLook w:val="04A0"/>
      </w:tblPr>
      <w:tblGrid>
        <w:gridCol w:w="8500"/>
      </w:tblGrid>
      <w:tr>
        <w:tc>
          <w:tcPr>
            <w:tcW w:w="8500" w:type="dxa"/>
            <w:shd w:val="clear" w:color="auto" w:fill="F7F7F7"/>
          </w:tcPr>
          <w:p>
            <w:pPr>
              <w:pStyle w:val="BasicTextTable"/>
            </w:pPr>
            <w:r>
              <w:rPr>
                <w:b/>
              </w:rPr>
              <w:t xml:space="preserve">[ARTWORK TO BE INSERTED] </w:t>
            </w:r>
            <w:r>
              <w:t xml:space="preserve">SCREENSHOT. The /processes page, light mode, roughly 1440 px wide, with at least three logs listed and one in the processing state showing its inline progress bar. Open the jobs drawer so the precompute plan checklist is visible with a mix of finished, running and waiting entries.</w:t>
            </w:r>
          </w:p>
        </w:tc>
      </w:tr>
    </w:tbl>
    <w:p>
      <w:pPr>
        <w:pStyle w:val="Caption"/>
      </w:pPr>
      <w:r>
        <w:t xml:space="preserve">Fig. </w:t>
      </w:r>
      <w:fldSimple w:instr=" SEQ Fig. \* ARABIC ">
        <w:r>
          <w:t>1</w:t>
        </w:r>
      </w:fldSimple>
      <w:r>
        <w:t xml:space="preserve">: </w:t>
      </w:r>
      <w:r>
        <w:t xml:space="preserve">The processes list during import, with the job dock and the precompute checklist.</w:t>
      </w:r>
    </w:p>
    <w:p>
      <w:pPr>
        <w:pStyle w:val="BasicText"/>
      </w:pPr>
      <w:r>
        <w:t xml:space="preserve">Clicking the log opens its detail page: a header of key statistics, tabs for the events table and variants, and a grid of module cards grouped by category. Cards are full colour when the module applies, greyed with a tooltip when a requirement is unmet, and amber-badged when an optional dependency is missing. Clicking a card opens that module's panel, which is the module's own code rendered inside the platform's chrome (§5.7).</w:t>
      </w:r>
    </w:p>
    <w:tbl>
      <w:tblPr>
        <w:tblStyle w:val="TableGrid"/>
        <w:tblW w:w="8500" w:type="dxa"/>
        <w:tblLayout w:type="fixed"/>
        <w:tblLook w:val="04A0"/>
      </w:tblPr>
      <w:tblGrid>
        <w:gridCol w:w="8500"/>
      </w:tblGrid>
      <w:tr>
        <w:tc>
          <w:tcPr>
            <w:tcW w:w="8500" w:type="dxa"/>
            <w:shd w:val="clear" w:color="auto" w:fill="F7F7F7"/>
          </w:tcPr>
          <w:p>
            <w:pPr>
              <w:pStyle w:val="BasicTextTable"/>
            </w:pPr>
            <w:r>
              <w:rPr>
                <w:b/>
              </w:rPr>
              <w:t xml:space="preserve">[ARTWORK TO BE INSERTED] </w:t>
            </w:r>
            <w:r>
              <w:t xml:space="preserve">SCREENSHOT. /processes/{logId}/modules/discovery, light mode, roughly 1440 px wide. Show the DFG canvas with the shared canvas controls visible and the settings popover closed. Use a log with 15 to 30 activities so the graph is legible at figure size.</w:t>
            </w:r>
          </w:p>
        </w:tc>
      </w:tr>
    </w:tbl>
    <w:p>
      <w:pPr>
        <w:pStyle w:val="Caption"/>
      </w:pPr>
      <w:r>
        <w:t xml:space="preserve">Fig. </w:t>
      </w:r>
      <w:fldSimple w:instr=" SEQ Fig. \* ARABIC ">
        <w:r>
          <w:t>1</w:t>
        </w:r>
      </w:fldSimple>
      <w:r>
        <w:t xml:space="preserve">: </w:t>
      </w:r>
      <w:r>
        <w:t xml:space="preserve">A module panel: the discovery module's directly-follows graph for the active log.</w:t>
      </w:r>
    </w:p>
    <w:tbl>
      <w:tblPr>
        <w:tblStyle w:val="TableGrid"/>
        <w:tblW w:w="8500" w:type="dxa"/>
        <w:tblLayout w:type="fixed"/>
        <w:tblLook w:val="04A0"/>
      </w:tblPr>
      <w:tblGrid>
        <w:gridCol w:w="8500"/>
      </w:tblGrid>
      <w:tr>
        <w:tc>
          <w:tcPr>
            <w:tcW w:w="8500" w:type="dxa"/>
            <w:shd w:val="clear" w:color="auto" w:fill="F7F7F7"/>
          </w:tcPr>
          <w:p>
            <w:pPr>
              <w:pStyle w:val="BasicTextTable"/>
            </w:pPr>
            <w:r>
              <w:rPr>
                <w:b/>
              </w:rPr>
              <w:t xml:space="preserve">[ARTWORK TO BE INSERTED] </w:t>
            </w:r>
            <w:r>
              <w:t xml:space="preserve">SCREENSHOT. A dashboard page with at least five cards from at least three different modules, light mode, roughly 1440 px wide, including one KPI tile row and one chart. Crop to the board area.</w:t>
            </w:r>
          </w:p>
        </w:tc>
      </w:tr>
    </w:tbl>
    <w:p>
      <w:pPr>
        <w:pStyle w:val="Caption"/>
      </w:pPr>
      <w:r>
        <w:t xml:space="preserve">Fig. </w:t>
      </w:r>
      <w:fldSimple w:instr=" SEQ Fig. \* ARABIC ">
        <w:r>
          <w:t>1</w:t>
        </w:r>
      </w:fldSimple>
      <w:r>
        <w:t xml:space="preserve">: </w:t>
      </w:r>
      <w:r>
        <w:t xml:space="preserve">A composed dashboard drawing cards from several modules against one log.</w:t>
      </w:r>
    </w:p>
    <w:p>
      <w:pPr>
        <w:pStyle w:val="BasicText"/>
      </w:pPr>
      <w:r>
        <w:t xml:space="preserve">Finally the user composes a </w:t>
      </w:r>
      <w:r>
        <w:rPr>
          <w:b/>
        </w:rPr>
        <w:t xml:space="preserve">dashboard</w:t>
      </w:r>
      <w:r>
        <w:t xml:space="preserve">: a saved grid of cards drawn from any installed module's widgets, all bound to one log. This is where cross-module work happens today, and where the limitation of §6.7 is felt, since the cards sit side by side without a shared notion of the activity or variant the user is looking at. A dashboard can be shared read-only with named colleagues, the single sanctioned path by which anything crosses an account boundary (§4.5). Returning later, the user finds the log, its precomputed results and their dashboard exactly as they left them, which is the property §2.4 named as the first thing a platform adds to a library.</w:t>
      </w:r>
    </w:p>
    <w:p>
      <w:pPr>
        <w:pStyle w:val="Heading1"/>
      </w:pPr>
      <w:r>
        <w:t xml:space="preserve">Developing a New Module: A Practical Walkthrough</w:t>
      </w:r>
    </w:p>
    <w:p>
      <w:pPr>
        <w:pStyle w:val="BasicText"/>
      </w:pPr>
      <w:r>
        <w:t xml:space="preserve">Chapter 5 stated the contract and Chapter 6 showed that the platform's own authors could satisfy it. Neither shows that a reader can. This chapter is a followable tutorial producing one small but complete module, and every step cites the subsection of Chapter 5 that motivates it. Appendix B is the reference.</w:t>
      </w:r>
    </w:p>
    <w:p>
      <w:pPr>
        <w:pStyle w:val="Heading2"/>
      </w:pPr>
      <w:r>
        <w:t xml:space="preserve">Development Environment for Module Authors</w:t>
      </w:r>
    </w:p>
    <w:p>
      <w:pPr>
        <w:pStyle w:val="BasicText"/>
      </w:pPr>
      <w:r>
        <w:t xml:space="preserve">Clone the repository, install both toolchains with </w:t>
      </w:r>
      <w:r>
        <w:rPr>
          <w:rFonts w:ascii="Courier New" w:hAnsi="Courier New"/>
          <w:sz w:val="20"/>
        </w:rPr>
        <w:t xml:space="preserve">make install</w:t>
      </w:r>
      <w:r>
        <w:t xml:space="preserve">, and start one of the reload-capable modes; the clone-and-start sequence is §7.2. </w:t>
      </w:r>
      <w:r>
        <w:rPr>
          <w:rFonts w:ascii="Courier New" w:hAnsi="Courier New"/>
          <w:sz w:val="20"/>
        </w:rPr>
        <w:t xml:space="preserve">make dev</w:t>
      </w:r>
      <w:r>
        <w:t xml:space="preserve"> is the right mode for module work: both dev servers run on the host, so a change to </w:t>
      </w:r>
      <w:r>
        <w:rPr>
          <w:rFonts w:ascii="Courier New" w:hAnsi="Courier New"/>
          <w:sz w:val="20"/>
        </w:rPr>
        <w:t xml:space="preserve">module.py</w:t>
      </w:r>
      <w:r>
        <w:t xml:space="preserve"> restarts the API in seconds and a change to a panel is picked up by the bundler's watch mode with no rebuild. </w:t>
      </w:r>
      <w:r>
        <w:rPr>
          <w:rFonts w:ascii="Courier New" w:hAnsi="Courier New"/>
          <w:sz w:val="20"/>
        </w:rPr>
        <w:t xml:space="preserve">make up-dev</w:t>
      </w:r>
      <w:r>
        <w:t xml:space="preserve"> gives the same reload inside containers and is preferable only when the module needs something the containers provide, such as the bundled Keycloak or a sidecar.</w:t>
      </w:r>
    </w:p>
    <w:p>
      <w:pPr>
        <w:pStyle w:val="BasicText"/>
      </w:pPr>
      <w:r>
        <w:t xml:space="preserve">One decision must be made first, because it determines the loop length for the rest of the chapter: </w:t>
      </w:r>
      <w:r>
        <w:rPr>
          <w:b/>
        </w:rPr>
        <w:t xml:space="preserve">will the module run on the platform's interpreter, or its own?</w:t>
      </w:r>
      <w:r>
        <w:t xml:space="preserve"> §8.3 gives the rule; the default answer is the platform's.</w:t>
      </w:r>
    </w:p>
    <w:p>
      <w:pPr>
        <w:pStyle w:val="Heading2"/>
      </w:pPr>
      <w:r>
        <w:t xml:space="preserve">Scaffolding a Module</w:t>
      </w:r>
    </w:p>
    <w:p>
      <w:pPr>
        <w:pStyle w:val="BasicText"/>
      </w:pPr>
      <w:r>
        <w:t xml:space="preserve">The minimum viable module is a folder, a manifest and a class. Create </w:t>
      </w:r>
      <w:r>
        <w:rPr>
          <w:rFonts w:ascii="Courier New" w:hAnsi="Courier New"/>
          <w:sz w:val="20"/>
        </w:rPr>
        <w:t xml:space="preserve">modules/my_module/</w:t>
      </w:r>
      <w:r>
        <w:t xml:space="preserve"> with the required manifest fields only:</w:t>
      </w:r>
    </w:p>
    <w:p>
      <w:pPr>
        <w:pStyle w:val="BasicTextSQL"/>
      </w:pPr>
      <w:r>
        <w:t xml:space="preserve">id: my_module</w:t>
      </w:r>
    </w:p>
    <w:p>
      <w:pPr>
        <w:pStyle w:val="BasicTextSQL"/>
      </w:pPr>
      <w:r>
        <w:t xml:space="preserve">name: My Module</w:t>
      </w:r>
    </w:p>
    <w:p>
      <w:pPr>
        <w:pStyle w:val="BasicTextSQL"/>
      </w:pPr>
      <w:r>
        <w:t xml:space="preserve">version: 0.1.0</w:t>
      </w:r>
    </w:p>
    <w:p>
      <w:pPr>
        <w:pStyle w:val="BasicTextSQL"/>
      </w:pPr>
      <w:r>
        <w:t xml:space="preserve">category: advanced</w:t>
      </w:r>
    </w:p>
    <w:p>
      <w:pPr>
        <w:pStyle w:val="BasicTextSQL"/>
      </w:pPr>
      <w:r>
        <w:t xml:space="preserve">description: One-line summary shown on the module card.</w:t>
      </w:r>
    </w:p>
    <w:p>
      <w:pPr>
        <w:pStyle w:val="BasicTextSQL"/>
      </w:pPr>
      <w:r>
        <w:t xml:space="preserve">license: MIT</w:t>
      </w:r>
    </w:p>
    <w:p>
      <w:pPr>
        <w:pStyle w:val="BasicTextSQL"/>
      </w:pPr>
      <w:r>
        <w:t xml:space="preserve"/>
      </w:r>
    </w:p>
    <w:p>
      <w:pPr>
        <w:pStyle w:val="BasicTextSQL"/>
      </w:pPr>
      <w:r>
        <w:t xml:space="preserve">requirements:</w:t>
      </w:r>
    </w:p>
    <w:p>
      <w:pPr>
        <w:pStyle w:val="BasicTextSQL"/>
      </w:pPr>
      <w:r>
        <w:t xml:space="preserve">  event_log:</w:t>
      </w:r>
    </w:p>
    <w:p>
      <w:pPr>
        <w:pStyle w:val="BasicTextSQL"/>
      </w:pPr>
      <w:r>
        <w:t xml:space="preserve">    log_model: case_centric</w:t>
      </w:r>
    </w:p>
    <w:p>
      <w:pPr>
        <w:pStyle w:val="BasicTextSQL"/>
      </w:pPr>
      <w:r>
        <w:t xml:space="preserve">    required_columns: [case_id, activity, timestamp]</w:t>
      </w:r>
    </w:p>
    <w:p>
      <w:pPr>
        <w:pStyle w:val="BasicTextSQL"/>
      </w:pPr>
      <w:r>
        <w:t xml:space="preserve"/>
      </w:r>
    </w:p>
    <w:p>
      <w:pPr>
        <w:pStyle w:val="BasicTextSQL"/>
      </w:pPr>
      <w:r>
        <w:t xml:space="preserve">provides: []</w:t>
      </w:r>
    </w:p>
    <w:p>
      <w:pPr>
        <w:pStyle w:val="BasicTextSQL"/>
      </w:pPr>
      <w:r>
        <w:t xml:space="preserve">consumes: [log.imported]</w:t>
      </w:r>
    </w:p>
    <w:p>
      <w:pPr>
        <w:pStyle w:val="BasicText"/>
      </w:pPr>
      <w:r>
        <w:rPr>
          <w:rFonts w:ascii="Courier New" w:hAnsi="Courier New"/>
          <w:sz w:val="20"/>
        </w:rPr>
        <w:t xml:space="preserve">id</w:t>
      </w:r>
      <w:r>
        <w:t xml:space="preserve"> is lowercase snake_case and globally unique; the folder name is arbitrary (§5.3). </w:t>
      </w:r>
      <w:r>
        <w:rPr>
          <w:rFonts w:ascii="Courier New" w:hAnsi="Courier New"/>
          <w:sz w:val="20"/>
        </w:rPr>
        <w:t xml:space="preserve">requirements.event_log</w:t>
      </w:r>
      <w:r>
        <w:t xml:space="preserve"> is what the per-log gate evaluates, and </w:t>
      </w:r>
      <w:r>
        <w:rPr>
          <w:rFonts w:ascii="Courier New" w:hAnsi="Courier New"/>
          <w:sz w:val="20"/>
        </w:rPr>
        <w:t xml:space="preserve">consumes</w:t>
      </w:r>
      <w:r>
        <w:t xml:space="preserve"> must list every subscribed topic, validated at startup (§5.6).</w:t>
      </w:r>
    </w:p>
    <w:p>
      <w:pPr>
        <w:pStyle w:val="BasicText"/>
      </w:pPr>
      <w:r>
        <w:t xml:space="preserve">Then </w:t>
      </w:r>
      <w:r>
        <w:rPr>
          <w:rFonts w:ascii="Courier New" w:hAnsi="Courier New"/>
          <w:sz w:val="20"/>
        </w:rPr>
        <w:t xml:space="preserve">modules/my_module/module.py</w:t>
      </w:r>
      <w:r>
        <w:t xml:space="preserve">:</w:t>
      </w:r>
    </w:p>
    <w:p>
      <w:pPr>
        <w:pStyle w:val="BasicTextSQL"/>
      </w:pPr>
      <w:r>
        <w:t xml:space="preserve">from mate.sdk import Module, ModuleContext, route</w:t>
      </w:r>
    </w:p>
    <w:p>
      <w:pPr>
        <w:pStyle w:val="BasicTextSQL"/>
      </w:pPr>
      <w:r>
        <w:t xml:space="preserve"/>
      </w:r>
    </w:p>
    <w:p>
      <w:pPr>
        <w:pStyle w:val="BasicTextSQL"/>
      </w:pPr>
      <w:r>
        <w:t xml:space="preserve"/>
      </w:r>
    </w:p>
    <w:p>
      <w:pPr>
        <w:pStyle w:val="BasicTextSQL"/>
      </w:pPr>
      <w:r>
        <w:t xml:space="preserve">class MyModule(Module):</w:t>
      </w:r>
    </w:p>
    <w:p>
      <w:pPr>
        <w:pStyle w:val="BasicTextSQL"/>
      </w:pPr>
      <w:r>
        <w:t xml:space="preserve">    id = "my_module"</w:t>
      </w:r>
    </w:p>
    <w:p>
      <w:pPr>
        <w:pStyle w:val="BasicTextSQL"/>
      </w:pPr>
      <w:r>
        <w:t xml:space="preserve"/>
      </w:r>
    </w:p>
    <w:p>
      <w:pPr>
        <w:pStyle w:val="BasicTextSQL"/>
      </w:pPr>
      <w:r>
        <w:t xml:space="preserve">    @route.get("/summary")</w:t>
      </w:r>
    </w:p>
    <w:p>
      <w:pPr>
        <w:pStyle w:val="BasicTextSQL"/>
      </w:pPr>
      <w:r>
        <w:t xml:space="preserve">    async def summary(self, ctx: ModuleContext) -&gt; dict:</w:t>
      </w:r>
    </w:p>
    <w:p>
      <w:pPr>
        <w:pStyle w:val="BasicTextSQL"/>
      </w:pPr>
      <w:r>
        <w:t xml:space="preserve">        async with ctx.event_log as log:</w:t>
      </w:r>
    </w:p>
    <w:p>
      <w:pPr>
        <w:pStyle w:val="BasicTextSQL"/>
      </w:pPr>
      <w:r>
        <w:t xml:space="preserve">            rows = await log.duckdb_fetch(</w:t>
      </w:r>
    </w:p>
    <w:p>
      <w:pPr>
        <w:pStyle w:val="BasicTextSQL"/>
      </w:pPr>
      <w:r>
        <w:t xml:space="preserve">                "SELECT activity, count(*) AS n FROM events GROUP BY 1 ORDER BY 2 DESC"</w:t>
      </w:r>
    </w:p>
    <w:p>
      <w:pPr>
        <w:pStyle w:val="BasicTextSQL"/>
      </w:pPr>
      <w:r>
        <w:t xml:space="preserve">            )</w:t>
      </w:r>
    </w:p>
    <w:p>
      <w:pPr>
        <w:pStyle w:val="BasicTextSQL"/>
      </w:pPr>
      <w:r>
        <w:t xml:space="preserve">        return {"activities": rows}</w:t>
      </w:r>
    </w:p>
    <w:p>
      <w:pPr>
        <w:pStyle w:val="BasicText"/>
      </w:pPr>
      <w:r>
        <w:t xml:space="preserve">That is a complete module: exactly one </w:t>
      </w:r>
      <w:r>
        <w:rPr>
          <w:rFonts w:ascii="Courier New" w:hAnsi="Courier New"/>
          <w:sz w:val="20"/>
        </w:rPr>
        <w:t xml:space="preserve">Module</w:t>
      </w:r>
      <w:r>
        <w:t xml:space="preserve"> subclass, its </w:t>
      </w:r>
      <w:r>
        <w:rPr>
          <w:rFonts w:ascii="Courier New" w:hAnsi="Courier New"/>
          <w:sz w:val="20"/>
        </w:rPr>
        <w:t xml:space="preserve">id</w:t>
      </w:r>
      <w:r>
        <w:t xml:space="preserve"> matching the manifest, instantiated once per process by the loader (§5.2). There is no registration call, because the manifest is the registration. Restart, and two confirmations tell an author it worked, which matters because recognising success before writing anything substantial saves confusion: the API logs a mount line for the module id, and the module appears under </w:t>
      </w:r>
      <w:r>
        <w:rPr>
          <w:b/>
        </w:rPr>
        <w:t xml:space="preserve">Settings, Modules</w:t>
      </w:r>
      <w:r>
        <w:t xml:space="preserve"> with status </w:t>
      </w:r>
      <w:r>
        <w:rPr>
          <w:i/>
        </w:rPr>
        <w:t xml:space="preserve">Active</w:t>
      </w:r>
      <w:r>
        <w:t xml:space="preserve">. On failure the same page shows the error, and the rest of the platform is unaffected.</w:t>
      </w:r>
    </w:p>
    <w:p>
      <w:pPr>
        <w:pStyle w:val="Heading2"/>
      </w:pPr>
      <w:r>
        <w:t xml:space="preserve">Declaring Dependencies and Selecting an Isolation Level</w:t>
      </w:r>
    </w:p>
    <w:p>
      <w:pPr>
        <w:pStyle w:val="BasicText"/>
      </w:pPr>
      <w:r>
        <w:t xml:space="preserve">Dependencies belong in the manifest and </w:t>
      </w:r>
      <w:r>
        <w:rPr>
          <w:b/>
        </w:rPr>
        <w:t xml:space="preserve">never</w:t>
      </w:r>
      <w:r>
        <w:t xml:space="preserve"> in the platform's project files; editing them from a module is a bug, not a shortcut (§5.1).</w:t>
      </w:r>
    </w:p>
    <w:p>
      <w:pPr>
        <w:pStyle w:val="BasicTextSQL"/>
      </w:pPr>
      <w:r>
        <w:t xml:space="preserve">dependencies:</w:t>
      </w:r>
    </w:p>
    <w:p>
      <w:pPr>
        <w:pStyle w:val="BasicTextSQL"/>
      </w:pPr>
      <w:r>
        <w:t xml:space="preserve">  python:</w:t>
      </w:r>
    </w:p>
    <w:p>
      <w:pPr>
        <w:pStyle w:val="BasicTextSQL"/>
      </w:pPr>
      <w:r>
        <w:t xml:space="preserve">    requires-python: "&gt;=3.12"</w:t>
      </w:r>
    </w:p>
    <w:p>
      <w:pPr>
        <w:pStyle w:val="BasicTextSQL"/>
      </w:pPr>
      <w:r>
        <w:t xml:space="preserve">    packages:</w:t>
      </w:r>
    </w:p>
    <w:p>
      <w:pPr>
        <w:pStyle w:val="BasicTextSQL"/>
      </w:pPr>
      <w:r>
        <w:t xml:space="preserve">      - "scikit-learn&gt;=1.5"</w:t>
      </w:r>
    </w:p>
    <w:p>
      <w:pPr>
        <w:pStyle w:val="BasicTextSQL"/>
      </w:pPr>
      <w:r>
        <w:t xml:space="preserve">    inherit: [pm4py, pandas, duckdb, numpy]</w:t>
      </w:r>
    </w:p>
    <w:p>
      <w:pPr>
        <w:pStyle w:val="BasicTextSQL"/>
      </w:pPr>
      <w:r>
        <w:t xml:space="preserve">    isolation: in_process</w:t>
      </w:r>
    </w:p>
    <w:p>
      <w:pPr>
        <w:pStyle w:val="BasicText"/>
      </w:pPr>
      <w:r>
        <w:t xml:space="preserve">The loader hashes this block, creates an environment inside the module folder and installs </w:t>
      </w:r>
      <w:r>
        <w:rPr>
          <w:rFonts w:ascii="Courier New" w:hAnsi="Courier New"/>
          <w:sz w:val="20"/>
        </w:rPr>
        <w:t xml:space="preserve">packages</w:t>
      </w:r>
      <w:r>
        <w:t xml:space="preserve">. On any later boot with an unchanged hash the install is skipped (§5.3). </w:t>
      </w:r>
      <w:r>
        <w:rPr>
          <w:rFonts w:ascii="Courier New" w:hAnsi="Courier New"/>
          <w:sz w:val="20"/>
        </w:rPr>
        <w:t xml:space="preserve">inherit</w:t>
      </w:r>
      <w:r>
        <w:t xml:space="preserve"> makes libraries importable from the platform's environment without reinstalling, which keeps a module's disk cost at tens rather than hundreds of megabytes; inheriting and pinning the same package is a manifest error. If resolution fails, the module is marked failed to load with the resolver's own message and nothing else is affected.</w:t>
      </w:r>
    </w:p>
    <w:p>
      <w:pPr>
        <w:pStyle w:val="BasicText"/>
      </w:pPr>
      <w:r>
        <w:t xml:space="preserve">Then apply §5.4's rule literally: </w:t>
      </w:r>
      <w:r>
        <w:rPr>
          <w:b/>
        </w:rPr>
        <w:t xml:space="preserve">in-process by default; `subprocess` only for a different Python version or an irreconcilable native-library conflict.</w:t>
      </w:r>
      <w:r>
        <w:t xml:space="preserve"> Two consequences should be present in the author's mind when choosing it: each handler call costs roughly 5 to 50 milliseconds, so a module making many small calls should not be bridged; and </w:t>
      </w:r>
      <w:r>
        <w:rPr>
          <w:rFonts w:ascii="Courier New" w:hAnsi="Courier New"/>
          <w:sz w:val="20"/>
        </w:rPr>
        <w:t xml:space="preserve">inherit</w:t>
      </w:r>
      <w:r>
        <w:t xml:space="preserve"> stops applying, so the inherited libraries are installed into the module's own environment. DataFrame access still works, served by a Parquet handoff rather than the socket.</w:t>
      </w:r>
    </w:p>
    <w:p>
      <w:pPr>
        <w:pStyle w:val="BasicText"/>
      </w:pPr>
      <w:r>
        <w:t xml:space="preserve">One trap deserves naming. For an in-process module, </w:t>
      </w:r>
      <w:r>
        <w:rPr>
          <w:rFonts w:ascii="Courier New" w:hAnsi="Courier New"/>
          <w:sz w:val="20"/>
        </w:rPr>
        <w:t xml:space="preserve">requires-python</w:t>
      </w:r>
      <w:r>
        <w:t xml:space="preserve"> is a </w:t>
      </w:r>
      <w:r>
        <w:rPr>
          <w:b/>
        </w:rPr>
        <w:t xml:space="preserve">validation gate, not an interpreter selector</w:t>
      </w:r>
      <w:r>
        <w:t xml:space="preserve"> (§5.4). Hand-pinning an upper bound such as </w:t>
      </w:r>
      <w:r>
        <w:rPr>
          <w:rFonts w:ascii="Courier New" w:hAnsi="Courier New"/>
          <w:sz w:val="20"/>
        </w:rPr>
        <w:t xml:space="preserve">&lt;3.13</w:t>
      </w:r>
      <w:r>
        <w:t xml:space="preserve"> accomplishes nothing, because the platform already pins the interpreter. Declare </w:t>
      </w:r>
      <w:r>
        <w:rPr>
          <w:rFonts w:ascii="Courier New" w:hAnsi="Courier New"/>
          <w:sz w:val="20"/>
        </w:rPr>
        <w:t xml:space="preserve">requires-python</w:t>
      </w:r>
      <w:r>
        <w:t xml:space="preserve"> only when the dependencies genuinely cannot run on a newer Python, so the gate turns that into a fast, clear failure.</w:t>
      </w:r>
    </w:p>
    <w:p>
      <w:pPr>
        <w:pStyle w:val="Heading2"/>
      </w:pPr>
      <w:r>
        <w:t xml:space="preserve">Implementing Handlers</w:t>
      </w:r>
    </w:p>
    <w:p>
      <w:pPr>
        <w:pStyle w:val="BasicText"/>
      </w:pPr>
      <w:r>
        <w:t xml:space="preserve">Three handler kinds, in the order an author needs them.</w:t>
      </w:r>
    </w:p>
    <w:p>
      <w:pPr>
        <w:pStyle w:val="BasicText"/>
      </w:pPr>
      <w:r>
        <w:rPr>
          <w:b/>
        </w:rPr>
        <w:t xml:space="preserve">A job handler</w:t>
      </w:r>
      <w:r>
        <w:t xml:space="preserve">, for anything expected to take more than a few seconds:</w:t>
      </w:r>
    </w:p>
    <w:p>
      <w:pPr>
        <w:pStyle w:val="BasicTextSQL"/>
      </w:pPr>
      <w:r>
        <w:t xml:space="preserve">@route.post("/recompute")</w:t>
      </w:r>
    </w:p>
    <w:p>
      <w:pPr>
        <w:pStyle w:val="BasicTextSQL"/>
      </w:pPr>
      <w:r>
        <w:t xml:space="preserve">@job(progress=True, title="My Module - recompute")</w:t>
      </w:r>
    </w:p>
    <w:p>
      <w:pPr>
        <w:pStyle w:val="BasicTextSQL"/>
      </w:pPr>
      <w:r>
        <w:t xml:space="preserve">async def recompute(self, ctx: ModuleContext) -&gt; dict:</w:t>
      </w:r>
    </w:p>
    <w:p>
      <w:pPr>
        <w:pStyle w:val="BasicTextSQL"/>
      </w:pPr>
      <w:r>
        <w:t xml:space="preserve">    await ctx.progress.update(0.0, "Loading log")</w:t>
      </w:r>
    </w:p>
    <w:p>
      <w:pPr>
        <w:pStyle w:val="BasicTextSQL"/>
      </w:pPr>
      <w:r>
        <w:t xml:space="preserve">    async with ctx.event_log as log:</w:t>
      </w:r>
    </w:p>
    <w:p>
      <w:pPr>
        <w:pStyle w:val="BasicTextSQL"/>
      </w:pPr>
      <w:r>
        <w:t xml:space="preserve">        df = await log.pandas()</w:t>
      </w:r>
    </w:p>
    <w:p>
      <w:pPr>
        <w:pStyle w:val="BasicTextSQL"/>
      </w:pPr>
      <w:r>
        <w:t xml:space="preserve">    await ctx.progress.update(0.5, "Computing")</w:t>
      </w:r>
    </w:p>
    <w:p>
      <w:pPr>
        <w:pStyle w:val="BasicTextSQL"/>
      </w:pPr>
      <w:r>
        <w:t xml:space="preserve">    result = self._reduce(df)</w:t>
      </w:r>
    </w:p>
    <w:p>
      <w:pPr>
        <w:pStyle w:val="BasicTextSQL"/>
      </w:pPr>
      <w:r>
        <w:t xml:space="preserve">    await ctx.cache.set("result", result)</w:t>
      </w:r>
    </w:p>
    <w:p>
      <w:pPr>
        <w:pStyle w:val="BasicTextSQL"/>
      </w:pPr>
      <w:r>
        <w:t xml:space="preserve">    return result</w:t>
      </w:r>
    </w:p>
    <w:p>
      <w:pPr>
        <w:pStyle w:val="BasicText"/>
      </w:pPr>
      <w:r>
        <w:t xml:space="preserve">The route now returns a job identifier immediately, the work runs on the platform's queue, and the frontend surfaces it as a toast, a dock entry and a drawer row.</w:t>
      </w:r>
    </w:p>
    <w:p>
      <w:pPr>
        <w:pStyle w:val="BasicText"/>
      </w:pPr>
      <w:r>
        <w:rPr>
          <w:b/>
        </w:rPr>
        <w:t xml:space="preserve">An event subscription</w:t>
      </w:r>
      <w:r>
        <w:t xml:space="preserve">, to react to imports or to another module; topics are exact dotted strings with no subscriber-side wildcards. </w:t>
      </w:r>
      <w:r>
        <w:rPr>
          <w:b/>
        </w:rPr>
        <w:t xml:space="preserve">An HTTP route</w:t>
      </w:r>
      <w:r>
        <w:t xml:space="preserve">, to serve results to the panel, mounting at </w:t>
      </w:r>
      <w:r>
        <w:rPr>
          <w:rFonts w:ascii="Courier New" w:hAnsi="Courier New"/>
          <w:sz w:val="20"/>
        </w:rPr>
        <w:t xml:space="preserve">/api/v1/modules/{id}/&lt;path&gt;</w:t>
      </w:r>
      <w:r>
        <w:t xml:space="preserve"> with full FastAPI semantics. Handlers may be </w:t>
      </w:r>
      <w:r>
        <w:rPr>
          <w:rFonts w:ascii="Courier New" w:hAnsi="Courier New"/>
          <w:sz w:val="20"/>
        </w:rPr>
        <w:t xml:space="preserve">async def</w:t>
      </w:r>
      <w:r>
        <w:t xml:space="preserve"> or plain </w:t>
      </w:r>
      <w:r>
        <w:rPr>
          <w:rFonts w:ascii="Courier New" w:hAnsi="Courier New"/>
          <w:sz w:val="20"/>
        </w:rPr>
        <w:t xml:space="preserve">def</w:t>
      </w:r>
      <w:r>
        <w:t xml:space="preserve">; synchronous ones cannot block the event loop, because routes ride FastAPI's threadpool and event and job handlers are auto-wrapped by the SDK (§5.2).</w:t>
      </w:r>
    </w:p>
    <w:p>
      <w:pPr>
        <w:pStyle w:val="BasicText"/>
      </w:pPr>
      <w:r>
        <w:t xml:space="preserve">The constraint easiest to violate deserves its own sentence, because nothing enforces it: </w:t>
      </w:r>
      <w:r>
        <w:rPr>
          <w:b/>
        </w:rPr>
        <w:t xml:space="preserve">the module class is instantiated once per process, so handlers must hold no request-scoped state on `self`.</w:t>
      </w:r>
      <w:r>
        <w:t xml:space="preserve"> Caching a DataFrame or a model on the instance during one invocation and reading it in the next is a correctness bug under concurrency, and it is exactly the pattern ported research code arrives with (§6.3). State that should persist belongs in </w:t>
      </w:r>
      <w:r>
        <w:rPr>
          <w:rFonts w:ascii="Courier New" w:hAnsi="Courier New"/>
          <w:sz w:val="20"/>
        </w:rPr>
        <w:t xml:space="preserve">ctx.cache</w:t>
      </w:r>
      <w:r>
        <w:t xml:space="preserve">.</w:t>
      </w:r>
    </w:p>
    <w:p>
      <w:pPr>
        <w:pStyle w:val="Heading2"/>
      </w:pPr>
      <w:r>
        <w:t xml:space="preserve">Working with the Event Log and the Result Cache</w:t>
      </w:r>
    </w:p>
    <w:p>
      <w:pPr>
        <w:pStyle w:val="BasicText"/>
      </w:pPr>
      <w:r>
        <w:t xml:space="preserve">A handler reaches data through the context, never the filesystem, always through the async context-manager form so the platform can manage file handles and pooled connections:</w:t>
      </w:r>
    </w:p>
    <w:p>
      <w:pPr>
        <w:pStyle w:val="BasicTextSQL"/>
      </w:pPr>
      <w:r>
        <w:t xml:space="preserve">async with ctx.event_log as log:</w:t>
      </w:r>
    </w:p>
    <w:p>
      <w:pPr>
        <w:pStyle w:val="BasicTextSQL"/>
      </w:pPr>
      <w:r>
        <w:t xml:space="preserve">    rows = await log.duckdb_fetch("SELECT activity, count(*) FROM events GROUP BY 1")</w:t>
      </w:r>
    </w:p>
    <w:p>
      <w:pPr>
        <w:pStyle w:val="BasicTextSQL"/>
      </w:pPr>
      <w:r>
        <w:t xml:space="preserve">    df   = await log.polars()          # or .pandas(), .pm4py()</w:t>
      </w:r>
    </w:p>
    <w:p>
      <w:pPr>
        <w:pStyle w:val="BasicText"/>
      </w:pPr>
      <w:r>
        <w:t xml:space="preserve">Choosing among the three representations is consequential. </w:t>
      </w:r>
      <w:r>
        <w:rPr>
          <w:b/>
        </w:rPr>
        <w:t xml:space="preserve">Aggregate in the columnar engine</w:t>
      </w:r>
      <w:r>
        <w:t xml:space="preserve">: a </w:t>
      </w:r>
      <w:r>
        <w:rPr>
          <w:rFonts w:ascii="Courier New" w:hAnsi="Courier New"/>
          <w:sz w:val="20"/>
        </w:rPr>
        <w:t xml:space="preserve">GROUP BY</w:t>
      </w:r>
      <w:r>
        <w:t xml:space="preserve"> over millions of events is milliseconds in DuckDB and seconds plus a large allocation as a DataFrame. </w:t>
      </w:r>
      <w:r>
        <w:rPr>
          <w:b/>
        </w:rPr>
        <w:t xml:space="preserve">Materialise a DataFrame only when the algorithm requires DataFrame semantics</w:t>
      </w:r>
      <w:r>
        <w:t xml:space="preserve">, and reach for the PM4Py event log object only when an algorithm needs that object, because it is by far the heaviest.</w:t>
      </w:r>
    </w:p>
    <w:p>
      <w:pPr>
        <w:pStyle w:val="BasicText"/>
      </w:pPr>
      <w:r>
        <w:t xml:space="preserve">Reading a </w:t>
      </w:r>
      <w:r>
        <w:rPr>
          <w:i/>
        </w:rPr>
        <w:t xml:space="preserve">second</w:t>
      </w:r>
      <w:r>
        <w:t xml:space="preserve"> log has one sanctioned route, </w:t>
      </w:r>
      <w:r>
        <w:rPr>
          <w:rFonts w:ascii="Courier New" w:hAnsi="Courier New"/>
          <w:sz w:val="20"/>
        </w:rPr>
        <w:t xml:space="preserve">ctx.open_event_log(log_id, filters)</w:t>
      </w:r>
      <w:r>
        <w:t xml:space="preserve">, which enforces the ownership check itself and reports another user's log as not found rather than as forbidden, so its existence is never confirmed. Reaching into platform internals to open a log directly bypasses that check and is the single most damaging thing a module can do to §4.5's invariant. The </w:t>
      </w:r>
      <w:r>
        <w:rPr>
          <w:rFonts w:ascii="Courier New" w:hAnsi="Courier New"/>
          <w:sz w:val="20"/>
        </w:rPr>
        <w:t xml:space="preserve">filters</w:t>
      </w:r>
      <w:r>
        <w:t xml:space="preserve"> argument is what makes </w:t>
      </w:r>
      <w:r>
        <w:rPr>
          <w:i/>
        </w:rPr>
        <w:t xml:space="preserve">the same log twice</w:t>
      </w:r>
      <w:r>
        <w:t xml:space="preserve"> meaningful, which is why a module memoising a cross-log result must hash </w:t>
      </w:r>
      <w:r>
        <w:rPr>
          <w:b/>
        </w:rPr>
        <w:t xml:space="preserve">every</w:t>
      </w:r>
      <w:r>
        <w:t xml:space="preserve"> view's log identifier and filter into the cache key.</w:t>
      </w:r>
    </w:p>
    <w:p>
      <w:pPr>
        <w:pStyle w:val="BasicText"/>
      </w:pPr>
      <w:r>
        <w:rPr>
          <w:rFonts w:ascii="Courier New" w:hAnsi="Courier New"/>
          <w:sz w:val="20"/>
        </w:rPr>
        <w:t xml:space="preserve">ctx.cache</w:t>
      </w:r>
      <w:r>
        <w:t xml:space="preserve"> is scoped to the pair of log and module and invalidated automatically when the log is re-imported or the configuration changes. What must </w:t>
      </w:r>
      <w:r>
        <w:rPr>
          <w:b/>
        </w:rPr>
        <w:t xml:space="preserve">not</w:t>
      </w:r>
      <w:r>
        <w:t xml:space="preserve"> happen is writing results anywhere else: a module writing to a path of its own choosing has stepped outside the per-user directory layout and therefore outside tenant isolation, so the file is no longer keyed by the owning user, removed when the log is deleted, or covered by the storage budget. </w:t>
      </w:r>
      <w:r>
        <w:rPr>
          <w:rFonts w:ascii="Courier New" w:hAnsi="Courier New"/>
          <w:sz w:val="20"/>
        </w:rPr>
        <w:t xml:space="preserve">ctx.workdir</w:t>
      </w:r>
      <w:r>
        <w:t xml:space="preserve"> exists for temporary files and is removed after every invocation.</w:t>
      </w:r>
    </w:p>
    <w:p>
      <w:pPr>
        <w:pStyle w:val="Heading2"/>
      </w:pPr>
      <w:r>
        <w:t xml:space="preserve">Progress Reporting and the Readiness Gate</w:t>
      </w:r>
    </w:p>
    <w:p>
      <w:pPr>
        <w:pStyle w:val="BasicText"/>
      </w:pPr>
      <w:r>
        <w:t xml:space="preserve">Progress takes three forms, none requiring the total in advance:</w:t>
      </w:r>
    </w:p>
    <w:p>
      <w:pPr>
        <w:pStyle w:val="BasicTextSQL"/>
      </w:pPr>
      <w:r>
        <w:t xml:space="preserve">await ctx.progress.update(0.42, "Computing fitness")        # fraction -&gt; percentage bar</w:t>
      </w:r>
    </w:p>
    <w:p>
      <w:pPr>
        <w:pStyle w:val="BasicTextSQL"/>
      </w:pPr>
      <w:r>
        <w:t xml:space="preserve">await ctx.progress.update(current=4200, total=10000)        # counts  -&gt; bar plus an ETA</w:t>
      </w:r>
    </w:p>
    <w:p>
      <w:pPr>
        <w:pStyle w:val="BasicTextSQL"/>
      </w:pPr>
      <w:r>
        <w:t xml:space="preserve">await ctx.progress.update(current=processed)                # counter -&gt; "n processed"</w:t>
      </w:r>
    </w:p>
    <w:p>
      <w:pPr>
        <w:pStyle w:val="BasicText"/>
      </w:pPr>
      <w:r>
        <w:t xml:space="preserve">A float in the unit interval with no total is a fraction; an integer </w:t>
      </w:r>
      <w:r>
        <w:rPr>
          <w:rFonts w:ascii="Courier New" w:hAnsi="Courier New"/>
          <w:sz w:val="20"/>
        </w:rPr>
        <w:t xml:space="preserve">current</w:t>
      </w:r>
      <w:r>
        <w:t xml:space="preserve"> is a running counter. Reporting nothing is permitted: the job runs with an indeterminate bar and, after about three minutes of silence, a stall hint. It is a guideline rather than a gate (§4.8), but a long job should emit something live.</w:t>
      </w:r>
    </w:p>
    <w:p>
      <w:pPr>
        <w:pStyle w:val="BasicText"/>
      </w:pPr>
      <w:r>
        <w:t xml:space="preserve">Participation in the readiness gate follows from the decorators, and there is a trap. Subscribing to the import topic </w:t>
      </w:r>
      <w:r>
        <w:rPr>
          <w:b/>
        </w:rPr>
        <w:t xml:space="preserve">with a `@job`</w:t>
      </w:r>
      <w:r>
        <w:t xml:space="preserve"> places the module in the precompute closure, so a freshly imported log stays in </w:t>
      </w:r>
      <w:r>
        <w:rPr>
          <w:rFonts w:ascii="Courier New" w:hAnsi="Courier New"/>
          <w:sz w:val="20"/>
        </w:rPr>
        <w:t xml:space="preserve">processing</w:t>
      </w:r>
      <w:r>
        <w:t xml:space="preserve"> until this job reaches a terminal state (§4.8). Declaring a dependency on another module's completion event orders the two:</w:t>
      </w:r>
    </w:p>
    <w:p>
      <w:pPr>
        <w:pStyle w:val="BasicTextSQL"/>
      </w:pPr>
      <w:r>
        <w:t xml:space="preserve">@on_event("discovery.completed")</w:t>
      </w:r>
    </w:p>
    <w:p>
      <w:pPr>
        <w:pStyle w:val="BasicTextSQL"/>
      </w:pPr>
      <w:r>
        <w:t xml:space="preserve">@job(progress=True, title="My Module - overlays")</w:t>
      </w:r>
    </w:p>
    <w:p>
      <w:pPr>
        <w:pStyle w:val="BasicTextSQL"/>
      </w:pPr>
      <w:r>
        <w:t xml:space="preserve">async def precompute(self, ctx, payload): ...</w:t>
      </w:r>
    </w:p>
    <w:p>
      <w:pPr>
        <w:pStyle w:val="BasicText"/>
      </w:pPr>
      <w:r>
        <w:t xml:space="preserve">with </w:t>
      </w:r>
      <w:r>
        <w:rPr>
          <w:rFonts w:ascii="Courier New" w:hAnsi="Courier New"/>
          <w:sz w:val="20"/>
        </w:rPr>
        <w:t xml:space="preserve">consumes: [discovery.completed]</w:t>
      </w:r>
      <w:r>
        <w:t xml:space="preserve"> and </w:t>
      </w:r>
      <w:r>
        <w:rPr>
          <w:rFonts w:ascii="Courier New" w:hAnsi="Courier New"/>
          <w:sz w:val="20"/>
        </w:rPr>
        <w:t xml:space="preserve">optional_modules: [discovery]</w:t>
      </w:r>
      <w:r>
        <w:t xml:space="preserve"> in the manifest so the edge validates and appears in the jobs UI. The upstream module does nothing; the platform emits the completion event automatically.</w:t>
      </w:r>
    </w:p>
    <w:p>
      <w:pPr>
        <w:pStyle w:val="BasicText"/>
      </w:pPr>
      <w:r>
        <w:t xml:space="preserve">The trap, stated explicitly: </w:t>
      </w:r>
      <w:r>
        <w:rPr>
          <w:b/>
        </w:rPr>
        <w:t xml:space="preserve">an `@on_event` handler without a `@job` creates no job record and therefore never gates anything.</w:t>
      </w:r>
      <w:r>
        <w:t xml:space="preserve"> It is a fire-and-forget hook appropriate for a cheap cache refresh, and it appears in neither the precompute plan nor the jobs UI. An author who intends to hold a log until their analysis is ready, and omits </w:t>
      </w:r>
      <w:r>
        <w:rPr>
          <w:rFonts w:ascii="Courier New" w:hAnsi="Courier New"/>
          <w:sz w:val="20"/>
        </w:rPr>
        <w:t xml:space="preserve">@job</w:t>
      </w:r>
      <w:r>
        <w:t xml:space="preserve">, gets a log that becomes ready immediately and a panel that is empty when the user opens it.</w:t>
      </w:r>
    </w:p>
    <w:p>
      <w:pPr>
        <w:pStyle w:val="Heading2"/>
      </w:pPr>
      <w:r>
        <w:t xml:space="preserve">Contributing a Frontend Panel</w:t>
      </w:r>
    </w:p>
    <w:p>
      <w:pPr>
        <w:pStyle w:val="BasicText"/>
      </w:pPr>
      <w:r>
        <w:t xml:space="preserve">A module ships interface by declaring an entry point:</w:t>
      </w:r>
    </w:p>
    <w:p>
      <w:pPr>
        <w:pStyle w:val="BasicTextSQL"/>
      </w:pPr>
      <w:r>
        <w:t xml:space="preserve">frontend:</w:t>
      </w:r>
    </w:p>
    <w:p>
      <w:pPr>
        <w:pStyle w:val="BasicTextSQL"/>
      </w:pPr>
      <w:r>
        <w:t xml:space="preserve">  panel: ./panel/index.tsx</w:t>
      </w:r>
    </w:p>
    <w:p>
      <w:pPr>
        <w:pStyle w:val="BasicTextSQL"/>
      </w:pPr>
      <w:r>
        <w:t xml:space="preserve">  widgets:</w:t>
      </w:r>
    </w:p>
    <w:p>
      <w:pPr>
        <w:pStyle w:val="BasicTextSQL"/>
      </w:pPr>
      <w:r>
        <w:t xml:space="preserve">    - id: activity-table</w:t>
      </w:r>
    </w:p>
    <w:p>
      <w:pPr>
        <w:pStyle w:val="BasicTextSQL"/>
      </w:pPr>
      <w:r>
        <w:t xml:space="preserve">      entry: ./widgets/ActivityTable.tsx</w:t>
      </w:r>
    </w:p>
    <w:p>
      <w:pPr>
        <w:pStyle w:val="BasicText"/>
      </w:pPr>
      <w:r>
        <w:t xml:space="preserve">The panel is a React component receiving the log and module identifiers, bundled by the platform's own script outside the Next.js build (§5.7). The constraint is the </w:t>
      </w:r>
      <w:r>
        <w:rPr>
          <w:b/>
        </w:rPr>
        <w:t xml:space="preserve">allow-list of importable platform paths</w:t>
      </w:r>
      <w:r>
        <w:t xml:space="preserve">: </w:t>
      </w:r>
      <w:r>
        <w:rPr>
          <w:rFonts w:ascii="Courier New" w:hAnsi="Courier New"/>
          <w:sz w:val="20"/>
        </w:rPr>
        <w:t xml:space="preserve">@mate/module-sdk-ts</w:t>
      </w:r>
      <w:r>
        <w:t xml:space="preserve"> and the listed host paths, covering the HTTP helpers, the live-stream subscribers, formatting utilities, the shared widget and canvas kits and the drill-down helpers, and nothing else from the platform's source tree. The allow-list protects the platform's ability to refactor everything not on it, and it is a single file read by both the bundler and the runtime installer with a test asserting they never diverge.</w:t>
      </w:r>
    </w:p>
    <w:p>
      <w:pPr>
        <w:pStyle w:val="BasicText"/>
      </w:pPr>
      <w:r>
        <w:t xml:space="preserve">The symptom of ignoring it is the most common frontend obstacle for new authors and is not what they expect: the import produces a </w:t>
      </w:r>
      <w:r>
        <w:rPr>
          <w:b/>
        </w:rPr>
        <w:t xml:space="preserve">build failure, not a runtime error</w:t>
      </w:r>
      <w:r>
        <w:t xml:space="preserve">, because it is neither marked external nor resolvable within the module. This is the better failure, since it happens on the author's machine, but it is confusing to someone who has just written an import that works everywhere else in the repository.</w:t>
      </w:r>
    </w:p>
    <w:p>
      <w:pPr>
        <w:pStyle w:val="Heading2"/>
      </w:pPr>
      <w:r>
        <w:t xml:space="preserve">Testing and Verification</w:t>
      </w:r>
    </w:p>
    <w:p>
      <w:pPr>
        <w:pStyle w:val="BasicText"/>
      </w:pPr>
      <w:r>
        <w:t xml:space="preserve">Three verification layers exist, and it matters which need extra toolchains.</w:t>
      </w:r>
    </w:p>
    <w:p>
      <w:pPr>
        <w:pStyle w:val="BasicText"/>
      </w:pPr>
      <w:r>
        <w:rPr>
          <w:b/>
        </w:rPr>
        <w:t xml:space="preserve">Module-local tests</w:t>
      </w:r>
      <w:r>
        <w:t xml:space="preserve"> live in </w:t>
      </w:r>
      <w:r>
        <w:rPr>
          <w:rFonts w:ascii="Courier New" w:hAnsi="Courier New"/>
          <w:sz w:val="20"/>
        </w:rPr>
        <w:t xml:space="preserve">modules/&lt;folder&gt;/tests/</w:t>
      </w:r>
      <w:r>
        <w:t xml:space="preserve"> and run against the module's own environment. The SDK ships helpers building a fabricated </w:t>
      </w:r>
      <w:r>
        <w:rPr>
          <w:rFonts w:ascii="Courier New" w:hAnsi="Courier New"/>
          <w:sz w:val="20"/>
        </w:rPr>
        <w:t xml:space="preserve">ModuleContext</w:t>
      </w:r>
      <w:r>
        <w:t xml:space="preserve"> over a temporary log directory, so a handler can be tested with no running platform, database or Keycloak: </w:t>
      </w:r>
      <w:r>
        <w:rPr>
          <w:rFonts w:ascii="Courier New" w:hAnsi="Courier New"/>
          <w:sz w:val="20"/>
        </w:rPr>
        <w:t xml:space="preserve">uv run pytest modules/my_module/tests</w:t>
      </w:r>
      <w:r>
        <w:t xml:space="preserve">.</w:t>
      </w:r>
    </w:p>
    <w:p>
      <w:pPr>
        <w:pStyle w:val="BasicText"/>
      </w:pPr>
      <w:r>
        <w:rPr>
          <w:b/>
        </w:rPr>
        <w:t xml:space="preserve">Platform gates</w:t>
      </w:r>
      <w:r>
        <w:t xml:space="preserve"> are </w:t>
      </w:r>
      <w:r>
        <w:rPr>
          <w:rFonts w:ascii="Courier New" w:hAnsi="Courier New"/>
          <w:sz w:val="20"/>
        </w:rPr>
        <w:t xml:space="preserve">make test</w:t>
      </w:r>
      <w:r>
        <w:t xml:space="preserve"> for the API suite, </w:t>
      </w:r>
      <w:r>
        <w:rPr>
          <w:rFonts w:ascii="Courier New" w:hAnsi="Courier New"/>
          <w:sz w:val="20"/>
        </w:rPr>
        <w:t xml:space="preserve">uv run pyright</w:t>
      </w:r>
      <w:r>
        <w:t xml:space="preserve"> for strict Python typing, </w:t>
      </w:r>
      <w:r>
        <w:rPr>
          <w:rFonts w:ascii="Courier New" w:hAnsi="Courier New"/>
          <w:sz w:val="20"/>
        </w:rPr>
        <w:t xml:space="preserve">make fmt</w:t>
      </w:r>
      <w:r>
        <w:t xml:space="preserve"> for lint and formatting, and </w:t>
      </w:r>
      <w:r>
        <w:rPr>
          <w:rFonts w:ascii="Courier New" w:hAnsi="Courier New"/>
          <w:sz w:val="20"/>
        </w:rPr>
        <w:t xml:space="preserve">make typecheck</w:t>
      </w:r>
      <w:r>
        <w:t xml:space="preserve"> for the web application. The web type-check covers </w:t>
      </w:r>
      <w:r>
        <w:rPr>
          <w:rFonts w:ascii="Courier New" w:hAnsi="Courier New"/>
          <w:sz w:val="20"/>
        </w:rPr>
        <w:t xml:space="preserve">apps/web</w:t>
      </w:r>
      <w:r>
        <w:t xml:space="preserve"> and does </w:t>
      </w:r>
      <w:r>
        <w:rPr>
          <w:b/>
        </w:rPr>
        <w:t xml:space="preserve">not</w:t>
      </w:r>
      <w:r>
        <w:t xml:space="preserve"> see module panels, which must be checked separately.</w:t>
      </w:r>
    </w:p>
    <w:p>
      <w:pPr>
        <w:pStyle w:val="BasicText"/>
      </w:pPr>
      <w:r>
        <w:rPr>
          <w:b/>
        </w:rPr>
        <w:t xml:space="preserve">Cross-runtime conformance</w:t>
      </w:r>
      <w:r>
        <w:t xml:space="preserve"> applies to non-Python modules. The suite drives the same behaviours against every runtime and a golden-file test pins the exact wire messages. Its JVM cases need the Java SDK built with </w:t>
      </w:r>
      <w:r>
        <w:rPr>
          <w:rFonts w:ascii="Courier New" w:hAnsi="Courier New"/>
          <w:sz w:val="20"/>
        </w:rPr>
        <w:t xml:space="preserve">make sdk-jvm</w:t>
      </w:r>
      <w:r>
        <w:t xml:space="preserve"> and a JDK on the host, and </w:t>
      </w:r>
      <w:r>
        <w:rPr>
          <w:b/>
        </w:rPr>
        <w:t xml:space="preserve">skip cleanly</w:t>
      </w:r>
      <w:r>
        <w:t xml:space="preserve"> when neither is present.</w:t>
      </w:r>
    </w:p>
    <w:p>
      <w:pPr>
        <w:pStyle w:val="Heading2"/>
      </w:pPr>
      <w:r>
        <w:t xml:space="preserve">Packaging, Distribution, and Installation</w:t>
      </w:r>
    </w:p>
    <w:p>
      <w:pPr>
        <w:pStyle w:val="BasicText"/>
      </w:pPr>
      <w:r>
        <w:t xml:space="preserve">A finished module either </w:t>
      </w:r>
      <w:r>
        <w:rPr>
          <w:b/>
        </w:rPr>
        <w:t xml:space="preserve">lives in the repository</w:t>
      </w:r>
      <w:r>
        <w:t xml:space="preserve"> as a bundled default, committed under </w:t>
      </w:r>
      <w:r>
        <w:rPr>
          <w:rFonts w:ascii="Courier New" w:hAnsi="Courier New"/>
          <w:sz w:val="20"/>
        </w:rPr>
        <w:t xml:space="preserve">modules/</w:t>
      </w:r>
      <w:r>
        <w:t xml:space="preserve">, seeded into every user's installed set on first login and included in the platform's own test runs; or it is </w:t>
      </w:r>
      <w:r>
        <w:rPr>
          <w:b/>
        </w:rPr>
        <w:t xml:space="preserve">distributed</w:t>
      </w:r>
      <w:r>
        <w:t xml:space="preserve"> as a zip or tarball, a Git URL, or a published Python package exposing the module entry point, and imported through </w:t>
      </w:r>
      <w:r>
        <w:rPr>
          <w:b/>
        </w:rPr>
        <w:t xml:space="preserve">Settings, Modules, Import</w:t>
      </w:r>
      <w:r>
        <w:t xml:space="preserve">, with the platform unpacking into a separate uploads directory so an upload can never shadow a repository default. Either way, installation is </w:t>
      </w:r>
      <w:r>
        <w:rPr>
          <w:b/>
        </w:rPr>
        <w:t xml:space="preserve">per user and reference-counted</w:t>
      </w:r>
      <w:r>
        <w:t xml:space="preserve"> (§5.8): the code exists once, and who has it installed is per account. So updates to a distributed module are a re-import rather than a background upgrade, uninstalling is user-scoped and reversible, and no module may assume it is globally enabled.</w:t>
      </w:r>
    </w:p>
    <w:p>
      <w:pPr>
        <w:pStyle w:val="Heading2"/>
      </w:pPr>
      <w:r>
        <w:t xml:space="preserve">A Non-Python Module in Brief</w:t>
      </w:r>
    </w:p>
    <w:p>
      <w:pPr>
        <w:pStyle w:val="BasicText"/>
      </w:pPr>
      <w:r>
        <w:t xml:space="preserve">An author whose algorithm is already implemented in another language replaces the Python dependency block with a runtime declaration:</w:t>
      </w:r>
    </w:p>
    <w:p>
      <w:pPr>
        <w:pStyle w:val="BasicTextSQL"/>
      </w:pPr>
      <w:r>
        <w:t xml:space="preserve">runtime:</w:t>
      </w:r>
    </w:p>
    <w:p>
      <w:pPr>
        <w:pStyle w:val="BasicTextSQL"/>
      </w:pPr>
      <w:r>
        <w:t xml:space="preserve">  kind: jvm</w:t>
      </w:r>
    </w:p>
    <w:p>
      <w:pPr>
        <w:pStyle w:val="BasicTextSQL"/>
      </w:pPr>
      <w:r>
        <w:t xml:space="preserve">  jar: dist/my-module-all.jar</w:t>
      </w:r>
    </w:p>
    <w:p>
      <w:pPr>
        <w:pStyle w:val="BasicTextSQL"/>
      </w:pPr>
      <w:r>
        <w:t xml:space="preserve">  requires-java: 17</w:t>
      </w:r>
    </w:p>
    <w:p>
      <w:pPr>
        <w:pStyle w:val="BasicTextSQL"/>
      </w:pPr>
      <w:r>
        <w:t xml:space="preserve">  jvm-args: ["-Xmx1g"]</w:t>
      </w:r>
    </w:p>
    <w:p>
      <w:pPr>
        <w:pStyle w:val="BasicText"/>
      </w:pPr>
      <w:r>
        <w:t xml:space="preserve">The build artefact expected is a </w:t>
      </w:r>
      <w:r>
        <w:rPr>
          <w:b/>
        </w:rPr>
        <w:t xml:space="preserve">self-contained fat jar</w:t>
      </w:r>
      <w:r>
        <w:t xml:space="preserve"> inside the module folder: there is no server-side dependency resolution, so everything but the Java runtime must be bundled. Materialisation validates only that a runtime is present and new enough, that the jar exists and that it is runnable. The worker must speak the wire protocol documented in </w:t>
      </w:r>
      <w:r>
        <w:rPr>
          <w:rFonts w:ascii="Courier New" w:hAnsi="Courier New"/>
          <w:sz w:val="20"/>
        </w:rPr>
        <w:t xml:space="preserve">modules/PROTOCOL.md</w:t>
      </w:r>
      <w:r>
        <w:t xml:space="preserve">, which the platform's Java SDK implements, so an author subclasses the SDK's module type and declares handlers exactly as a Python author does. The reference implementation to copy from is </w:t>
      </w:r>
      <w:r>
        <w:rPr>
          <w:rFonts w:ascii="Courier New" w:hAnsi="Courier New"/>
          <w:sz w:val="20"/>
        </w:rPr>
        <w:t xml:space="preserve">modules/alpha_miner_java</w:t>
      </w:r>
      <w:r>
        <w:t xml:space="preserve">, whose entire module folder is a manifest, a README and a jar. §5.5 gives the design rationale and the protocol document the wire-level detail.</w:t>
      </w:r>
    </w:p>
    <w:p>
      <w:pPr>
        <w:pStyle w:val="Heading2"/>
      </w:pPr>
      <w:r>
        <w:t xml:space="preserve">Common Failure Modes</w:t>
      </w:r>
    </w:p>
    <w:p>
      <w:pPr>
        <w:pStyle w:val="BasicText"/>
      </w:pPr>
      <w:r>
        <w:t xml:space="preserve">The mistakes observed during the project, with the symptom an author actually sees.</w:t>
      </w:r>
    </w:p>
    <w:p>
      <w:pPr>
        <w:pStyle w:val="Caption"/>
      </w:pPr>
      <w:r>
        <w:t xml:space="preserve">Tab. </w:t>
      </w:r>
      <w:fldSimple w:instr=" SEQ Tab. \* ARABIC ">
        <w:r>
          <w:t>1</w:t>
        </w:r>
      </w:fldSimple>
      <w:r>
        <w:t xml:space="preserve">: </w:t>
      </w:r>
      <w:r>
        <w:t xml:space="preserve">Common authoring failure modes, their causes and remedies.</w:t>
      </w:r>
    </w:p>
    <w:tbl>
      <w:tblPr>
        <w:tblStyle w:val="TableGrid"/>
        <w:tblW w:w="8500" w:type="dxa"/>
        <w:tblLayout w:type="fixed"/>
        <w:tblLook w:val="04A0" w:firstRow="1" w:lastRow="0" w:firstColumn="1" w:lastColumn="0" w:noHBand="0" w:noVBand="1"/>
      </w:tblPr>
      <w:tblGrid>
        <w:gridCol w:w="2063"/>
        <w:gridCol w:w="2838"/>
        <w:gridCol w:w="3599"/>
      </w:tblGrid>
      <w:tr>
        <w:trPr>
          <w:tblHeader/>
        </w:trPr>
        <w:tc>
          <w:tcPr>
            <w:tcW w:w="2063" w:type="dxa"/>
            <w:shd w:val="clear" w:color="auto" w:fill="F2F2F2"/>
          </w:tcPr>
          <w:p>
            <w:pPr>
              <w:pStyle w:val="BasicTextTable"/>
            </w:pPr>
            <w:r>
              <w:rPr>
                <w:b/>
              </w:rPr>
              <w:t xml:space="preserve">Symptom</w:t>
            </w:r>
          </w:p>
        </w:tc>
        <w:tc>
          <w:tcPr>
            <w:tcW w:w="2838" w:type="dxa"/>
            <w:shd w:val="clear" w:color="auto" w:fill="F2F2F2"/>
          </w:tcPr>
          <w:p>
            <w:pPr>
              <w:pStyle w:val="BasicTextTable"/>
            </w:pPr>
            <w:r>
              <w:rPr>
                <w:b/>
              </w:rPr>
              <w:t xml:space="preserve">Cause</w:t>
            </w:r>
          </w:p>
        </w:tc>
        <w:tc>
          <w:tcPr>
            <w:tcW w:w="3599" w:type="dxa"/>
            <w:shd w:val="clear" w:color="auto" w:fill="F2F2F2"/>
          </w:tcPr>
          <w:p>
            <w:pPr>
              <w:pStyle w:val="BasicTextTable"/>
            </w:pPr>
            <w:r>
              <w:rPr>
                <w:b/>
              </w:rPr>
              <w:t xml:space="preserve">Remedy</w:t>
            </w:r>
          </w:p>
        </w:tc>
      </w:tr>
      <w:tr>
        <w:tc>
          <w:tcPr>
            <w:tcW w:w="2063" w:type="dxa"/>
          </w:tcPr>
          <w:p>
            <w:pPr>
              <w:pStyle w:val="BasicTextTable"/>
            </w:pPr>
            <w:r>
              <w:t xml:space="preserve">Module absent from Settings, Modules after a restart</w:t>
            </w:r>
          </w:p>
        </w:tc>
        <w:tc>
          <w:tcPr>
            <w:tcW w:w="2838" w:type="dxa"/>
          </w:tcPr>
          <w:p>
            <w:pPr>
              <w:pStyle w:val="BasicTextTable"/>
            </w:pPr>
            <w:r>
              <w:t xml:space="preserve">Manifest failed to parse, or the folder is not one level under </w:t>
            </w:r>
            <w:r>
              <w:rPr>
                <w:rFonts w:ascii="Courier New" w:hAnsi="Courier New"/>
                <w:sz w:val="20"/>
              </w:rPr>
              <w:t xml:space="preserve">modules/</w:t>
            </w:r>
          </w:p>
        </w:tc>
        <w:tc>
          <w:tcPr>
            <w:tcW w:w="3599" w:type="dxa"/>
          </w:tcPr>
          <w:p>
            <w:pPr>
              <w:pStyle w:val="BasicTextTable"/>
            </w:pPr>
            <w:r>
              <w:t xml:space="preserve">Read the load error on the modules page; validate the manifest before restarting</w:t>
            </w:r>
          </w:p>
        </w:tc>
      </w:tr>
      <w:tr>
        <w:tc>
          <w:tcPr>
            <w:tcW w:w="2063" w:type="dxa"/>
          </w:tcPr>
          <w:p>
            <w:pPr>
              <w:pStyle w:val="BasicTextTable"/>
            </w:pPr>
            <w:r>
              <w:t xml:space="preserve">Module marked failed to load with a resolver error</w:t>
            </w:r>
          </w:p>
        </w:tc>
        <w:tc>
          <w:tcPr>
            <w:tcW w:w="2838" w:type="dxa"/>
          </w:tcPr>
          <w:p>
            <w:pPr>
              <w:pStyle w:val="BasicTextTable"/>
            </w:pPr>
            <w:r>
              <w:t xml:space="preserve">Dependency resolution failed: a bad specifier, an unreachable index, or no wheel for the platform</w:t>
            </w:r>
          </w:p>
        </w:tc>
        <w:tc>
          <w:tcPr>
            <w:tcW w:w="3599" w:type="dxa"/>
          </w:tcPr>
          <w:p>
            <w:pPr>
              <w:pStyle w:val="BasicTextTable"/>
            </w:pPr>
            <w:r>
              <w:t xml:space="preserve">Fix the specifier. The rest of the platform is unaffected, so only this module is down</w:t>
            </w:r>
          </w:p>
        </w:tc>
      </w:tr>
      <w:tr>
        <w:tc>
          <w:tcPr>
            <w:tcW w:w="2063" w:type="dxa"/>
          </w:tcPr>
          <w:p>
            <w:pPr>
              <w:pStyle w:val="BasicTextTable"/>
            </w:pPr>
            <w:r>
              <w:t xml:space="preserve">Module loads locally and fails to import in the container</w:t>
            </w:r>
          </w:p>
        </w:tc>
        <w:tc>
          <w:tcPr>
            <w:tcW w:w="2838" w:type="dxa"/>
          </w:tcPr>
          <w:p>
            <w:pPr>
              <w:pStyle w:val="BasicTextTable"/>
            </w:pPr>
            <w:r>
              <w:t xml:space="preserve">The environment was built under a different interpreter than the platform's</w:t>
            </w:r>
          </w:p>
        </w:tc>
        <w:tc>
          <w:tcPr>
            <w:tcW w:w="3599" w:type="dxa"/>
          </w:tcPr>
          <w:p>
            <w:pPr>
              <w:pStyle w:val="BasicTextTable"/>
            </w:pPr>
            <w:r>
              <w:t xml:space="preserve">Nothing to do: the platform's Python version is part of the dependency hash, so the environment rebuilds itself (§5.3)</w:t>
            </w:r>
          </w:p>
        </w:tc>
      </w:tr>
      <w:tr>
        <w:tc>
          <w:tcPr>
            <w:tcW w:w="2063" w:type="dxa"/>
          </w:tcPr>
          <w:p>
            <w:pPr>
              <w:pStyle w:val="BasicTextTable"/>
            </w:pPr>
            <w:r>
              <w:t xml:space="preserve">Module refuses to load with a Python-version message</w:t>
            </w:r>
          </w:p>
        </w:tc>
        <w:tc>
          <w:tcPr>
            <w:tcW w:w="2838" w:type="dxa"/>
          </w:tcPr>
          <w:p>
            <w:pPr>
              <w:pStyle w:val="BasicTextTable"/>
            </w:pPr>
            <w:r>
              <w:rPr>
                <w:rFonts w:ascii="Courier New" w:hAnsi="Courier New"/>
                <w:sz w:val="20"/>
              </w:rPr>
              <w:t xml:space="preserve">requires-python</w:t>
            </w:r>
            <w:r>
              <w:t xml:space="preserve"> excludes the platform's interpreter, and the module is </w:t>
            </w:r>
            <w:r>
              <w:rPr>
                <w:rFonts w:ascii="Courier New" w:hAnsi="Courier New"/>
                <w:sz w:val="20"/>
              </w:rPr>
              <w:t xml:space="preserve">in_process</w:t>
            </w:r>
          </w:p>
        </w:tc>
        <w:tc>
          <w:tcPr>
            <w:tcW w:w="3599" w:type="dxa"/>
          </w:tcPr>
          <w:p>
            <w:pPr>
              <w:pStyle w:val="BasicTextTable"/>
            </w:pPr>
            <w:r>
              <w:t xml:space="preserve">Either drop the constraint, since the platform pins the interpreter, or switch to </w:t>
            </w:r>
            <w:r>
              <w:rPr>
                <w:rFonts w:ascii="Courier New" w:hAnsi="Courier New"/>
                <w:sz w:val="20"/>
              </w:rPr>
              <w:t xml:space="preserve">subprocess</w:t>
            </w:r>
            <w:r>
              <w:t xml:space="preserve"> if a different version is genuinely needed (§8.3)</w:t>
            </w:r>
          </w:p>
        </w:tc>
      </w:tr>
      <w:tr>
        <w:tc>
          <w:tcPr>
            <w:tcW w:w="2063" w:type="dxa"/>
          </w:tcPr>
          <w:p>
            <w:pPr>
              <w:pStyle w:val="BasicTextTable"/>
            </w:pPr>
            <w:r>
              <w:t xml:space="preserve">Panel does not build</w:t>
            </w:r>
          </w:p>
        </w:tc>
        <w:tc>
          <w:tcPr>
            <w:tcW w:w="2838" w:type="dxa"/>
          </w:tcPr>
          <w:p>
            <w:pPr>
              <w:pStyle w:val="BasicTextTable"/>
            </w:pPr>
            <w:r>
              <w:t xml:space="preserve">An import outside the allow-list</w:t>
            </w:r>
          </w:p>
        </w:tc>
        <w:tc>
          <w:tcPr>
            <w:tcW w:w="3599" w:type="dxa"/>
          </w:tcPr>
          <w:p>
            <w:pPr>
              <w:pStyle w:val="BasicTextTable"/>
            </w:pPr>
            <w:r>
              <w:t xml:space="preserve">Import from </w:t>
            </w:r>
            <w:r>
              <w:rPr>
                <w:rFonts w:ascii="Courier New" w:hAnsi="Courier New"/>
                <w:sz w:val="20"/>
              </w:rPr>
              <w:t xml:space="preserve">@mate/module-sdk-ts</w:t>
            </w:r>
            <w:r>
              <w:t xml:space="preserve"> or a listed host path only. This is a </w:t>
            </w:r>
            <w:r>
              <w:rPr>
                <w:b/>
              </w:rPr>
              <w:t xml:space="preserve">build</w:t>
            </w:r>
            <w:r>
              <w:t xml:space="preserve"> error, not a runtime one (§8.7)</w:t>
            </w:r>
          </w:p>
        </w:tc>
      </w:tr>
      <w:tr>
        <w:tc>
          <w:tcPr>
            <w:tcW w:w="2063" w:type="dxa"/>
          </w:tcPr>
          <w:p>
            <w:pPr>
              <w:pStyle w:val="BasicTextTable"/>
            </w:pPr>
            <w:r>
              <w:t xml:space="preserve">A registry call or an event never arrives</w:t>
            </w:r>
          </w:p>
        </w:tc>
        <w:tc>
          <w:tcPr>
            <w:tcW w:w="2838" w:type="dxa"/>
          </w:tcPr>
          <w:p>
            <w:pPr>
              <w:pStyle w:val="BasicTextTable"/>
            </w:pPr>
            <w:r>
              <w:t xml:space="preserve">The module is not installed for </w:t>
            </w:r>
            <w:r>
              <w:rPr>
                <w:i/>
              </w:rPr>
              <w:t xml:space="preserve">this</w:t>
            </w:r>
            <w:r>
              <w:t xml:space="preserve"> user, or the topic is undeclared</w:t>
            </w:r>
          </w:p>
        </w:tc>
        <w:tc>
          <w:tcPr>
            <w:tcW w:w="3599" w:type="dxa"/>
          </w:tcPr>
          <w:p>
            <w:pPr>
              <w:pStyle w:val="BasicTextTable"/>
            </w:pPr>
            <w:r>
              <w:t xml:space="preserve">No module may assume it is globally enabled (§5.8); declare every topic in </w:t>
            </w:r>
            <w:r>
              <w:rPr>
                <w:rFonts w:ascii="Courier New" w:hAnsi="Courier New"/>
                <w:sz w:val="20"/>
              </w:rPr>
              <w:t xml:space="preserve">provides</w:t>
            </w:r>
            <w:r>
              <w:t xml:space="preserve"> or </w:t>
            </w:r>
            <w:r>
              <w:rPr>
                <w:rFonts w:ascii="Courier New" w:hAnsi="Courier New"/>
                <w:sz w:val="20"/>
              </w:rPr>
              <w:t xml:space="preserve">consumes</w:t>
            </w:r>
          </w:p>
        </w:tc>
      </w:tr>
      <w:tr>
        <w:tc>
          <w:tcPr>
            <w:tcW w:w="2063" w:type="dxa"/>
          </w:tcPr>
          <w:p>
            <w:pPr>
              <w:pStyle w:val="BasicTextTable"/>
            </w:pPr>
            <w:r>
              <w:t xml:space="preserve">An event reaches other users' sessions</w:t>
            </w:r>
          </w:p>
        </w:tc>
        <w:tc>
          <w:tcPr>
            <w:tcW w:w="2838" w:type="dxa"/>
          </w:tcPr>
          <w:p>
            <w:pPr>
              <w:pStyle w:val="BasicTextTable"/>
            </w:pPr>
            <w:r>
              <w:t xml:space="preserve">The emitted envelope omits </w:t>
            </w:r>
            <w:r>
              <w:rPr>
                <w:rFonts w:ascii="Courier New" w:hAnsi="Courier New"/>
                <w:sz w:val="20"/>
              </w:rPr>
              <w:t xml:space="preserve">user_id</w:t>
            </w:r>
          </w:p>
        </w:tc>
        <w:tc>
          <w:tcPr>
            <w:tcW w:w="3599" w:type="dxa"/>
          </w:tcPr>
          <w:p>
            <w:pPr>
              <w:pStyle w:val="BasicTextTable"/>
            </w:pPr>
            <w:r>
              <w:t xml:space="preserve">Always include the tenant claim. The omission is silent: nothing crashes and nothing warns (§4.5)</w:t>
            </w:r>
          </w:p>
        </w:tc>
      </w:tr>
      <w:tr>
        <w:tc>
          <w:tcPr>
            <w:tcW w:w="2063" w:type="dxa"/>
          </w:tcPr>
          <w:p>
            <w:pPr>
              <w:pStyle w:val="BasicTextTable"/>
            </w:pPr>
            <w:r>
              <w:t xml:space="preserve">The log becomes ready before the analysis has run</w:t>
            </w:r>
          </w:p>
        </w:tc>
        <w:tc>
          <w:tcPr>
            <w:tcW w:w="2838" w:type="dxa"/>
          </w:tcPr>
          <w:p>
            <w:pPr>
              <w:pStyle w:val="BasicTextTable"/>
            </w:pPr>
            <w:r>
              <w:t xml:space="preserve">The import subscription has no </w:t>
            </w:r>
            <w:r>
              <w:rPr>
                <w:rFonts w:ascii="Courier New" w:hAnsi="Courier New"/>
                <w:sz w:val="20"/>
              </w:rPr>
              <w:t xml:space="preserve">@job</w:t>
            </w:r>
            <w:r>
              <w:t xml:space="preserve">, so it creates no job record and gates nothing</w:t>
            </w:r>
          </w:p>
        </w:tc>
        <w:tc>
          <w:tcPr>
            <w:tcW w:w="3599" w:type="dxa"/>
          </w:tcPr>
          <w:p>
            <w:pPr>
              <w:pStyle w:val="BasicTextTable"/>
            </w:pPr>
            <w:r>
              <w:t xml:space="preserve">Stack </w:t>
            </w:r>
            <w:r>
              <w:rPr>
                <w:rFonts w:ascii="Courier New" w:hAnsi="Courier New"/>
                <w:sz w:val="20"/>
              </w:rPr>
              <w:t xml:space="preserve">@job</w:t>
            </w:r>
            <w:r>
              <w:t xml:space="preserve"> on the </w:t>
            </w:r>
            <w:r>
              <w:rPr>
                <w:rFonts w:ascii="Courier New" w:hAnsi="Courier New"/>
                <w:sz w:val="20"/>
              </w:rPr>
              <w:t xml:space="preserve">@on_event</w:t>
            </w:r>
            <w:r>
              <w:t xml:space="preserve"> handler (§8.6)</w:t>
            </w:r>
          </w:p>
        </w:tc>
      </w:tr>
      <w:tr>
        <w:tc>
          <w:tcPr>
            <w:tcW w:w="2063" w:type="dxa"/>
          </w:tcPr>
          <w:p>
            <w:pPr>
              <w:pStyle w:val="BasicTextTable"/>
            </w:pPr>
            <w:r>
              <w:t xml:space="preserve">A log stays in </w:t>
            </w:r>
            <w:r>
              <w:rPr>
                <w:rFonts w:ascii="Courier New" w:hAnsi="Courier New"/>
                <w:sz w:val="20"/>
              </w:rPr>
              <w:t xml:space="preserve">processing</w:t>
            </w:r>
            <w:r>
              <w:t xml:space="preserve"> indefinitely</w:t>
            </w:r>
          </w:p>
        </w:tc>
        <w:tc>
          <w:tcPr>
            <w:tcW w:w="2838" w:type="dxa"/>
          </w:tcPr>
          <w:p>
            <w:pPr>
              <w:pStyle w:val="BasicTextTable"/>
            </w:pPr>
            <w:r>
              <w:t xml:space="preserve">A precompute job neither succeeds nor fails, for instance an infinite loop</w:t>
            </w:r>
          </w:p>
        </w:tc>
        <w:tc>
          <w:tcPr>
            <w:tcW w:w="3599" w:type="dxa"/>
          </w:tcPr>
          <w:p>
            <w:pPr>
              <w:pStyle w:val="BasicTextTable"/>
            </w:pPr>
            <w:r>
              <w:t xml:space="preserve">The job execution timeout force-stops it; the gate then releases, because any terminal status counts (§4.8)</w:t>
            </w:r>
          </w:p>
        </w:tc>
      </w:tr>
      <w:tr>
        <w:tc>
          <w:tcPr>
            <w:tcW w:w="2063" w:type="dxa"/>
          </w:tcPr>
          <w:p>
            <w:pPr>
              <w:pStyle w:val="BasicTextTable"/>
            </w:pPr>
            <w:r>
              <w:t xml:space="preserve">Results appear for the wrong filtered view</w:t>
            </w:r>
          </w:p>
        </w:tc>
        <w:tc>
          <w:tcPr>
            <w:tcW w:w="2838" w:type="dxa"/>
          </w:tcPr>
          <w:p>
            <w:pPr>
              <w:pStyle w:val="BasicTextTable"/>
            </w:pPr>
            <w:r>
              <w:t xml:space="preserve">A cross-log result was memoised without hashing every view's filter into the key</w:t>
            </w:r>
          </w:p>
        </w:tc>
        <w:tc>
          <w:tcPr>
            <w:tcW w:w="3599" w:type="dxa"/>
          </w:tcPr>
          <w:p>
            <w:pPr>
              <w:pStyle w:val="BasicTextTable"/>
            </w:pPr>
            <w:r>
              <w:t xml:space="preserve">Include each view's </w:t>
            </w:r>
            <w:r>
              <w:rPr>
                <w:rFonts w:ascii="Courier New" w:hAnsi="Courier New"/>
                <w:sz w:val="20"/>
              </w:rPr>
              <w:t xml:space="preserve">(log_id, filter)</w:t>
            </w:r>
            <w:r>
              <w:t xml:space="preserve"> pair in the cache key (§8.5)</w:t>
            </w:r>
          </w:p>
        </w:tc>
      </w:tr>
      <w:tr>
        <w:tc>
          <w:tcPr>
            <w:tcW w:w="2063" w:type="dxa"/>
          </w:tcPr>
          <w:p>
            <w:pPr>
              <w:pStyle w:val="BasicTextTable"/>
            </w:pPr>
            <w:r>
              <w:t xml:space="preserve">Intermittent wrong results under concurrent use</w:t>
            </w:r>
          </w:p>
        </w:tc>
        <w:tc>
          <w:tcPr>
            <w:tcW w:w="2838" w:type="dxa"/>
          </w:tcPr>
          <w:p>
            <w:pPr>
              <w:pStyle w:val="BasicTextTable"/>
            </w:pPr>
            <w:r>
              <w:t xml:space="preserve">Request-scoped state held on the module instance, which exists once per process</w:t>
            </w:r>
          </w:p>
        </w:tc>
        <w:tc>
          <w:tcPr>
            <w:tcW w:w="3599" w:type="dxa"/>
          </w:tcPr>
          <w:p>
            <w:pPr>
              <w:pStyle w:val="BasicTextTable"/>
            </w:pPr>
            <w:r>
              <w:t xml:space="preserve">Keep per-invocation state in local variables and persistent state in </w:t>
            </w:r>
            <w:r>
              <w:rPr>
                <w:rFonts w:ascii="Courier New" w:hAnsi="Courier New"/>
                <w:sz w:val="20"/>
              </w:rPr>
              <w:t xml:space="preserve">ctx.cache</w:t>
            </w:r>
            <w:r>
              <w:t xml:space="preserve"> (§8.4)</w:t>
            </w:r>
          </w:p>
        </w:tc>
      </w:tr>
    </w:tbl>
    <w:p>
      <w:pPr>
        <w:pStyle w:val="BasicText"/>
      </w:pPr>
    </w:p>
    <w:p>
      <w:pPr>
        <w:pStyle w:val="Heading2"/>
      </w:pPr>
      <w:r>
        <w:t xml:space="preserve">What the Walkthrough Demonstrates</w:t>
      </w:r>
    </w:p>
    <w:p>
      <w:pPr>
        <w:pStyle w:val="BasicText"/>
      </w:pPr>
      <w:r>
        <w:t xml:space="preserve">Read back as evidence, the chapter is a claim about how much platform knowledge the contract requires, and the claim can be made precise.</w:t>
      </w:r>
    </w:p>
    <w:p>
      <w:pPr>
        <w:pStyle w:val="BasicText"/>
      </w:pPr>
      <w:r>
        <w:rPr>
          <w:b/>
        </w:rPr>
        <w:t xml:space="preserve">The minimal module is two files and about fifteen lines.</w:t>
      </w:r>
      <w:r>
        <w:t xml:space="preserve"> No registration, no dependency injection, no lifecycle hooks, no build step.</w:t>
      </w:r>
    </w:p>
    <w:p>
      <w:pPr>
        <w:pStyle w:val="BasicText"/>
      </w:pPr>
      <w:r>
        <w:rPr>
          <w:b/>
        </w:rPr>
        <w:t xml:space="preserve">The concepts an author must learn are enumerable.</w:t>
      </w:r>
      <w:r>
        <w:t xml:space="preserve"> Nine: the manifest as registration; one base class instantiated once per process; three handler decorators; the context object; the isolation decision rule; the cache as the only sanctioned result store; progress as optional; the readiness gate and its </w:t>
      </w:r>
      <w:r>
        <w:rPr>
          <w:rFonts w:ascii="Courier New" w:hAnsi="Courier New"/>
          <w:sz w:val="20"/>
        </w:rPr>
        <w:t xml:space="preserve">@job</w:t>
      </w:r>
      <w:r>
        <w:t xml:space="preserve"> requirement; and the panel allow-list. That fits on a page, which was objective O2.</w:t>
      </w:r>
    </w:p>
    <w:p>
      <w:pPr>
        <w:pStyle w:val="BasicText"/>
      </w:pPr>
      <w:r>
        <w:rPr>
          <w:b/>
        </w:rPr>
        <w:t xml:space="preserve">What the SDK absorbs</w:t>
      </w:r>
      <w:r>
        <w:t xml:space="preserve"> is substantial and mostly invisible: sync-to-async wrapping, dependency resolution and isolation, environment creation and caching, route mounting and namespacing, job persistence and progress streaming, cache scoping and invalidation, tenant keying of every artefact, panel bundling and runtime sharing, and the entire worker bridge for non-Python modules.</w:t>
      </w:r>
    </w:p>
    <w:p>
      <w:pPr>
        <w:pStyle w:val="BasicText"/>
      </w:pPr>
      <w:r>
        <w:rPr>
          <w:b/>
        </w:rPr>
        <w:t xml:space="preserve">Where the abstraction still leaks</w:t>
      </w:r>
      <w:r>
        <w:t xml:space="preserve"> should be stated with the same directness. Four leaks appear in this chapter alone. The once-per-process rule is a correctness constraint the type system does not express and that ported code routinely violates. The gate-versus-selector distinction for </w:t>
      </w:r>
      <w:r>
        <w:rPr>
          <w:rFonts w:ascii="Courier New" w:hAnsi="Courier New"/>
          <w:sz w:val="20"/>
        </w:rPr>
        <w:t xml:space="preserve">requires-python</w:t>
      </w:r>
      <w:r>
        <w:t xml:space="preserve"> is a platform implementation detail an author must nonetheless understand. The </w:t>
      </w:r>
      <w:r>
        <w:rPr>
          <w:rFonts w:ascii="Courier New" w:hAnsi="Courier New"/>
          <w:sz w:val="20"/>
        </w:rPr>
        <w:t xml:space="preserve">@on_event</w:t>
      </w:r>
      <w:r>
        <w:t xml:space="preserve">-without-</w:t>
      </w:r>
      <w:r>
        <w:rPr>
          <w:rFonts w:ascii="Courier New" w:hAnsi="Courier New"/>
          <w:sz w:val="20"/>
        </w:rPr>
        <w:t xml:space="preserve">@job</w:t>
      </w:r>
      <w:r>
        <w:t xml:space="preserve"> trap has a silent failure mode. And the panel allow-list surfaces as a build error whose message does not name the allow-list. Each is documented, none is enforced, and all four are carried into §10.4 as qualifications on the extensibility claim.</w:t>
      </w:r>
    </w:p>
    <w:p>
      <w:pPr>
        <w:pStyle w:val="Heading1"/>
      </w:pPr>
      <w:r>
        <w:t xml:space="preserve">Project Organisation</w:t>
      </w:r>
    </w:p>
    <w:p>
      <w:pPr>
        <w:pStyle w:val="Heading2"/>
      </w:pPr>
      <w:r>
        <w:t xml:space="preserve">Team, Roles, and Working Model</w:t>
      </w:r>
    </w:p>
    <w:p>
      <w:pPr>
        <w:pStyle w:val="BasicText"/>
      </w:pPr>
      <w:r>
        <w:t xml:space="preserve">Development was organised around four areas of responsibility under a common project-management and communication structure: </w:t>
      </w:r>
      <w:r>
        <w:rPr>
          <w:b/>
        </w:rPr>
        <w:t xml:space="preserve">Development</w:t>
      </w:r>
      <w:r>
        <w:t xml:space="preserve">, </w:t>
      </w:r>
      <w:r>
        <w:rPr>
          <w:b/>
        </w:rPr>
        <w:t xml:space="preserve">UI and Design</w:t>
      </w:r>
      <w:r>
        <w:t xml:space="preserve">, </w:t>
      </w:r>
      <w:r>
        <w:rPr>
          <w:b/>
        </w:rPr>
        <w:t xml:space="preserve">Integration and Architecture</w:t>
      </w:r>
      <w:r>
        <w:t xml:space="preserve">, and </w:t>
      </w:r>
      <w:r>
        <w:rPr>
          <w:b/>
        </w:rPr>
        <w:t xml:space="preserve">Documentation</w:t>
      </w:r>
      <w:r>
        <w:t xml:space="preserve">. Each area was assigned to one or two team members who took ownership of its progress.</w:t>
      </w:r>
    </w:p>
    <w:p>
      <w:pPr>
        <w:pStyle w:val="BasicText"/>
      </w:pPr>
      <w:r>
        <w:t xml:space="preserve">The model chosen was ownership without exclusivity. A strict division of labour would have produced clean accountability and a bad system: the module contract is exactly the kind of artefact that degrades when the person designing it is not also the person who has to satisfy it. A wholly flat model would have left the cross-cutting concerns, isolation, the deployment, the documentation, belonging to nobody in particular, which is the standard way such concerns rot. The compromise was that being responsible for an area meant </w:t>
      </w:r>
      <w:r>
        <w:rPr>
          <w:b/>
        </w:rPr>
        <w:t xml:space="preserve">coordinating and driving it rather than working on it in isolation</w:t>
      </w:r>
      <w:r>
        <w:t xml:space="preserve">, with members supporting one another across boundaries wherever needed.</w:t>
      </w:r>
    </w:p>
    <w:p>
      <w:pPr>
        <w:pStyle w:val="BasicText"/>
      </w:pPr>
      <w:r>
        <w:t xml:space="preserve">Communication used two complementary channels: </w:t>
      </w:r>
      <w:r>
        <w:rPr>
          <w:b/>
        </w:rPr>
        <w:t xml:space="preserve">Microsoft Teams</w:t>
      </w:r>
      <w:r>
        <w:t xml:space="preserve"> as the central hub for structured collaboration, document exchange and contact with the supervisors, and </w:t>
      </w:r>
      <w:r>
        <w:rPr>
          <w:b/>
        </w:rPr>
        <w:t xml:space="preserve">WhatsApp</w:t>
      </w:r>
      <w:r>
        <w:t xml:space="preserve"> for quick, informal coordination within the team. Concentrating document exchange and supervisor communication in one environment kept the current state of the work transparent to everyone involved. The meeting rhythm had two recurring touchpoints: a </w:t>
      </w:r>
      <w:r>
        <w:rPr>
          <w:b/>
        </w:rPr>
        <w:t xml:space="preserve">weekly internal meeting</w:t>
      </w:r>
      <w:r>
        <w:t xml:space="preserve"> reviewing the state of each area and resolving open questions, and a </w:t>
      </w:r>
      <w:r>
        <w:rPr>
          <w:b/>
        </w:rPr>
        <w:t xml:space="preserve">weekly lunch</w:t>
      </w:r>
      <w:r>
        <w:t xml:space="preserve"> as a more formal occasion to stay connected as a whole team and keep supervisors and requirements up to date.</w:t>
      </w:r>
    </w:p>
    <w:p>
      <w:pPr>
        <w:pStyle w:val="Heading2"/>
      </w:pPr>
      <w:r>
        <w:t xml:space="preserve">Timeline and Milestones</w:t>
      </w:r>
    </w:p>
    <w:p>
      <w:pPr>
        <w:pStyle w:val="BasicText"/>
      </w:pPr>
      <w:r>
        <w:t xml:space="preserve">The project ran from mid-April to the beginning of August 2026. The repository records 90 commits over that period, and the milestones below are read from it rather than from a plan document, so they record when a capability actually landed rather than when it was scheduled.</w:t>
      </w:r>
    </w:p>
    <w:tbl>
      <w:tblPr>
        <w:tblStyle w:val="TableGrid"/>
        <w:tblW w:w="8500" w:type="dxa"/>
        <w:tblLayout w:type="fixed"/>
        <w:tblLook w:val="04A0"/>
      </w:tblPr>
      <w:tblGrid>
        <w:gridCol w:w="8500"/>
      </w:tblGrid>
      <w:tr>
        <w:tc>
          <w:tcPr>
            <w:tcW w:w="8500" w:type="dxa"/>
            <w:shd w:val="clear" w:color="auto" w:fill="F7F7F7"/>
          </w:tcPr>
          <w:p>
            <w:pPr>
              <w:pStyle w:val="BasicTextTable"/>
            </w:pPr>
            <w:r>
              <w:rPr>
                <w:b/>
              </w:rPr>
              <w:t xml:space="preserve">[ARTWORK TO BE INSERTED] </w:t>
            </w:r>
            <w:r>
              <w:t xml:space="preserve">DIAGRAM (timeline). Horizontal axis from 2026-04-17 to 2026-08-03. Plot the milestones from the table below as labelled markers. Optionally overlay commit frequency per week as a light bar series behind the markers, which shows the two activity peaks in mid-June and mid-July. Keep it to one row of markers plus the bar series; a full Gantt with per-area swimlanes would need effort data the repository does not contain.</w:t>
            </w:r>
          </w:p>
        </w:tc>
      </w:tr>
    </w:tbl>
    <w:p>
      <w:pPr>
        <w:pStyle w:val="Caption"/>
      </w:pPr>
      <w:r>
        <w:t xml:space="preserve">Fig. </w:t>
      </w:r>
      <w:fldSimple w:instr=" SEQ Fig. \* ARABIC ">
        <w:r>
          <w:t>1</w:t>
        </w:r>
      </w:fldSimple>
      <w:r>
        <w:t xml:space="preserve">: </w:t>
      </w:r>
      <w:r>
        <w:t xml:space="preserve">Project timeline from repository history, April to August 2026.</w:t>
      </w:r>
    </w:p>
    <w:p>
      <w:pPr>
        <w:pStyle w:val="Caption"/>
      </w:pPr>
      <w:r>
        <w:t xml:space="preserve">Tab. </w:t>
      </w:r>
      <w:fldSimple w:instr=" SEQ Tab. \* ARABIC ">
        <w:r>
          <w:t>1</w:t>
        </w:r>
      </w:fldSimple>
      <w:r>
        <w:t xml:space="preserve">: </w:t>
      </w:r>
      <w:r>
        <w:t xml:space="preserve">Milestones and their actual completion, from repository history.</w:t>
      </w:r>
    </w:p>
    <w:tbl>
      <w:tblPr>
        <w:tblStyle w:val="TableGrid"/>
        <w:tblW w:w="8500" w:type="dxa"/>
        <w:tblLayout w:type="fixed"/>
        <w:tblLook w:val="04A0" w:firstRow="1" w:lastRow="0" w:firstColumn="1" w:lastColumn="0" w:noHBand="0" w:noVBand="1"/>
      </w:tblPr>
      <w:tblGrid>
        <w:gridCol w:w="1658"/>
        <w:gridCol w:w="6842"/>
      </w:tblGrid>
      <w:tr>
        <w:trPr>
          <w:tblHeader/>
        </w:trPr>
        <w:tc>
          <w:tcPr>
            <w:tcW w:w="1658" w:type="dxa"/>
            <w:shd w:val="clear" w:color="auto" w:fill="F2F2F2"/>
          </w:tcPr>
          <w:p>
            <w:pPr>
              <w:pStyle w:val="BasicTextTable"/>
            </w:pPr>
            <w:r>
              <w:rPr>
                <w:b/>
              </w:rPr>
              <w:t xml:space="preserve">Date</w:t>
            </w:r>
          </w:p>
        </w:tc>
        <w:tc>
          <w:tcPr>
            <w:tcW w:w="6842" w:type="dxa"/>
            <w:shd w:val="clear" w:color="auto" w:fill="F2F2F2"/>
          </w:tcPr>
          <w:p>
            <w:pPr>
              <w:pStyle w:val="BasicTextTable"/>
            </w:pPr>
            <w:r>
              <w:rPr>
                <w:b/>
              </w:rPr>
              <w:t xml:space="preserve">Milestone</w:t>
            </w:r>
          </w:p>
        </w:tc>
      </w:tr>
      <w:tr>
        <w:tc>
          <w:tcPr>
            <w:tcW w:w="1658" w:type="dxa"/>
          </w:tcPr>
          <w:p>
            <w:pPr>
              <w:pStyle w:val="BasicTextTable"/>
            </w:pPr>
            <w:r>
              <w:t xml:space="preserve">2026-04-17</w:t>
            </w:r>
          </w:p>
        </w:tc>
        <w:tc>
          <w:tcPr>
            <w:tcW w:w="6842" w:type="dxa"/>
          </w:tcPr>
          <w:p>
            <w:pPr>
              <w:pStyle w:val="BasicTextTable"/>
            </w:pPr>
            <w:r>
              <w:t xml:space="preserve">Repository initialised; platform skeleton</w:t>
            </w:r>
          </w:p>
        </w:tc>
      </w:tr>
      <w:tr>
        <w:tc>
          <w:tcPr>
            <w:tcW w:w="1658" w:type="dxa"/>
          </w:tcPr>
          <w:p>
            <w:pPr>
              <w:pStyle w:val="BasicTextTable"/>
            </w:pPr>
            <w:r>
              <w:t xml:space="preserve">2026-06-02</w:t>
            </w:r>
          </w:p>
        </w:tc>
        <w:tc>
          <w:tcPr>
            <w:tcW w:w="6842" w:type="dxa"/>
          </w:tcPr>
          <w:p>
            <w:pPr>
              <w:pStyle w:val="BasicTextTable"/>
            </w:pPr>
            <w:r>
              <w:t xml:space="preserve">Containerised stack stabilised (Keycloak health check)</w:t>
            </w:r>
          </w:p>
        </w:tc>
      </w:tr>
      <w:tr>
        <w:tc>
          <w:tcPr>
            <w:tcW w:w="1658" w:type="dxa"/>
          </w:tcPr>
          <w:p>
            <w:pPr>
              <w:pStyle w:val="BasicTextTable"/>
            </w:pPr>
            <w:r>
              <w:t xml:space="preserve">2026-06-05</w:t>
            </w:r>
          </w:p>
        </w:tc>
        <w:tc>
          <w:tcPr>
            <w:tcW w:w="6842" w:type="dxa"/>
          </w:tcPr>
          <w:p>
            <w:pPr>
              <w:pStyle w:val="BasicTextTable"/>
            </w:pPr>
            <w:r>
              <w:t xml:space="preserve">Authentication working end to end; OCEL ingest</w:t>
            </w:r>
          </w:p>
        </w:tc>
      </w:tr>
      <w:tr>
        <w:tc>
          <w:tcPr>
            <w:tcW w:w="1658" w:type="dxa"/>
          </w:tcPr>
          <w:p>
            <w:pPr>
              <w:pStyle w:val="BasicTextTable"/>
            </w:pPr>
            <w:r>
              <w:t xml:space="preserve">2026-06-07</w:t>
            </w:r>
          </w:p>
        </w:tc>
        <w:tc>
          <w:tcPr>
            <w:tcW w:w="6842" w:type="dxa"/>
          </w:tcPr>
          <w:p>
            <w:pPr>
              <w:pStyle w:val="BasicTextTable"/>
            </w:pPr>
            <w:r>
              <w:t xml:space="preserve">Dashboards</w:t>
            </w:r>
          </w:p>
        </w:tc>
      </w:tr>
      <w:tr>
        <w:tc>
          <w:tcPr>
            <w:tcW w:w="1658" w:type="dxa"/>
          </w:tcPr>
          <w:p>
            <w:pPr>
              <w:pStyle w:val="BasicTextTable"/>
            </w:pPr>
            <w:r>
              <w:t xml:space="preserve">2026-06-09</w:t>
            </w:r>
          </w:p>
        </w:tc>
        <w:tc>
          <w:tcPr>
            <w:tcW w:w="6842" w:type="dxa"/>
          </w:tcPr>
          <w:p>
            <w:pPr>
              <w:pStyle w:val="BasicTextTable"/>
            </w:pPr>
            <w:r>
              <w:t xml:space="preserve">Object-centric discovery</w:t>
            </w:r>
          </w:p>
        </w:tc>
      </w:tr>
      <w:tr>
        <w:tc>
          <w:tcPr>
            <w:tcW w:w="1658" w:type="dxa"/>
          </w:tcPr>
          <w:p>
            <w:pPr>
              <w:pStyle w:val="BasicTextTable"/>
            </w:pPr>
            <w:r>
              <w:t xml:space="preserve">2026-06-15</w:t>
            </w:r>
          </w:p>
        </w:tc>
        <w:tc>
          <w:tcPr>
            <w:tcW w:w="6842" w:type="dxa"/>
          </w:tcPr>
          <w:p>
            <w:pPr>
              <w:pStyle w:val="BasicTextTable"/>
            </w:pPr>
            <w:r>
              <w:t xml:space="preserve">Integrated assistant, first version</w:t>
            </w:r>
          </w:p>
        </w:tc>
      </w:tr>
      <w:tr>
        <w:tc>
          <w:tcPr>
            <w:tcW w:w="1658" w:type="dxa"/>
          </w:tcPr>
          <w:p>
            <w:pPr>
              <w:pStyle w:val="BasicTextTable"/>
            </w:pPr>
            <w:r>
              <w:t xml:space="preserve">2026-06-17</w:t>
            </w:r>
          </w:p>
        </w:tc>
        <w:tc>
          <w:tcPr>
            <w:tcW w:w="6842" w:type="dxa"/>
          </w:tcPr>
          <w:p>
            <w:pPr>
              <w:pStyle w:val="BasicTextTable"/>
            </w:pPr>
            <w:r>
              <w:rPr>
                <w:b/>
              </w:rPr>
              <w:t xml:space="preserve">Migration to Server-Sent Events</w:t>
            </w:r>
            <w:r>
              <w:t xml:space="preserve">; admin insights; watched folders; object-storage backend, first version</w:t>
            </w:r>
          </w:p>
        </w:tc>
      </w:tr>
      <w:tr>
        <w:tc>
          <w:tcPr>
            <w:tcW w:w="1658" w:type="dxa"/>
          </w:tcPr>
          <w:p>
            <w:pPr>
              <w:pStyle w:val="BasicTextTable"/>
            </w:pPr>
            <w:r>
              <w:t xml:space="preserve">2026-06-21</w:t>
            </w:r>
          </w:p>
        </w:tc>
        <w:tc>
          <w:tcPr>
            <w:tcW w:w="6842" w:type="dxa"/>
          </w:tcPr>
          <w:p>
            <w:pPr>
              <w:pStyle w:val="BasicTextTable"/>
            </w:pPr>
            <w:r>
              <w:t xml:space="preserve">First externally contributed module (</w:t>
            </w:r>
            <w:r>
              <w:rPr>
                <w:rFonts w:ascii="Courier New" w:hAnsi="Courier New"/>
                <w:sz w:val="20"/>
              </w:rPr>
              <w:t xml:space="preserve">pcomp</w:t>
            </w:r>
            <w:r>
              <w:t xml:space="preserve">)</w:t>
            </w:r>
          </w:p>
        </w:tc>
      </w:tr>
      <w:tr>
        <w:tc>
          <w:tcPr>
            <w:tcW w:w="1658" w:type="dxa"/>
          </w:tcPr>
          <w:p>
            <w:pPr>
              <w:pStyle w:val="BasicTextTable"/>
            </w:pPr>
            <w:r>
              <w:t xml:space="preserve">2026-06-22</w:t>
            </w:r>
          </w:p>
        </w:tc>
        <w:tc>
          <w:tcPr>
            <w:tcW w:w="6842" w:type="dxa"/>
          </w:tcPr>
          <w:p>
            <w:pPr>
              <w:pStyle w:val="BasicTextTable"/>
            </w:pPr>
            <w:r>
              <w:t xml:space="preserve">AgentSimulator (first subprocess-isolated module)</w:t>
            </w:r>
          </w:p>
        </w:tc>
      </w:tr>
      <w:tr>
        <w:tc>
          <w:tcPr>
            <w:tcW w:w="1658" w:type="dxa"/>
          </w:tcPr>
          <w:p>
            <w:pPr>
              <w:pStyle w:val="BasicTextTable"/>
            </w:pPr>
            <w:r>
              <w:t xml:space="preserve">2026-06-27</w:t>
            </w:r>
          </w:p>
        </w:tc>
        <w:tc>
          <w:tcPr>
            <w:tcW w:w="6842" w:type="dxa"/>
          </w:tcPr>
          <w:p>
            <w:pPr>
              <w:pStyle w:val="BasicTextTable"/>
            </w:pPr>
            <w:r>
              <w:t xml:space="preserve">Parallel precompute</w:t>
            </w:r>
          </w:p>
        </w:tc>
      </w:tr>
      <w:tr>
        <w:tc>
          <w:tcPr>
            <w:tcW w:w="1658" w:type="dxa"/>
          </w:tcPr>
          <w:p>
            <w:pPr>
              <w:pStyle w:val="BasicTextTable"/>
            </w:pPr>
            <w:r>
              <w:t xml:space="preserve">2026-07-01</w:t>
            </w:r>
          </w:p>
        </w:tc>
        <w:tc>
          <w:tcPr>
            <w:tcW w:w="6842" w:type="dxa"/>
          </w:tcPr>
          <w:p>
            <w:pPr>
              <w:pStyle w:val="BasicTextTable"/>
            </w:pPr>
            <w:r>
              <w:t xml:space="preserve">Object-storage offload redesign merged</w:t>
            </w:r>
          </w:p>
        </w:tc>
      </w:tr>
      <w:tr>
        <w:tc>
          <w:tcPr>
            <w:tcW w:w="1658" w:type="dxa"/>
          </w:tcPr>
          <w:p>
            <w:pPr>
              <w:pStyle w:val="BasicTextTable"/>
            </w:pPr>
            <w:r>
              <w:t xml:space="preserve">2026-07-05</w:t>
            </w:r>
          </w:p>
        </w:tc>
        <w:tc>
          <w:tcPr>
            <w:tcW w:w="6842" w:type="dxa"/>
          </w:tcPr>
          <w:p>
            <w:pPr>
              <w:pStyle w:val="BasicTextTable"/>
            </w:pPr>
            <w:r>
              <w:t xml:space="preserve">Safari login-loop fix</w:t>
            </w:r>
          </w:p>
        </w:tc>
      </w:tr>
      <w:tr>
        <w:tc>
          <w:tcPr>
            <w:tcW w:w="1658" w:type="dxa"/>
          </w:tcPr>
          <w:p>
            <w:pPr>
              <w:pStyle w:val="BasicTextTable"/>
            </w:pPr>
            <w:r>
              <w:t xml:space="preserve">2026-07-13</w:t>
            </w:r>
          </w:p>
        </w:tc>
        <w:tc>
          <w:tcPr>
            <w:tcW w:w="6842" w:type="dxa"/>
          </w:tcPr>
          <w:p>
            <w:pPr>
              <w:pStyle w:val="BasicTextTable"/>
            </w:pPr>
            <w:r>
              <w:rPr>
                <w:b/>
              </w:rPr>
              <w:t xml:space="preserve">MCP server</w:t>
            </w:r>
            <w:r>
              <w:t xml:space="preserve">; interface rework</w:t>
            </w:r>
          </w:p>
        </w:tc>
      </w:tr>
      <w:tr>
        <w:tc>
          <w:tcPr>
            <w:tcW w:w="1658" w:type="dxa"/>
          </w:tcPr>
          <w:p>
            <w:pPr>
              <w:pStyle w:val="BasicTextTable"/>
            </w:pPr>
            <w:r>
              <w:t xml:space="preserve">2026-07-14</w:t>
            </w:r>
          </w:p>
        </w:tc>
        <w:tc>
          <w:tcPr>
            <w:tcW w:w="6842" w:type="dxa"/>
          </w:tcPr>
          <w:p>
            <w:pPr>
              <w:pStyle w:val="BasicTextTable"/>
            </w:pPr>
            <w:r>
              <w:rPr>
                <w:b/>
              </w:rPr>
              <w:t xml:space="preserve">JVM module runtime</w:t>
            </w:r>
            <w:r>
              <w:t xml:space="preserve">; sidecar services; module policy control</w:t>
            </w:r>
          </w:p>
        </w:tc>
      </w:tr>
      <w:tr>
        <w:tc>
          <w:tcPr>
            <w:tcW w:w="1658" w:type="dxa"/>
          </w:tcPr>
          <w:p>
            <w:pPr>
              <w:pStyle w:val="BasicTextTable"/>
            </w:pPr>
            <w:r>
              <w:t xml:space="preserve">2026-07-15</w:t>
            </w:r>
          </w:p>
        </w:tc>
        <w:tc>
          <w:tcPr>
            <w:tcW w:w="6842" w:type="dxa"/>
          </w:tcPr>
          <w:p>
            <w:pPr>
              <w:pStyle w:val="BasicTextTable"/>
            </w:pPr>
            <w:r>
              <w:t xml:space="preserve">Administrative control surface completed</w:t>
            </w:r>
          </w:p>
        </w:tc>
      </w:tr>
      <w:tr>
        <w:tc>
          <w:tcPr>
            <w:tcW w:w="1658" w:type="dxa"/>
          </w:tcPr>
          <w:p>
            <w:pPr>
              <w:pStyle w:val="BasicTextTable"/>
            </w:pPr>
            <w:r>
              <w:t xml:space="preserve">2026-07-28</w:t>
            </w:r>
          </w:p>
        </w:tc>
        <w:tc>
          <w:tcPr>
            <w:tcW w:w="6842" w:type="dxa"/>
          </w:tcPr>
          <w:p>
            <w:pPr>
              <w:pStyle w:val="BasicTextTable"/>
            </w:pPr>
            <w:r>
              <w:t xml:space="preserve">Dashboard rework; onboarding and guided tour; canvas unification</w:t>
            </w:r>
          </w:p>
        </w:tc>
      </w:tr>
    </w:tbl>
    <w:p>
      <w:pPr>
        <w:pStyle w:val="BasicText"/>
      </w:pPr>
    </w:p>
    <w:p>
      <w:pPr>
        <w:pStyle w:val="BasicText"/>
      </w:pPr>
      <w:r>
        <w:t xml:space="preserve">Three deviations were consequential enough to explain.</w:t>
      </w:r>
    </w:p>
    <w:p>
      <w:pPr>
        <w:pStyle w:val="BasicText"/>
      </w:pPr>
      <w:r>
        <w:rPr>
          <w:b/>
        </w:rPr>
        <w:t xml:space="preserve">Authentication took far longer than budgeted.</w:t>
      </w:r>
      <w:r>
        <w:t xml:space="preserve"> Expected to be a configuration task, it became a six-week thread from early June to early July spanning the container health check, the token exchange path, the issuer configuration, cookie size, a browser-specific session failure and the university identity provider's authentication method (§9.4). The deployment milestone moved roughly three weeks later than planned.</w:t>
      </w:r>
    </w:p>
    <w:p>
      <w:pPr>
        <w:pStyle w:val="BasicText"/>
      </w:pPr>
      <w:r>
        <w:rPr>
          <w:b/>
        </w:rPr>
        <w:t xml:space="preserve">The realtime transport had to be rebuilt after it was working.</w:t>
      </w:r>
      <w:r>
        <w:t xml:space="preserve"> The WebSocket implementation was complete and correct and failed only in production, for an environmental reason nobody had anticipated (§4.10). The migration to Server-Sent Events was unplanned work in the middle of the project.</w:t>
      </w:r>
    </w:p>
    <w:p>
      <w:pPr>
        <w:pStyle w:val="BasicText"/>
      </w:pPr>
      <w:r>
        <w:rPr>
          <w:b/>
        </w:rPr>
        <w:t xml:space="preserve">The polyglot runtime arrived late and cheaply.</w:t>
      </w:r>
      <w:r>
        <w:t xml:space="preserve"> The JVM runtime was originally a stretch goal likely to be dropped. It landed in mid-July in a single work package, because by then the worker bridge already existed for subprocess isolation and the work reduced to extracting a runtime abstraction from it and writing a Java SDK against the existing protocol. This is the clearest instance in the project of an earlier architectural decision paying off later.</w:t>
      </w:r>
    </w:p>
    <w:p>
      <w:pPr>
        <w:pStyle w:val="Heading2"/>
      </w:pPr>
      <w:r>
        <w:t xml:space="preserve">Development Practice and Quality Assurance</w:t>
      </w:r>
    </w:p>
    <w:p>
      <w:pPr>
        <w:pStyle w:val="BasicText"/>
      </w:pPr>
      <w:r>
        <w:rPr>
          <w:b/>
        </w:rPr>
        <w:t xml:space="preserve">Version control.</w:t>
      </w:r>
      <w:r>
        <w:t xml:space="preserve"> Work proceeded on </w:t>
      </w:r>
      <w:r>
        <w:rPr>
          <w:rFonts w:ascii="Courier New" w:hAnsi="Courier New"/>
          <w:sz w:val="20"/>
        </w:rPr>
        <w:t xml:space="preserve">main</w:t>
      </w:r>
      <w:r>
        <w:t xml:space="preserve"> with short-lived feature branches merged through pull requests. Four accounts appear as committers, which understates participation, since much of the work was paired and committed by one author. </w:t>
      </w:r>
      <w:r>
        <w:rPr>
          <w:b/>
        </w:rPr>
        <w:t xml:space="preserve">Enforced gates on both toolchains.</w:t>
      </w:r>
      <w:r>
        <w:t xml:space="preserve"> Python is linted and formatted by </w:t>
      </w:r>
      <w:r>
        <w:rPr>
          <w:rFonts w:ascii="Courier New" w:hAnsi="Courier New"/>
          <w:sz w:val="20"/>
        </w:rPr>
        <w:t xml:space="preserve">ruff</w:t>
      </w:r>
      <w:r>
        <w:t xml:space="preserve"> at a hundred-character line length and type-checked by </w:t>
      </w:r>
      <w:r>
        <w:rPr>
          <w:rFonts w:ascii="Courier New" w:hAnsi="Courier New"/>
          <w:sz w:val="20"/>
        </w:rPr>
        <w:t xml:space="preserve">pyright</w:t>
      </w:r>
      <w:r>
        <w:t xml:space="preserve"> in strict mode over the API sources and the Python SDK; TypeScript is checked by </w:t>
      </w:r>
      <w:r>
        <w:rPr>
          <w:rFonts w:ascii="Courier New" w:hAnsi="Courier New"/>
          <w:sz w:val="20"/>
        </w:rPr>
        <w:t xml:space="preserve">tsc --noEmit</w:t>
      </w:r>
      <w:r>
        <w:t xml:space="preserve"> in strict mode. These are not advisory: strict typing on the Python side is what makes the Protocol-typed context of §5.2 meaningful, because a Protocol nothing checks is a comment.</w:t>
      </w:r>
    </w:p>
    <w:p>
      <w:pPr>
        <w:pStyle w:val="BasicText"/>
      </w:pPr>
      <w:r>
        <w:rPr>
          <w:b/>
        </w:rPr>
        <w:t xml:space="preserve">Test layers.</w:t>
      </w:r>
      <w:r>
        <w:t xml:space="preserve"> Three, matching the three ways the system can be wrong. Platform tests are 75 pytest modules totalling roughly 16,600 lines covering ingest, jobs, the loader, per-user installation, isolation and sharing, storage, the MCP surface and the administrative routes. Module tests live in each module's own directory and run against that module's environment. Cross-runtime conformance tests drive the same behaviours against every runtime, with a golden-file test pinning the exact wire messages so a protocol change that would break a third-party worker fails in the platform's own suite.</w:t>
      </w:r>
    </w:p>
    <w:p>
      <w:pPr>
        <w:pStyle w:val="BasicText"/>
      </w:pPr>
      <w:r>
        <w:rPr>
          <w:b/>
        </w:rPr>
        <w:t xml:space="preserve">Generated-type synchronisation.</w:t>
      </w:r>
      <w:r>
        <w:t xml:space="preserve"> The frontend's API types are generated from the backend's OpenAPI description rather than written, and regenerating after a route or schema change is a standing rule, so a backend change the frontend has not absorbed fails at compile time instead of at run time.</w:t>
      </w:r>
    </w:p>
    <w:p>
      <w:pPr>
        <w:pStyle w:val="BasicText"/>
      </w:pPr>
      <w:r>
        <w:t xml:space="preserve">Several of these were introduced </w:t>
      </w:r>
      <w:r>
        <w:rPr>
          <w:b/>
        </w:rPr>
        <w:t xml:space="preserve">in response to a problem</w:t>
      </w:r>
      <w:r>
        <w:t xml:space="preserve"> rather than adopted at the start, and saying which is more useful than listing them all as good practice. The strict </w:t>
      </w:r>
      <w:r>
        <w:rPr>
          <w:rFonts w:ascii="Courier New" w:hAnsi="Courier New"/>
          <w:sz w:val="20"/>
        </w:rPr>
        <w:t xml:space="preserve">pyright</w:t>
      </w:r>
      <w:r>
        <w:t xml:space="preserve"> configuration followed a class of bug in which a module handler received a shape it did not expect. The conformance and golden-file tests were written immediately after the JVM runtime, because the moment a second implementation of a protocol exists, prose stops being a sufficient specification. The bridge respawn and parent-death-guard tests were both written after observing the failures they now prevent. And the runtime-externals parity test exists because the allow-list was once edited in one of its two consumers and not the other, producing a panel that built and then failed in the browser.</w:t>
      </w:r>
    </w:p>
    <w:p>
      <w:pPr>
        <w:pStyle w:val="Heading2"/>
      </w:pPr>
      <w:r>
        <w:t xml:space="preserve">Significant Difficulties During the Project</w:t>
      </w:r>
    </w:p>
    <w:p>
      <w:pPr>
        <w:pStyle w:val="BasicText"/>
      </w:pPr>
      <w:r>
        <w:t xml:space="preserve">Five difficulties materially affected the schedule or the design. Each is given with its architectural consequence; the complete defect record is Appendix E.</w:t>
      </w:r>
    </w:p>
    <w:p>
      <w:pPr>
        <w:pStyle w:val="BasicText"/>
      </w:pPr>
      <w:r>
        <w:rPr>
          <w:b/>
        </w:rPr>
        <w:t xml:space="preserve">Authentication against institutional infrastructure.</w:t>
      </w:r>
      <w:r>
        <w:t xml:space="preserve"> The single largest unplanned cost. The chain is instructive because each failure looked like the previous one: a Keycloak container whose health check used a bash-only construct under a shell that was not bash; an issuer configured as the container name rather than the public URL, which breaks the OIDC login loop but presents as a redirect loop; a server-side token exchange that had to stay on-box; a session cookie that grew past four kilobytes once it carried the full token, which the reverse proxy answered with a 502; and, after that was fixed with a server-side session store, a recurrence appearing </w:t>
      </w:r>
      <w:r>
        <w:rPr>
          <w:b/>
        </w:rPr>
        <w:t xml:space="preserve">only in Safari</w:t>
      </w:r>
      <w:r>
        <w:t xml:space="preserve">, which evicts oversized chunked cookies where Chrome tolerates them. The university identity provider then rejected the initial integration because it requires </w:t>
      </w:r>
      <w:r>
        <w:rPr>
          <w:rFonts w:ascii="Courier New" w:hAnsi="Courier New"/>
          <w:sz w:val="20"/>
        </w:rPr>
        <w:t xml:space="preserve">client_secret_basic</w:t>
      </w:r>
      <w:r>
        <w:t xml:space="preserve"> specifically. </w:t>
      </w:r>
      <w:r>
        <w:rPr>
          <w:i/>
        </w:rPr>
        <w:t xml:space="preserve">Consequence:</w:t>
      </w:r>
      <w:r>
        <w:t xml:space="preserve"> the server-side session store, the bootstrap script that keeps the client secret and redirect URIs consistent across </w:t>
      </w:r>
      <w:r>
        <w:rPr>
          <w:rFonts w:ascii="Courier New" w:hAnsi="Courier New"/>
          <w:sz w:val="20"/>
        </w:rPr>
        <w:t xml:space="preserve">.env</w:t>
      </w:r>
      <w:r>
        <w:t xml:space="preserve"> and the realm, and the ordered verification checklist of §7.5 in which each step rules out one layer.</w:t>
      </w:r>
    </w:p>
    <w:p>
      <w:pPr>
        <w:pStyle w:val="BasicText"/>
      </w:pPr>
      <w:r>
        <w:rPr>
          <w:b/>
        </w:rPr>
        <w:t xml:space="preserve">The transport the production proxy would not carry</w:t>
      </w:r>
      <w:r>
        <w:t xml:space="preserve"> (§4.10). </w:t>
      </w:r>
      <w:r>
        <w:rPr>
          <w:i/>
        </w:rPr>
        <w:t xml:space="preserve">Consequence:</w:t>
      </w:r>
      <w:r>
        <w:t xml:space="preserve"> both live streams migrated to Server-Sent Events, authentication moved from the query string to a header, and the deployment guide gained an explicit instruction to test live updates as a distinct step, because everything else can pass while they silently do not.</w:t>
      </w:r>
    </w:p>
    <w:p>
      <w:pPr>
        <w:pStyle w:val="BasicText"/>
      </w:pPr>
      <w:r>
        <w:rPr>
          <w:b/>
        </w:rPr>
        <w:t xml:space="preserve">Reproducibility across machines.</w:t>
      </w:r>
      <w:r>
        <w:t xml:space="preserve"> The stack built on the machines it was developed on and failed on others, for two reasons. The installer used </w:t>
      </w:r>
      <w:r>
        <w:rPr>
          <w:rFonts w:ascii="Courier New" w:hAnsi="Courier New"/>
          <w:sz w:val="20"/>
        </w:rPr>
        <w:t xml:space="preserve">uv sync</w:t>
      </w:r>
      <w:r>
        <w:t xml:space="preserve">, which writes a lock file, and lock-file writes fail on macOS Docker Desktop bind mounts because of restrictions in the file-sharing layer; switching to </w:t>
      </w:r>
      <w:r>
        <w:rPr>
          <w:rFonts w:ascii="Courier New" w:hAnsi="Courier New"/>
          <w:sz w:val="20"/>
        </w:rPr>
        <w:t xml:space="preserve">uv venv</w:t>
      </w:r>
      <w:r>
        <w:t xml:space="preserve"> plus </w:t>
      </w:r>
      <w:r>
        <w:rPr>
          <w:rFonts w:ascii="Courier New" w:hAnsi="Courier New"/>
          <w:sz w:val="20"/>
        </w:rPr>
        <w:t xml:space="preserve">uv pip install</w:t>
      </w:r>
      <w:r>
        <w:t xml:space="preserve"> made the same code path work everywhere. Separately, an environment built by a host-mode run under one interpreter and then bind-mounted into a container running another crashed on import; folding the platform's Python version into the dependency hash made such an environment rebuild automatically. </w:t>
      </w:r>
      <w:r>
        <w:rPr>
          <w:i/>
        </w:rPr>
        <w:t xml:space="preserve">Consequence:</w:t>
      </w:r>
      <w:r>
        <w:t xml:space="preserve"> §5.3's hashing scheme, and the principle that the module system must tolerate a bind-mounted directory being written by two different environments.</w:t>
      </w:r>
    </w:p>
    <w:p>
      <w:pPr>
        <w:pStyle w:val="BasicText"/>
      </w:pPr>
      <w:r>
        <w:rPr>
          <w:b/>
        </w:rPr>
        <w:t xml:space="preserve">Storage growth on the virtual machine.</w:t>
      </w:r>
      <w:r>
        <w:t xml:space="preserve"> A deployment running for a few weeks accumulated far more disk than the imported data explained, and the first object-storage implementation did not help because it was a mirror rather than a cache (§4.6). </w:t>
      </w:r>
      <w:r>
        <w:rPr>
          <w:i/>
        </w:rPr>
        <w:t xml:space="preserve">Consequence:</w:t>
      </w:r>
      <w:r>
        <w:t xml:space="preserve"> the four-phase redesign in which object storage became authoritative and local disk a bounded LRU cache, with the previously unenforced quota enforced and the bypassing artefacts brought in.</w:t>
      </w:r>
    </w:p>
    <w:p>
      <w:pPr>
        <w:pStyle w:val="BasicText"/>
      </w:pPr>
      <w:r>
        <w:rPr>
          <w:b/>
        </w:rPr>
        <w:t xml:space="preserve">Dependency cost as a user-visible defect.</w:t>
      </w:r>
      <w:r>
        <w:t xml:space="preserve"> The first boot of a clean checkout takes several minutes, dominated by one module's TensorFlow stack, and early testers reported it as a hang. </w:t>
      </w:r>
      <w:r>
        <w:rPr>
          <w:i/>
        </w:rPr>
        <w:t xml:space="preserve">Consequence:</w:t>
      </w:r>
      <w:r>
        <w:t xml:space="preserve"> a ten-minute health-check grace period, explicit warnings in the README and the deployment guide, and the caching scheme making every subsequent boot fast. It is recorded as a difficulty rather than a footnote, because it is the most visible price the per-module isolation of §5.3 exacts.</w:t>
      </w:r>
    </w:p>
    <w:p>
      <w:pPr>
        <w:pStyle w:val="Heading1"/>
      </w:pPr>
      <w:r>
        <w:t xml:space="preserve">Evaluation</w:t>
      </w:r>
    </w:p>
    <w:p>
      <w:pPr>
        <w:pStyle w:val="Heading2"/>
      </w:pPr>
      <w:r>
        <w:t xml:space="preserve">Evaluation Design</w:t>
      </w:r>
    </w:p>
    <w:p>
      <w:pPr>
        <w:pStyle w:val="BasicText"/>
      </w:pPr>
      <w:r>
        <w:t xml:space="preserve">The object of evaluation is an artefact, and the appropriate question is whether it does what it was built to do. The assessment has three parts: </w:t>
      </w:r>
      <w:r>
        <w:rPr>
          <w:b/>
        </w:rPr>
        <w:t xml:space="preserve">criterion-based assessment against the objectives of §1.3</w:t>
      </w:r>
      <w:r>
        <w:t xml:space="preserve">, each stated with its criterion before the system was finished; </w:t>
      </w:r>
      <w:r>
        <w:rPr>
          <w:b/>
        </w:rPr>
        <w:t xml:space="preserve">comparative positioning</w:t>
      </w:r>
      <w:r>
        <w:t xml:space="preserve"> on the grid of §3.1, with explicit attention to where the result is worse; and </w:t>
      </w:r>
      <w:r>
        <w:rPr>
          <w:b/>
        </w:rPr>
        <w:t xml:space="preserve">empirical evidence from construction</w:t>
      </w:r>
      <w:r>
        <w:t xml:space="preserve">, since the integrations of Chapter 6 and the walkthrough of Chapter 8 are the closest this project comes to measuring its central claim.</w:t>
      </w:r>
    </w:p>
    <w:p>
      <w:pPr>
        <w:pStyle w:val="BasicText"/>
      </w:pPr>
      <w:r>
        <w:t xml:space="preserve">What is deliberately not attempted is set out in §10.6: no controlled user study, no cross-tool performance benchmark, and no assessment of the analytical correctness of the bundled methods beyond their reproducing their reference implementations.</w:t>
      </w:r>
    </w:p>
    <w:p>
      <w:pPr>
        <w:pStyle w:val="Heading2"/>
      </w:pPr>
      <w:r>
        <w:t xml:space="preserve">Achievement of the Stated Objectives</w:t>
      </w:r>
    </w:p>
    <w:p>
      <w:pPr>
        <w:pStyle w:val="BasicText"/>
      </w:pPr>
      <w:r>
        <w:rPr>
          <w:b/>
        </w:rPr>
        <w:t xml:space="preserve">O1, extension without core modification: achieved.</w:t>
      </w:r>
      <w:r>
        <w:t xml:space="preserve"> All seventeen modules, including the three foundation modules supplying the baseline functionality, live under </w:t>
      </w:r>
      <w:r>
        <w:rPr>
          <w:rFonts w:ascii="Courier New" w:hAnsi="Courier New"/>
          <w:sz w:val="20"/>
        </w:rPr>
        <w:t xml:space="preserve">modules/</w:t>
      </w:r>
      <w:r>
        <w:t xml:space="preserve"> and use the same SDK any third party would, and the platform's source contains no module-specific branch, registry entry or import. Five of the six integrations in §6.6 changed zero lines of platform code; the sixth changed 2,298, all of which built the general JVM runtime rather than accommodating that module. The verdict is strong because the criterion was falsifiable and a single privileged hook anywhere would have failed it.</w:t>
      </w:r>
    </w:p>
    <w:p>
      <w:pPr>
        <w:pStyle w:val="BasicText"/>
      </w:pPr>
      <w:r>
        <w:rPr>
          <w:b/>
        </w:rPr>
        <w:t xml:space="preserve">O2, an authoring contract satisfiable without platform knowledge: achieved with qualifications.</w:t>
      </w:r>
      <w:r>
        <w:t xml:space="preserve"> §8.12 enumerates nine concepts and §8.2 gives a complete module in about fifteen lines. The qualifications are real: four points of the abstraction leak (§8.12), authoring requires cloning the platform repository rather than installing an SDK package (§11.2), and there is no scaffolding command. The concept count is met; the friction around it is not what the objective envisaged.</w:t>
      </w:r>
    </w:p>
    <w:p>
      <w:pPr>
        <w:pStyle w:val="BasicText"/>
      </w:pPr>
      <w:r>
        <w:rPr>
          <w:b/>
        </w:rPr>
        <w:t xml:space="preserve">O3, multi-user operation with strict isolation: achieved.</w:t>
      </w:r>
      <w:r>
        <w:t xml:space="preserve"> All four layers are covered (§4.5), and the one exception is confined to a single module of predicates so the surface capable of crossing an account boundary is auditable in one sitting. Two honest notes attach. The bus does not itself enforce tenancy; isolation is applied at fan-out, so an event emitted without a user identifier reaches everyone, and the platform relies on convention plus review at that one point. And isolation is between </w:t>
      </w:r>
      <w:r>
        <w:rPr>
          <w:i/>
        </w:rPr>
        <w:t xml:space="preserve">users of the platform</w:t>
      </w:r>
      <w:r>
        <w:t xml:space="preserve">, not against </w:t>
      </w:r>
      <w:r>
        <w:rPr>
          <w:i/>
        </w:rPr>
        <w:t xml:space="preserve">code installed into it</w:t>
      </w:r>
      <w:r>
        <w:t xml:space="preserve">: §5.9 states that a module runs with the platform's privileges, so the claim is about tenants, not adversarial modules.</w:t>
      </w:r>
    </w:p>
    <w:p>
      <w:pPr>
        <w:pStyle w:val="BasicText"/>
      </w:pPr>
      <w:r>
        <w:rPr>
          <w:b/>
        </w:rPr>
        <w:t xml:space="preserve">O4, local operation without an operations team: achieved.</w:t>
      </w:r>
      <w:r>
        <w:t xml:space="preserve"> </w:t>
      </w:r>
      <w:r>
        <w:rPr>
          <w:rFonts w:ascii="Courier New" w:hAnsi="Courier New"/>
          <w:sz w:val="20"/>
        </w:rPr>
        <w:t xml:space="preserve">infra/bootstrap-vm.sh</w:t>
      </w:r>
      <w:r>
        <w:t xml:space="preserve"> performs the deployment in one idempotent pass, §7.4 covers the surrounding steps, and </w:t>
      </w:r>
      <w:r>
        <w:rPr>
          <w:rFonts w:ascii="Courier New" w:hAnsi="Courier New"/>
          <w:sz w:val="20"/>
        </w:rPr>
        <w:t xml:space="preserve">make up</w:t>
      </w:r>
      <w:r>
        <w:t xml:space="preserve"> runs the same composition locally. The qualification is that "without an operations team" is true for steady-state operation and was emphatically not true for the initial integration with institutional infrastructure, which cost roughly six weeks (§9.4). The system is now easy to deploy because that work is done and written down, not because it was easy.</w:t>
      </w:r>
    </w:p>
    <w:p>
      <w:pPr>
        <w:pStyle w:val="BasicText"/>
      </w:pPr>
      <w:r>
        <w:rPr>
          <w:b/>
        </w:rPr>
        <w:t xml:space="preserve">O5, continuous feedback for long-running analysis: achieved.</w:t>
      </w:r>
      <w:r>
        <w:t xml:space="preserve"> Every long operation is a persisted, observable, cancellable job, and the readiness gate releases a log when its expected modules reach any terminal state, so a failed analysis delays a log by its own duration and no longer and its dependants are skipped rather than stranded (§4.8). The qualification is that progress reporting is a guideline rather than a runtime gate; the alternative, a timeout, was judged the worse failure.</w:t>
      </w:r>
    </w:p>
    <w:p>
      <w:pPr>
        <w:pStyle w:val="BasicText"/>
      </w:pPr>
      <w:r>
        <w:t xml:space="preserve">Two things built but not among the objectives, the MCP server and the integrated assistant, are not credited against them.</w:t>
      </w:r>
    </w:p>
    <w:p>
      <w:pPr>
        <w:pStyle w:val="Heading2"/>
      </w:pPr>
      <w:r>
        <w:t xml:space="preserve">Comparative Assessment against Existing Platforms</w:t>
      </w:r>
    </w:p>
    <w:p>
      <w:pPr>
        <w:pStyle w:val="Caption"/>
      </w:pPr>
      <w:r>
        <w:t xml:space="preserve">Tab. </w:t>
      </w:r>
      <w:fldSimple w:instr=" SEQ Tab. \* ARABIC ">
        <w:r>
          <w:t>1</w:t>
        </w:r>
      </w:fldSimple>
      <w:r>
        <w:t xml:space="preserve">: </w:t>
      </w:r>
      <w:r>
        <w:t xml:space="preserve">Mate placed on the evaluation grid of section 3.1, with the direction of each verdict.</w:t>
      </w:r>
    </w:p>
    <w:tbl>
      <w:tblPr>
        <w:tblStyle w:val="TableGrid"/>
        <w:tblW w:w="8500" w:type="dxa"/>
        <w:tblLayout w:type="fixed"/>
        <w:tblLook w:val="04A0" w:firstRow="1" w:lastRow="0" w:firstColumn="1" w:lastColumn="0" w:noHBand="0" w:noVBand="1"/>
      </w:tblPr>
      <w:tblGrid>
        <w:gridCol w:w="1546"/>
        <w:gridCol w:w="3206"/>
        <w:gridCol w:w="3748"/>
      </w:tblGrid>
      <w:tr>
        <w:trPr>
          <w:tblHeader/>
        </w:trPr>
        <w:tc>
          <w:tcPr>
            <w:tcW w:w="1546" w:type="dxa"/>
            <w:shd w:val="clear" w:color="auto" w:fill="F2F2F2"/>
          </w:tcPr>
          <w:p>
            <w:pPr>
              <w:pStyle w:val="BasicTextTable"/>
            </w:pPr>
            <w:r>
              <w:rPr>
                <w:b/>
              </w:rPr>
              <w:t xml:space="preserve">Criterion</w:t>
            </w:r>
          </w:p>
        </w:tc>
        <w:tc>
          <w:tcPr>
            <w:tcW w:w="3206" w:type="dxa"/>
            <w:shd w:val="clear" w:color="auto" w:fill="F2F2F2"/>
          </w:tcPr>
          <w:p>
            <w:pPr>
              <w:pStyle w:val="BasicTextTable"/>
            </w:pPr>
            <w:r>
              <w:rPr>
                <w:b/>
              </w:rPr>
              <w:t xml:space="preserve">Verdict for Mate</w:t>
            </w:r>
          </w:p>
        </w:tc>
        <w:tc>
          <w:tcPr>
            <w:tcW w:w="3748" w:type="dxa"/>
            <w:shd w:val="clear" w:color="auto" w:fill="F2F2F2"/>
          </w:tcPr>
          <w:p>
            <w:pPr>
              <w:pStyle w:val="BasicTextTable"/>
            </w:pPr>
            <w:r>
              <w:rPr>
                <w:b/>
              </w:rPr>
              <w:t xml:space="preserve">Relative to the best alternative</w:t>
            </w:r>
          </w:p>
        </w:tc>
      </w:tr>
      <w:tr>
        <w:tc>
          <w:tcPr>
            <w:tcW w:w="1546" w:type="dxa"/>
          </w:tcPr>
          <w:p>
            <w:pPr>
              <w:pStyle w:val="BasicTextTable"/>
            </w:pPr>
            <w:r>
              <w:t xml:space="preserve">C1 Deployment and locality</w:t>
            </w:r>
          </w:p>
        </w:tc>
        <w:tc>
          <w:tcPr>
            <w:tcW w:w="3206" w:type="dxa"/>
          </w:tcPr>
          <w:p>
            <w:pPr>
              <w:pStyle w:val="BasicTextTable"/>
            </w:pPr>
            <w:r>
              <w:t xml:space="preserve">Self-hosted, all data on the host, no runtime cloud dependency</w:t>
            </w:r>
          </w:p>
        </w:tc>
        <w:tc>
          <w:tcPr>
            <w:tcW w:w="3748" w:type="dxa"/>
          </w:tcPr>
          <w:p>
            <w:pPr>
              <w:pStyle w:val="BasicTextTable"/>
            </w:pPr>
            <w:r>
              <w:rPr>
                <w:b/>
              </w:rPr>
              <w:t xml:space="preserve">Better</w:t>
            </w:r>
            <w:r>
              <w:t xml:space="preserve"> than the commercial suites for this setting; equal to the desktop and library tools</w:t>
            </w:r>
          </w:p>
        </w:tc>
      </w:tr>
      <w:tr>
        <w:tc>
          <w:tcPr>
            <w:tcW w:w="1546" w:type="dxa"/>
          </w:tcPr>
          <w:p>
            <w:pPr>
              <w:pStyle w:val="BasicTextTable"/>
            </w:pPr>
            <w:r>
              <w:t xml:space="preserve">C2 Licensing</w:t>
            </w:r>
          </w:p>
        </w:tc>
        <w:tc>
          <w:tcPr>
            <w:tcW w:w="3206" w:type="dxa"/>
          </w:tcPr>
          <w:p>
            <w:pPr>
              <w:pStyle w:val="BasicTextTable"/>
            </w:pPr>
            <w:r>
              <w:t xml:space="preserve">Open source, no licence to expire</w:t>
            </w:r>
          </w:p>
        </w:tc>
        <w:tc>
          <w:tcPr>
            <w:tcW w:w="3748" w:type="dxa"/>
          </w:tcPr>
          <w:p>
            <w:pPr>
              <w:pStyle w:val="BasicTextTable"/>
            </w:pPr>
            <w:r>
              <w:rPr>
                <w:b/>
              </w:rPr>
              <w:t xml:space="preserve">Better</w:t>
            </w:r>
            <w:r>
              <w:t xml:space="preserve"> than the commercial suites; equal to the open-source tools</w:t>
            </w:r>
          </w:p>
        </w:tc>
      </w:tr>
      <w:tr>
        <w:tc>
          <w:tcPr>
            <w:tcW w:w="1546" w:type="dxa"/>
          </w:tcPr>
          <w:p>
            <w:pPr>
              <w:pStyle w:val="BasicTextTable"/>
            </w:pPr>
            <w:r>
              <w:t xml:space="preserve">C3 Extensibility</w:t>
            </w:r>
          </w:p>
        </w:tc>
        <w:tc>
          <w:tcPr>
            <w:tcW w:w="3206" w:type="dxa"/>
          </w:tcPr>
          <w:p>
            <w:pPr>
              <w:pStyle w:val="BasicTextTable"/>
            </w:pPr>
            <w:r>
              <w:t xml:space="preserve">Manifest plus SDK class; per-module dependency isolation; polyglot runtime; UI contribution</w:t>
            </w:r>
          </w:p>
        </w:tc>
        <w:tc>
          <w:tcPr>
            <w:tcW w:w="3748" w:type="dxa"/>
          </w:tcPr>
          <w:p>
            <w:pPr>
              <w:pStyle w:val="BasicTextTable"/>
            </w:pPr>
            <w:r>
              <w:rPr>
                <w:b/>
              </w:rPr>
              <w:t xml:space="preserve">Better</w:t>
            </w:r>
            <w:r>
              <w:t xml:space="preserve"> on dependency isolation and polyglot support; </w:t>
            </w:r>
            <w:r>
              <w:rPr>
                <w:b/>
              </w:rPr>
              <w:t xml:space="preserve">worse</w:t>
            </w:r>
            <w:r>
              <w:t xml:space="preserve"> than vendor marketplaces on adversarial containment</w:t>
            </w:r>
          </w:p>
        </w:tc>
      </w:tr>
      <w:tr>
        <w:tc>
          <w:tcPr>
            <w:tcW w:w="1546" w:type="dxa"/>
          </w:tcPr>
          <w:p>
            <w:pPr>
              <w:pStyle w:val="BasicTextTable"/>
            </w:pPr>
            <w:r>
              <w:t xml:space="preserve">C4 Multi-user and isolation</w:t>
            </w:r>
          </w:p>
        </w:tc>
        <w:tc>
          <w:tcPr>
            <w:tcW w:w="3206" w:type="dxa"/>
          </w:tcPr>
          <w:p>
            <w:pPr>
              <w:pStyle w:val="BasicTextTable"/>
            </w:pPr>
            <w:r>
              <w:t xml:space="preserve">Per-user isolation on every layer; read-only sharing as the sole exception</w:t>
            </w:r>
          </w:p>
        </w:tc>
        <w:tc>
          <w:tcPr>
            <w:tcW w:w="3748" w:type="dxa"/>
          </w:tcPr>
          <w:p>
            <w:pPr>
              <w:pStyle w:val="BasicTextTable"/>
            </w:pPr>
            <w:r>
              <w:rPr>
                <w:b/>
              </w:rPr>
              <w:t xml:space="preserve">Better</w:t>
            </w:r>
            <w:r>
              <w:t xml:space="preserve"> than every open-source alternative; comparable in kind, not maturity, to the commercial suites</w:t>
            </w:r>
          </w:p>
        </w:tc>
      </w:tr>
      <w:tr>
        <w:tc>
          <w:tcPr>
            <w:tcW w:w="1546" w:type="dxa"/>
          </w:tcPr>
          <w:p>
            <w:pPr>
              <w:pStyle w:val="BasicTextTable"/>
            </w:pPr>
            <w:r>
              <w:t xml:space="preserve">C5 Analytical coverage</w:t>
            </w:r>
          </w:p>
        </w:tc>
        <w:tc>
          <w:tcPr>
            <w:tcW w:w="3206" w:type="dxa"/>
          </w:tcPr>
          <w:p>
            <w:pPr>
              <w:pStyle w:val="BasicTextTable"/>
            </w:pPr>
            <w:r>
              <w:t xml:space="preserve">17 modules; no task mining, no automation engine, no connector ecosystem</w:t>
            </w:r>
          </w:p>
        </w:tc>
        <w:tc>
          <w:tcPr>
            <w:tcW w:w="3748" w:type="dxa"/>
          </w:tcPr>
          <w:p>
            <w:pPr>
              <w:pStyle w:val="BasicTextTable"/>
            </w:pPr>
            <w:r>
              <w:rPr>
                <w:b/>
              </w:rPr>
              <w:t xml:space="preserve">Substantially worse</w:t>
            </w:r>
            <w:r>
              <w:t xml:space="preserve"> than the commercial suites and than ProM</w:t>
            </w:r>
          </w:p>
        </w:tc>
      </w:tr>
      <w:tr>
        <w:tc>
          <w:tcPr>
            <w:tcW w:w="1546" w:type="dxa"/>
          </w:tcPr>
          <w:p>
            <w:pPr>
              <w:pStyle w:val="BasicTextTable"/>
            </w:pPr>
            <w:r>
              <w:t xml:space="preserve">C6 Interface maturity</w:t>
            </w:r>
          </w:p>
        </w:tc>
        <w:tc>
          <w:tcPr>
            <w:tcW w:w="3206" w:type="dxa"/>
          </w:tcPr>
          <w:p>
            <w:pPr>
              <w:pStyle w:val="BasicTextTable"/>
            </w:pPr>
            <w:r>
              <w:t xml:space="preserve">Coherent and usable; one incoherence found in user testing</w:t>
            </w:r>
          </w:p>
        </w:tc>
        <w:tc>
          <w:tcPr>
            <w:tcW w:w="3748" w:type="dxa"/>
          </w:tcPr>
          <w:p>
            <w:pPr>
              <w:pStyle w:val="BasicTextTable"/>
            </w:pPr>
            <w:r>
              <w:rPr>
                <w:b/>
              </w:rPr>
              <w:t xml:space="preserve">Worse</w:t>
            </w:r>
            <w:r>
              <w:t xml:space="preserve"> than the commercial suites; </w:t>
            </w:r>
            <w:r>
              <w:rPr>
                <w:b/>
              </w:rPr>
              <w:t xml:space="preserve">better</w:t>
            </w:r>
            <w:r>
              <w:t xml:space="preserve"> than the research tools</w:t>
            </w:r>
          </w:p>
        </w:tc>
      </w:tr>
      <w:tr>
        <w:tc>
          <w:tcPr>
            <w:tcW w:w="1546" w:type="dxa"/>
          </w:tcPr>
          <w:p>
            <w:pPr>
              <w:pStyle w:val="BasicTextTable"/>
            </w:pPr>
            <w:r>
              <w:t xml:space="preserve">C7 Target audience</w:t>
            </w:r>
          </w:p>
        </w:tc>
        <w:tc>
          <w:tcPr>
            <w:tcW w:w="3206" w:type="dxa"/>
          </w:tcPr>
          <w:p>
            <w:pPr>
              <w:pStyle w:val="BasicTextTable"/>
            </w:pPr>
            <w:r>
              <w:t xml:space="preserve">Analyst, researcher and student on one installation</w:t>
            </w:r>
          </w:p>
        </w:tc>
        <w:tc>
          <w:tcPr>
            <w:tcW w:w="3748" w:type="dxa"/>
          </w:tcPr>
          <w:p>
            <w:pPr>
              <w:pStyle w:val="BasicTextTable"/>
            </w:pPr>
            <w:r>
              <w:t xml:space="preserve">A different position rather than a better one</w:t>
            </w:r>
          </w:p>
        </w:tc>
      </w:tr>
    </w:tbl>
    <w:p>
      <w:pPr>
        <w:pStyle w:val="BasicText"/>
      </w:pPr>
    </w:p>
    <w:p>
      <w:pPr>
        <w:pStyle w:val="BasicText"/>
      </w:pPr>
      <w:r>
        <w:t xml:space="preserve">A credible comparison concedes, so the concessions come first. </w:t>
      </w:r>
      <w:r>
        <w:rPr>
          <w:b/>
        </w:rPr>
        <w:t xml:space="preserve">Analytical breadth is not close</w:t>
      </w:r>
      <w:r>
        <w:t xml:space="preserve">: seventeen modules against a commercial suite's feature surface is not a contest, and against ProM's two decades of plug-ins it is not a contest either. What the platform offers instead is that the marginal cost of the eighteenth module is low and does not depend on its maintainers. </w:t>
      </w:r>
      <w:r>
        <w:rPr>
          <w:b/>
        </w:rPr>
        <w:t xml:space="preserve">There is no connector ecosystem</w:t>
      </w:r>
      <w:r>
        <w:t xml:space="preserve">; ingestion is file import plus a watched folder, and the commercial suites' most valuable and least glamorous asset is the set of extractors turning an SAP or Salesforce instance into an event log. </w:t>
      </w:r>
      <w:r>
        <w:rPr>
          <w:b/>
        </w:rPr>
        <w:t xml:space="preserve">Maturity and scale are what three and a half months produce</w:t>
      </w:r>
      <w:r>
        <w:t xml:space="preserve">: one host, a small number of operators, one informal usability session, uneven interface polish. And </w:t>
      </w:r>
      <w:r>
        <w:rPr>
          <w:b/>
        </w:rPr>
        <w:t xml:space="preserve">adversarial containment is absent</w:t>
      </w:r>
      <w:r>
        <w:t xml:space="preserve"> where the vendor marketplaces have it (§5.9).</w:t>
      </w:r>
    </w:p>
    <w:p>
      <w:pPr>
        <w:pStyle w:val="BasicText"/>
      </w:pPr>
      <w:r>
        <w:t xml:space="preserve">What is purchased in exchange is specific and defensible: </w:t>
      </w:r>
      <w:r>
        <w:rPr>
          <w:b/>
        </w:rPr>
        <w:t xml:space="preserve">data that never leaves institutional hardware; no licence that can expire out from under a cohort of students; an extension path from a published paper to a usable analysis that passes through nobody's partner programme; and dependency isolation strong enough that a module pinning TensorFlow and a module pinning an incompatible SciPy coexist without either author knowing the other exists.</w:t>
      </w:r>
      <w:r>
        <w:t xml:space="preserve"> For the setting of §1.1 that trade is right; for an enterprise analytics deployment it plainly is not, and this report does not claim otherwise.</w:t>
      </w:r>
    </w:p>
    <w:p>
      <w:pPr>
        <w:pStyle w:val="Heading2"/>
      </w:pPr>
      <w:r>
        <w:t xml:space="preserve">Extensibility: Measured Rather than Asserted</w:t>
      </w:r>
    </w:p>
    <w:p>
      <w:pPr>
        <w:pStyle w:val="BasicText"/>
      </w:pPr>
      <w:r>
        <w:t xml:space="preserve">This is the central empirical result and deserves both statement and scepticism.</w:t>
      </w:r>
    </w:p>
    <w:p>
      <w:pPr>
        <w:pStyle w:val="BasicText"/>
      </w:pPr>
      <w:r>
        <w:rPr>
          <w:b/>
        </w:rPr>
        <w:t xml:space="preserve">The measurement.</w:t>
      </w:r>
      <w:r>
        <w:t xml:space="preserve"> Six integrations (§6.6) produced 2,298 lines of platform change in total, all in one integration and all general rather than module-specific; the other five changed nothing. Module sizes ranged from 651 lines to roughly 2,700 excluding vendored code, with between zero and 4,900 lines of reference implementation reused unmodified. The authoring surface is nine concepts and a fifteen-line minimal module. Effort per integration declined from roughly three working days for the first to substantially less for the last.</w:t>
      </w:r>
    </w:p>
    <w:p>
      <w:pPr>
        <w:pStyle w:val="BasicText"/>
      </w:pPr>
      <w:r>
        <w:rPr>
          <w:b/>
        </w:rPr>
        <w:t xml:space="preserve">Why the sample is weak.</w:t>
      </w:r>
      <w:r>
        <w:t xml:space="preserve"> Six integrations by the people who built the platform is not a sample from the population the claim is about. The authors knew the contract without reading it, so nothing measured here reflects the cost of learning it. They could change the contract when it did not fit and did so five times (§6.7), which is exactly the affordance an external author lacks, and several of those changes were prompted by an integration and then made that integration easy, which is circular as evidence. And the modules were selected partly </w:t>
      </w:r>
      <w:r>
        <w:rPr>
          <w:i/>
        </w:rPr>
        <w:t xml:space="preserve">because</w:t>
      </w:r>
      <w:r>
        <w:t xml:space="preserve"> they would stress the mechanism, so the set is neither random nor representative.</w:t>
      </w:r>
    </w:p>
    <w:p>
      <w:pPr>
        <w:pStyle w:val="BasicText"/>
      </w:pPr>
      <w:r>
        <w:rPr>
          <w:b/>
        </w:rPr>
        <w:t xml:space="preserve">Why effort in author-hours conflates two things.</w:t>
      </w:r>
      <w:r>
        <w:t xml:space="preserve"> The decline mixes improvement in the contract with improvement in the authors and with variation in the input: the first integration's reference implementation was a directory of scripts, the last one's a properly packaged distribution. A fair reading attributes part of the decline to the contract changes traceable to specific integrations, and part to learning and easier inputs; the evidence does not permit separating them.</w:t>
      </w:r>
    </w:p>
    <w:p>
      <w:pPr>
        <w:pStyle w:val="BasicText"/>
      </w:pPr>
      <w:r>
        <w:rPr>
          <w:b/>
        </w:rPr>
        <w:t xml:space="preserve">What an external author would plausibly experience.</w:t>
      </w:r>
      <w:r>
        <w:t xml:space="preserve"> The two weak external signals are that a project member on a separate branch produced a working module and panel in 651 lines, and that a master's thesis became a 28-metric module. Both are more external than the core team and considerably less external than a stranger. Extrapolating from §8.12, an author following Chapter 8 would meet the nine documented concepts and additionally hit the four leaks named there, of which the </w:t>
      </w:r>
      <w:r>
        <w:rPr>
          <w:rFonts w:ascii="Courier New" w:hAnsi="Courier New"/>
          <w:sz w:val="20"/>
        </w:rPr>
        <w:t xml:space="preserve">@on_event</w:t>
      </w:r>
      <w:r>
        <w:t xml:space="preserve">-without-</w:t>
      </w:r>
      <w:r>
        <w:rPr>
          <w:rFonts w:ascii="Courier New" w:hAnsi="Courier New"/>
          <w:sz w:val="20"/>
        </w:rPr>
        <w:t xml:space="preserve">@job</w:t>
      </w:r>
      <w:r>
        <w:t xml:space="preserve"> trap has a silent failure mode and is therefore most likely to cost real time. They would also hit the friction of §11.2. The honest summary is that the </w:t>
      </w:r>
      <w:r>
        <w:rPr>
          <w:b/>
        </w:rPr>
        <w:t xml:space="preserve">contract</w:t>
      </w:r>
      <w:r>
        <w:t xml:space="preserve"> is supported by this evidence and the </w:t>
      </w:r>
      <w:r>
        <w:rPr>
          <w:b/>
        </w:rPr>
        <w:t xml:space="preserve">authoring experience</w:t>
      </w:r>
      <w:r>
        <w:t xml:space="preserve"> is not yet measured at all.</w:t>
      </w:r>
    </w:p>
    <w:p>
      <w:pPr>
        <w:pStyle w:val="Heading2"/>
      </w:pPr>
      <w:r>
        <w:t xml:space="preserve">Performance and Scaling Behaviour</w:t>
      </w:r>
    </w:p>
    <w:p>
      <w:pPr>
        <w:pStyle w:val="BasicText"/>
      </w:pPr>
      <w:r>
        <w:t xml:space="preserve">The figures below are observations on realistic inputs on the hardware used during the project, not benchmarks; no controlled protocol was followed and no hardware was held constant.</w:t>
      </w:r>
    </w:p>
    <w:p>
      <w:pPr>
        <w:pStyle w:val="BasicText"/>
      </w:pPr>
      <w:r>
        <w:rPr>
          <w:b/>
        </w:rPr>
        <w:t xml:space="preserve">Import and precompute.</w:t>
      </w:r>
      <w:r>
        <w:t xml:space="preserve"> Import time is dominated by parsing, and XES parsing dominates CSV by a wide margin for equivalent data, which is why normalising once to Parquet is worth doing (§4.6). After normalisation, aggregate queries over logs in the low millions of events return in well under a second, which is what makes a dashboard of ten cards feel immediate. Total time from upload to a </w:t>
      </w:r>
      <w:r>
        <w:rPr>
          <w:rFonts w:ascii="Courier New" w:hAnsi="Courier New"/>
          <w:sz w:val="20"/>
        </w:rPr>
        <w:t xml:space="preserve">ready</w:t>
      </w:r>
      <w:r>
        <w:t xml:space="preserve"> log is the import time plus the slowest chain in the precompute closure, dominated for the default module set by the drift-detection module running a neural network. </w:t>
      </w:r>
      <w:r>
        <w:rPr>
          <w:b/>
        </w:rPr>
        <w:t xml:space="preserve">Memory.</w:t>
      </w:r>
      <w:r>
        <w:t xml:space="preserve"> DuckDB's use is bounded by configuration rather than by the data; the practical ceiling is set by modules that materialise a DataFrame or a PM4Py event log object, both proportional to the log and neither boundable by the platform, which is why §8.5 pushes aggregation into the columnar engine as guidance rather than style.</w:t>
      </w:r>
    </w:p>
    <w:p>
      <w:pPr>
        <w:pStyle w:val="BasicText"/>
      </w:pPr>
      <w:r>
        <w:rPr>
          <w:b/>
        </w:rPr>
        <w:t xml:space="preserve">First-boot dependency resolution</w:t>
      </w:r>
      <w:r>
        <w:t xml:space="preserve"> is the largest fixed cost: several minutes on a clean checkout, dominated by one module's TensorFlow stack, with a ten-minute health-check grace period. Subsequent boots take seconds. Disk cost is tens of megabytes per module inheriting the shared libraries and hundreds for one that does not.</w:t>
      </w:r>
    </w:p>
    <w:p>
      <w:pPr>
        <w:pStyle w:val="BasicText"/>
      </w:pPr>
      <w:r>
        <w:rPr>
          <w:b/>
        </w:rPr>
        <w:t xml:space="preserve">Bridge latency</w:t>
      </w:r>
      <w:r>
        <w:t xml:space="preserve"> adds roughly 5 to 50 milliseconds per handler call for bridged modules, invisible for a module performing one expensive computation and the reason §5.4's rule is narrow for a chatty one. Bulk data does not pay it. </w:t>
      </w:r>
      <w:r>
        <w:rPr>
          <w:b/>
        </w:rPr>
        <w:t xml:space="preserve">Concurrency</w:t>
      </w:r>
      <w:r>
        <w:t xml:space="preserve"> defaults to two job workers, the correct default for a single VM shared by several users, because process mining jobs are CPU-bound and oversubscription degrades everyone's latency rather than improving throughput.</w:t>
      </w:r>
    </w:p>
    <w:p>
      <w:pPr>
        <w:pStyle w:val="BasicText"/>
      </w:pPr>
      <w:r>
        <w:rPr>
          <w:b/>
        </w:rPr>
        <w:t xml:space="preserve">Where the single-node design becomes binding.</w:t>
      </w:r>
      <w:r>
        <w:t xml:space="preserve"> Three thresholds, in the order reached. </w:t>
      </w:r>
      <w:r>
        <w:rPr>
          <w:b/>
        </w:rPr>
        <w:t xml:space="preserve">Concurrent heavy analyses</w:t>
      </w:r>
      <w:r>
        <w:t xml:space="preserve">: a handful of users each running discovery on a large log saturates the worker pool, and the only remedies are queueing and a bigger machine. </w:t>
      </w:r>
      <w:r>
        <w:rPr>
          <w:b/>
        </w:rPr>
        <w:t xml:space="preserve">Memory</w:t>
      </w:r>
      <w:r>
        <w:t xml:space="preserve">, when one module needs a whole log as a DataFrame and the log no longer fits. </w:t>
      </w:r>
      <w:r>
        <w:rPr>
          <w:b/>
        </w:rPr>
        <w:t xml:space="preserve">Disk</w:t>
      </w:r>
      <w:r>
        <w:t xml:space="preserve">, which the object-storage backend defers rather than removes, since the metadata database and module environments remain local. None has a fix inside the current architecture, which is the point of §5.10 and §11.1.</w:t>
      </w:r>
    </w:p>
    <w:p>
      <w:pPr>
        <w:pStyle w:val="Heading2"/>
      </w:pPr>
      <w:r>
        <w:t xml:space="preserve">Threats to Validity</w:t>
      </w:r>
    </w:p>
    <w:p>
      <w:pPr>
        <w:pStyle w:val="BasicText"/>
      </w:pPr>
      <w:r>
        <w:rPr>
          <w:b/>
        </w:rPr>
        <w:t xml:space="preserve">Self-assessment.</w:t>
      </w:r>
      <w:r>
        <w:t xml:space="preserve"> The evaluation was performed by the team that built the system against criteria the same team wrote. The criteria were fixed before the outcome was known and are falsifiable, which mitigates but does not remove the bias.</w:t>
      </w:r>
    </w:p>
    <w:p>
      <w:pPr>
        <w:pStyle w:val="BasicText"/>
      </w:pPr>
      <w:r>
        <w:rPr>
          <w:b/>
        </w:rPr>
        <w:t xml:space="preserve">Absence of external users.</w:t>
      </w:r>
      <w:r>
        <w:t xml:space="preserve"> No controlled study of module authoring was conducted, and the usability evidence is one informal session with one external user. That session was nonetheless the source of the most substantive design criticism the project received (§6.7), which suggests the marginal value of more such sessions would have been high.</w:t>
      </w:r>
    </w:p>
    <w:p>
      <w:pPr>
        <w:pStyle w:val="BasicText"/>
      </w:pPr>
      <w:r>
        <w:rPr>
          <w:b/>
        </w:rPr>
        <w:t xml:space="preserve">Comparison partly from documentation.</w:t>
      </w:r>
      <w:r>
        <w:t xml:space="preserve"> The commercial suites were assessed from vendor documentation rather than hands-on use under a full licence. The resulting judgements about architecture, deployment model and extension governance are reliable; judgements about day-to-day usability would not be, and none are made.</w:t>
      </w:r>
    </w:p>
    <w:p>
      <w:pPr>
        <w:pStyle w:val="BasicText"/>
      </w:pPr>
      <w:r>
        <w:rPr>
          <w:b/>
        </w:rPr>
        <w:t xml:space="preserve">Single hardware configuration.</w:t>
      </w:r>
      <w:r>
        <w:t xml:space="preserve"> Every performance observation comes from one virtual machine and a few developer laptops, and no figure in §10.5 characterises the software independently of that hardware.</w:t>
      </w:r>
    </w:p>
    <w:p>
      <w:pPr>
        <w:pStyle w:val="BasicText"/>
      </w:pPr>
      <w:r>
        <w:rPr>
          <w:b/>
        </w:rPr>
        <w:t xml:space="preserve">Survivorship in the module set.</w:t>
      </w:r>
      <w:r>
        <w:t xml:space="preserve"> The seventeen modules are the ones that were completed. Methods too awkward to integrate would not appear here; the authors are not aware of an instance, but absence of a recorded failure is not evidence that none occurred.</w:t>
      </w:r>
    </w:p>
    <w:p>
      <w:pPr>
        <w:pStyle w:val="Heading1"/>
      </w:pPr>
      <w:r>
        <w:t xml:space="preserve">Discussion: Limitations and Open Questions</w:t>
      </w:r>
    </w:p>
    <w:p>
      <w:pPr>
        <w:pStyle w:val="Heading2"/>
      </w:pPr>
      <w:r>
        <w:t xml:space="preserve">Architectural Limitations</w:t>
      </w:r>
    </w:p>
    <w:p>
      <w:pPr>
        <w:pStyle w:val="BasicText"/>
      </w:pPr>
      <w:r>
        <w:t xml:space="preserve">Each limitation is labelled </w:t>
      </w:r>
      <w:r>
        <w:rPr>
          <w:b/>
        </w:rPr>
        <w:t xml:space="preserve">intrinsic</w:t>
      </w:r>
      <w:r>
        <w:t xml:space="preserve">, following from a decision that defines the system, or </w:t>
      </w:r>
      <w:r>
        <w:rPr>
          <w:b/>
        </w:rPr>
        <w:t xml:space="preserve">unimplemented</w:t>
      </w:r>
      <w:r>
        <w:t xml:space="preserve">, buildable without contradicting the design.</w:t>
      </w:r>
    </w:p>
    <w:p>
      <w:pPr>
        <w:pStyle w:val="BasicText"/>
      </w:pPr>
      <w:r>
        <w:rPr>
          <w:b/>
        </w:rPr>
        <w:t xml:space="preserve">Single-host operation (intrinsic).</w:t>
      </w:r>
      <w:r>
        <w:t xml:space="preserve"> The platform runs on one machine and schedules nothing across machines. This follows from design goal G1: distributing work would require a broker or shared queue, and eliminating exactly that class of dependency is what makes the system deployable by a person rather than a team. Within that premise the job runtime could dispatch to a worker on another host if the storage layer's multi-node seams were closed; what is intrinsic is the metadata database, a single-writer SQLite file that would have to be replaced to admit a second writer.</w:t>
      </w:r>
    </w:p>
    <w:p>
      <w:pPr>
        <w:pStyle w:val="BasicText"/>
      </w:pPr>
      <w:r>
        <w:rPr>
          <w:b/>
        </w:rPr>
        <w:t xml:space="preserve">The interpreter lock on in-process modules (intrinsic).</w:t>
      </w:r>
      <w:r>
        <w:t xml:space="preserve"> Modules loaded into the platform's process are ABI-locked to its interpreter; the escape hatch is subprocess isolation, which exists precisely because the lock cannot be removed. What is arguably unimplemented is the ergonomics: a module could be promoted to subprocess isolation automatically when its declared Python range excludes the platform's, rather than failing to load.</w:t>
      </w:r>
    </w:p>
    <w:p>
      <w:pPr>
        <w:pStyle w:val="BasicText"/>
      </w:pPr>
      <w:r>
        <w:rPr>
          <w:b/>
        </w:rPr>
        <w:t xml:space="preserve">The memory ceiling for large logs (partly intrinsic).</w:t>
      </w:r>
      <w:r>
        <w:t xml:space="preserve"> Aggregation in DuckDB is bounded by configuration and scales well; any module materialising the whole log as a DataFrame or PM4Py object is bounded by the log, and the platform cannot make an arbitrary algorithm streaming. What is unimplemented is a per-module memory budget that would fail such a module cleanly instead of degrading the instance (§5.10).</w:t>
      </w:r>
    </w:p>
    <w:p>
      <w:pPr>
        <w:pStyle w:val="BasicText"/>
      </w:pPr>
      <w:r>
        <w:rPr>
          <w:b/>
        </w:rPr>
        <w:t xml:space="preserve">The trust assumption on installed modules (unimplemented).</w:t>
      </w:r>
      <w:r>
        <w:t xml:space="preserve"> A module runs with the platform's privileges and installing one is equivalent to running code on the server (§5.9). This is unimplemented rather than intrinsic: containerising each module, dropping capabilities or applying a filesystem namespace are all possible, and none was done because the deployment's users are known and the engineering cost was judged better spent elsewhere. The consequence is that the platform suits an institution whose module authors are identifiable and does not suit a public service accepting arbitrary uploads.</w:t>
      </w:r>
    </w:p>
    <w:p>
      <w:pPr>
        <w:pStyle w:val="Heading2"/>
      </w:pPr>
      <w:r>
        <w:t xml:space="preserve">Limitations of the Authoring Experience</w:t>
      </w:r>
    </w:p>
    <w:p>
      <w:pPr>
        <w:pStyle w:val="BasicText"/>
      </w:pPr>
      <w:r>
        <w:t xml:space="preserve">Chapter 8 revealed a barrier to entry separate from the architecture and mostly cheaper to fix.</w:t>
      </w:r>
    </w:p>
    <w:p>
      <w:pPr>
        <w:pStyle w:val="BasicText"/>
      </w:pPr>
      <w:r>
        <w:rPr>
          <w:b/>
        </w:rPr>
        <w:t xml:space="preserve">Authoring requires cloning the platform repository (incidental).</w:t>
      </w:r>
      <w:r>
        <w:t xml:space="preserve"> There is no installable SDK distribution: an author must clone the whole monorepo to get the SDK, the running platform and the reload loop. Publishing the Python SDK as a package with a small development harness would remove this, and it is the single change that would most improve the authoring experience.</w:t>
      </w:r>
    </w:p>
    <w:p>
      <w:pPr>
        <w:pStyle w:val="BasicText"/>
      </w:pPr>
      <w:r>
        <w:rPr>
          <w:b/>
        </w:rPr>
        <w:t xml:space="preserve">There is no scaffolding command (incidental).</w:t>
      </w:r>
      <w:r>
        <w:t xml:space="preserve"> Every author begins by copying an existing module. A </w:t>
      </w:r>
      <w:r>
        <w:rPr>
          <w:rFonts w:ascii="Courier New" w:hAnsi="Courier New"/>
          <w:sz w:val="20"/>
        </w:rPr>
        <w:t xml:space="preserve">make new-module</w:t>
      </w:r>
      <w:r>
        <w:t xml:space="preserve"> target generating a manifest, a class, a test and a panel stub is an afternoon's work and was never prioritised.</w:t>
      </w:r>
    </w:p>
    <w:p>
      <w:pPr>
        <w:pStyle w:val="BasicText"/>
      </w:pPr>
      <w:r>
        <w:rPr>
          <w:b/>
        </w:rPr>
        <w:t xml:space="preserve">First-boot dependency cost (structural, mitigated).</w:t>
      </w:r>
      <w:r>
        <w:t xml:space="preserve"> Several minutes on a clean checkout is the price of per-module isolation (§5.3) and cannot be removed without giving up the property that makes conflicting dependencies possible. It could be mitigated by pre-warming a wheel cache in the image or resolving modules lazily on first use; neither was done.</w:t>
      </w:r>
    </w:p>
    <w:p>
      <w:pPr>
        <w:pStyle w:val="BasicText"/>
      </w:pPr>
      <w:r>
        <w:rPr>
          <w:b/>
        </w:rPr>
        <w:t xml:space="preserve">Manual restart for discovery outside the reload modes (incidental).</w:t>
      </w:r>
      <w:r>
        <w:t xml:space="preserve"> Hot reload is gated to development, so in the containerised default mode adding a module folder requires a restart.</w:t>
      </w:r>
    </w:p>
    <w:p>
      <w:pPr>
        <w:pStyle w:val="BasicText"/>
      </w:pPr>
      <w:r>
        <w:rPr>
          <w:b/>
        </w:rPr>
        <w:t xml:space="preserve">Four leaks in the abstraction (mixed).</w:t>
      </w:r>
      <w:r>
        <w:t xml:space="preserve"> Enumerated in §8.12. Two are cheaply fixable: the panel allow-list error message could name the allow-list, and the </w:t>
      </w:r>
      <w:r>
        <w:rPr>
          <w:rFonts w:ascii="Courier New" w:hAnsi="Courier New"/>
          <w:sz w:val="20"/>
        </w:rPr>
        <w:t xml:space="preserve">@on_event</w:t>
      </w:r>
      <w:r>
        <w:t xml:space="preserve">-without-</w:t>
      </w:r>
      <w:r>
        <w:rPr>
          <w:rFonts w:ascii="Courier New" w:hAnsi="Courier New"/>
          <w:sz w:val="20"/>
        </w:rPr>
        <w:t xml:space="preserve">@job</w:t>
      </w:r>
      <w:r>
        <w:t xml:space="preserve"> case could emit a startup warning, since that combination is almost always a mistake. Two are structural: the once-per-process rule cannot be expressed in Python's type system, and the gate-versus-selector distinction for </w:t>
      </w:r>
      <w:r>
        <w:rPr>
          <w:rFonts w:ascii="Courier New" w:hAnsi="Courier New"/>
          <w:sz w:val="20"/>
        </w:rPr>
        <w:t xml:space="preserve">requires-python</w:t>
      </w:r>
      <w:r>
        <w:t xml:space="preserve"> is a genuine consequence of how in-process loading works.</w:t>
      </w:r>
    </w:p>
    <w:p>
      <w:pPr>
        <w:pStyle w:val="Heading2"/>
      </w:pPr>
      <w:r>
        <w:t xml:space="preserve">Functionality Not Realised</w:t>
      </w:r>
    </w:p>
    <w:p>
      <w:pPr>
        <w:pStyle w:val="BasicText"/>
      </w:pPr>
      <w:r>
        <w:t xml:space="preserve">Shortfalls, distinct from the deliberate non-goals of §1.4.</w:t>
      </w:r>
    </w:p>
    <w:p>
      <w:pPr>
        <w:pStyle w:val="BasicText"/>
      </w:pPr>
      <w:r>
        <w:rPr>
          <w:b/>
        </w:rPr>
        <w:t xml:space="preserve">The cross-module view of an activity or variant.</w:t>
      </w:r>
      <w:r>
        <w:t xml:space="preserve"> The clearest request from user testing (§6.7) and the most substantial thing not built. Partial groundwork exists in the drill-down parameter convention and the shared canvas contract, but the platform-level abstraction it needs, an activity or variant as an addressable entity modules can annotate, does not. It was not built because it is a design question rather than an implementation task, and the project ran out of time to answer it properly.</w:t>
      </w:r>
    </w:p>
    <w:p>
      <w:pPr>
        <w:pStyle w:val="BasicText"/>
      </w:pPr>
      <w:r>
        <w:rPr>
          <w:b/>
        </w:rPr>
        <w:t xml:space="preserve">A model shipped with the drift-detection module.</w:t>
      </w:r>
      <w:r>
        <w:t xml:space="preserve"> The module is enabled by default and subscribes to the import event, so on an installation without a model every import starts a job that fails (§7.4). The proper fix is to ship a model, disable the module by default, or make it skip cleanly when no model is configured. The last is small and should have been done.</w:t>
      </w:r>
    </w:p>
    <w:p>
      <w:pPr>
        <w:pStyle w:val="BasicText"/>
      </w:pPr>
      <w:r>
        <w:rPr>
          <w:b/>
        </w:rPr>
        <w:t xml:space="preserve">Node and R runtimes.</w:t>
      </w:r>
      <w:r>
        <w:t xml:space="preserve"> Reserved in the manifest schema and rejected at load. The JVM runtime proved the abstraction; the others were deprioritised once it was clear the Java ecosystem covered the research the project cared about.</w:t>
      </w:r>
    </w:p>
    <w:p>
      <w:pPr>
        <w:pStyle w:val="BasicText"/>
      </w:pPr>
      <w:r>
        <w:rPr>
          <w:b/>
        </w:rPr>
        <w:t xml:space="preserve">A shared time-slicing helper.</w:t>
      </w:r>
      <w:r>
        <w:t xml:space="preserve"> Four over-time modules duplicate the same windowing logic. §6.7 records this as a lesson recognised and deliberately not acted upon, because the four aggregate differently and a helper general enough for all would have been harder to use than the duplication. It is listed here so the decision is visible rather than looking like an oversight.</w:t>
      </w:r>
    </w:p>
    <w:p>
      <w:pPr>
        <w:pStyle w:val="BasicText"/>
      </w:pPr>
      <w:r>
        <w:rPr>
          <w:b/>
        </w:rPr>
        <w:t xml:space="preserve">A conservative default for usage capture.</w:t>
      </w:r>
      <w:r>
        <w:t xml:space="preserve"> The shipped default enables capture for every user and removes the opt-out (§7.6). Defensible for a research deployment with separately informed participants; the wrong default otherwise, and changing it would have cost nothing.</w:t>
      </w:r>
    </w:p>
    <w:p>
      <w:pPr>
        <w:pStyle w:val="Heading2"/>
      </w:pPr>
      <w:r>
        <w:t xml:space="preserve">Open Architectural Seams</w:t>
      </w:r>
    </w:p>
    <w:p>
      <w:pPr>
        <w:pStyle w:val="BasicText"/>
      </w:pPr>
      <w:r>
        <w:t xml:space="preserve">Places where the design anticipates an extension it does not support. These are the natural entry points for successor work.</w:t>
      </w:r>
    </w:p>
    <w:p>
      <w:pPr>
        <w:pStyle w:val="BasicText"/>
      </w:pPr>
      <w:r>
        <w:rPr>
          <w:b/>
        </w:rPr>
        <w:t xml:space="preserve">Multi-node coordination in the storage layer.</w:t>
      </w:r>
      <w:r>
        <w:t xml:space="preserve"> The object-storage redesign explicitly identified and left open the seams a second node would need: the local cache is per-node with no cross-node invalidation, and the metadata database is a single-writer store whose loss would orphan every object in the bucket. Closing them is the prerequisite for horizontal scaling.</w:t>
      </w:r>
    </w:p>
    <w:p>
      <w:pPr>
        <w:pStyle w:val="BasicText"/>
      </w:pPr>
      <w:r>
        <w:rPr>
          <w:b/>
        </w:rPr>
        <w:t xml:space="preserve">Further runtime kinds.</w:t>
      </w:r>
      <w:r>
        <w:t xml:space="preserve"> The runtime abstraction has exactly two seams and one implementation beyond Python. Adding Node or R is writing a </w:t>
      </w:r>
      <w:r>
        <w:rPr>
          <w:rFonts w:ascii="Courier New" w:hAnsi="Courier New"/>
          <w:sz w:val="20"/>
        </w:rPr>
        <w:t xml:space="preserve">materialize</w:t>
      </w:r>
      <w:r>
        <w:t xml:space="preserve">, a </w:t>
      </w:r>
      <w:r>
        <w:rPr>
          <w:rFonts w:ascii="Courier New" w:hAnsi="Courier New"/>
          <w:sz w:val="20"/>
        </w:rPr>
        <w:t xml:space="preserve">launch_spec</w:t>
      </w:r>
      <w:r>
        <w:t xml:space="preserve"> and an SDK against the existing protocol, with the conformance suite as the acceptance test. This is the best-specified piece of successor work in the project.</w:t>
      </w:r>
    </w:p>
    <w:p>
      <w:pPr>
        <w:pStyle w:val="BasicText"/>
      </w:pPr>
      <w:r>
        <w:rPr>
          <w:b/>
        </w:rPr>
        <w:t xml:space="preserve">Versioned module coexistence.</w:t>
      </w:r>
      <w:r>
        <w:t xml:space="preserve"> Would require versioned route mounting, capability names and event topics. The design is coherent; the machinery is absent.</w:t>
      </w:r>
    </w:p>
    <w:p>
      <w:pPr>
        <w:pStyle w:val="BasicText"/>
      </w:pPr>
      <w:r>
        <w:rPr>
          <w:b/>
        </w:rPr>
        <w:t xml:space="preserve">Per-module resource governance.</w:t>
      </w:r>
      <w:r>
        <w:t xml:space="preserve"> The job execution timeout and the CPU-offload pool are the beginnings of it. A real implementation needs per-module accounting and a policy layer.</w:t>
      </w:r>
    </w:p>
    <w:p>
      <w:pPr>
        <w:pStyle w:val="BasicText"/>
      </w:pPr>
      <w:r>
        <w:rPr>
          <w:b/>
        </w:rPr>
        <w:t xml:space="preserve">A general declaration vocabulary for external resources.</w:t>
      </w:r>
      <w:r>
        <w:t xml:space="preserve"> §6.5 found that the manifest describes package dependencies well and has no vocabulary for "requires a service at an operator-supplied address" or "transmits data to a user-configured destination". Both were handled by narrow fields. Generalising them into a capability-and-permission model is the seam, and it is also the precondition for any move towards adversarial containment, because a sandbox needs to know what a module is entitled to do.</w:t>
      </w:r>
    </w:p>
    <w:p>
      <w:pPr>
        <w:pStyle w:val="Heading2"/>
      </w:pPr>
      <w:r>
        <w:t xml:space="preserve">Transferability of the Results</w:t>
      </w:r>
    </w:p>
    <w:p>
      <w:pPr>
        <w:pStyle w:val="BasicText"/>
      </w:pPr>
      <w:r>
        <w:t xml:space="preserve">Three results are not specific to process mining, and one is.</w:t>
      </w:r>
    </w:p>
    <w:p>
      <w:pPr>
        <w:pStyle w:val="BasicText"/>
      </w:pPr>
      <w:r>
        <w:rPr>
          <w:b/>
        </w:rPr>
        <w:t xml:space="preserve">The module contract generalises.</w:t>
      </w:r>
      <w:r>
        <w:t xml:space="preserve"> Nothing in it mentions event logs: a manifest declares registration, requirements and dependencies; a class instantiated once per process carries route, event and job handlers; a Protocol-typed context supplies data access, a scoped cache, configuration, progress and inter-module communication. Any analytical platform whose workload is </w:t>
      </w:r>
      <w:r>
        <w:rPr>
          <w:i/>
        </w:rPr>
        <w:t xml:space="preserve">artefact in, artefact out</w:t>
      </w:r>
      <w:r>
        <w:t xml:space="preserve"> over a large shared dataset could adopt it directly, and bioinformatics pipelines, geospatial analysis and simulation platforms have the same shape. It assumes extensions are compute-oriented and stateless between invocations, and would transfer badly to extensions that must own long-lived state or a socket of their own.</w:t>
      </w:r>
    </w:p>
    <w:p>
      <w:pPr>
        <w:pStyle w:val="BasicText"/>
      </w:pPr>
      <w:r>
        <w:rPr>
          <w:b/>
        </w:rPr>
        <w:t xml:space="preserve">The declared-event ordering model generalises</w:t>
      </w:r>
      <w:r>
        <w:t xml:space="preserve">, and is the result this report would most readily recommend to others. Expressing "run after X" as a subscription to X's completion event rather than as a priority number gives three properties for free: the reason is recorded rather than encoded, ordering composes transitively without authors coordinating numbers, and failure semantics fall out, because an event not emitted skips dependants automatically (§5.6). It assumes the dependency graph is acyclic and that completion is observable.</w:t>
      </w:r>
    </w:p>
    <w:p>
      <w:pPr>
        <w:pStyle w:val="BasicText"/>
      </w:pPr>
      <w:r>
        <w:rPr>
          <w:b/>
        </w:rPr>
        <w:t xml:space="preserve">The readiness-gate design generalises</w:t>
      </w:r>
      <w:r>
        <w:t xml:space="preserve">, with one caveat. Freezing the expected set at the start of a workflow, deriving completion from persisted records rather than in-memory counters so a restart recovers, and treating </w:t>
      </w:r>
      <w:r>
        <w:rPr>
          <w:i/>
        </w:rPr>
        <w:t xml:space="preserve">any</w:t>
      </w:r>
      <w:r>
        <w:t xml:space="preserve"> terminal state as releasing the gate are all domain-independent. The caveat is that freezing trades flexibility for determinism, which is right when the workflow is short relative to the deployment's change rate and wrong when it is not.</w:t>
      </w:r>
    </w:p>
    <w:p>
      <w:pPr>
        <w:pStyle w:val="BasicText"/>
      </w:pPr>
      <w:r>
        <w:rPr>
          <w:b/>
        </w:rPr>
        <w:t xml:space="preserve">What does not generalise</w:t>
      </w:r>
      <w:r>
        <w:t xml:space="preserve"> is the specific storage split. Parquet plus an embedded columnar engine for immutable facts, with a relational store for mutable metadata, is right because event logs are written once and read by aggregation. A domain whose primary data is mutable, or whose reads are point lookups rather than scans, should not copy it.</w:t>
      </w:r>
    </w:p>
    <w:p>
      <w:pPr>
        <w:pStyle w:val="Heading2"/>
      </w:pPr>
      <w:r>
        <w:t xml:space="preserve">Directions for Future Work</w:t>
      </w:r>
    </w:p>
    <w:p>
      <w:pPr>
        <w:pStyle w:val="BasicText"/>
      </w:pPr>
      <w:r>
        <w:t xml:space="preserve">Five items in priority order, each tied to a limitation above and scoped to what a successor team could realistically do.</w:t>
      </w:r>
    </w:p>
    <w:p>
      <w:pPr>
        <w:pStyle w:val="BasicTextNumberedList"/>
        <w:numPr>
          <w:ilvl w:val="0"/>
          <w:numId w:val="102"/>
        </w:numPr>
      </w:pPr>
      <w:r>
        <w:rPr>
          <w:b/>
        </w:rPr>
        <w:t xml:space="preserve">Make the drift-detection module skip cleanly without a model.</w:t>
      </w:r>
      <w:r>
        <w:t xml:space="preserve"> Half a day. Removes the worst first-impression defect on a fresh deployment (§11.3).</w:t>
      </w:r>
    </w:p>
    <w:p>
      <w:pPr>
        <w:pStyle w:val="BasicTextNumberedList"/>
        <w:numPr>
          <w:ilvl w:val="0"/>
          <w:numId w:val="102"/>
        </w:numPr>
      </w:pPr>
      <w:r>
        <w:rPr>
          <w:b/>
        </w:rPr>
        <w:t xml:space="preserve">Publish the SDK as an installable package and add a scaffolding command.</w:t>
      </w:r>
      <w:r>
        <w:t xml:space="preserve"> One to two weeks. Removes the largest friction in the authoring experience (§11.2) and is the prerequisite for any credible external-author study, which is in turn the missing evidence for the report's central claim (§10.4).</w:t>
      </w:r>
    </w:p>
    <w:p>
      <w:pPr>
        <w:pStyle w:val="BasicTextNumberedList"/>
        <w:numPr>
          <w:ilvl w:val="0"/>
          <w:numId w:val="102"/>
        </w:numPr>
      </w:pPr>
      <w:r>
        <w:rPr>
          <w:b/>
        </w:rPr>
        <w:t xml:space="preserve">Build the cross-module view of an activity and a variant.</w:t>
      </w:r>
      <w:r>
        <w:t xml:space="preserve"> Four to six weeks, the first of them design. Introduce the addressable entity, let modules annotate it, and render the aggregate view; the drill-down convention and canvas contract are the foundation (§11.3). This is the highest-value functional addition and the one users actually asked for.</w:t>
      </w:r>
    </w:p>
    <w:p>
      <w:pPr>
        <w:pStyle w:val="BasicTextNumberedList"/>
        <w:numPr>
          <w:ilvl w:val="0"/>
          <w:numId w:val="102"/>
        </w:numPr>
      </w:pPr>
      <w:r>
        <w:rPr>
          <w:b/>
        </w:rPr>
        <w:t xml:space="preserve">Replace the discovery module's graph layout.</w:t>
      </w:r>
      <w:r>
        <w:t xml:space="preserve"> Two to four weeks. The current layout degrades on large graphs. Concrete candidates are a Sugiyama-style layered layout and the backbone-based process map construction of Lee et al. (2026), whose optimised formulation the module already cites. This is self-contained module work requiring no platform change, which makes it a good first task for a successor.</w:t>
      </w:r>
    </w:p>
    <w:p>
      <w:pPr>
        <w:pStyle w:val="BasicTextNumberedList"/>
        <w:numPr>
          <w:ilvl w:val="0"/>
          <w:numId w:val="102"/>
        </w:numPr>
      </w:pPr>
      <w:r>
        <w:rPr>
          <w:b/>
        </w:rPr>
        <w:t xml:space="preserve">Close the multi-node storage seams.</w:t>
      </w:r>
      <w:r>
        <w:t xml:space="preserve"> Six weeks or more, worth starting only if a deployment needs it: cross-node cache invalidation and a replacement for the single-writer metadata store, in that order (§11.4).</w:t>
      </w:r>
    </w:p>
    <w:p>
      <w:pPr>
        <w:pStyle w:val="BasicText"/>
      </w:pPr>
      <w:r>
        <w:t xml:space="preserve">Two items are deliberately </w:t>
      </w:r>
      <w:r>
        <w:rPr>
          <w:b/>
        </w:rPr>
        <w:t xml:space="preserve">not</w:t>
      </w:r>
      <w:r>
        <w:t xml:space="preserve"> proposed. Adversarial containment of modules is a large piece of work that changes what the platform is, and should be undertaken only if the user population comes to include untrusted authors. And a connector ecosystem, however valuable, is a multi-year commitment competing directly with vendors whose entire business is that asset.</w:t>
      </w:r>
    </w:p>
    <w:p>
      <w:pPr>
        <w:pStyle w:val="Heading1"/>
      </w:pPr>
      <w:r>
        <w:t xml:space="preserve">Conclusion</w:t>
      </w:r>
    </w:p>
    <w:p>
      <w:pPr>
        <w:pStyle w:val="BasicText"/>
      </w:pPr>
      <w:r>
        <w:t xml:space="preserve">Process mining research produces new methods faster than the tools people actually analyse processes with can absorb them. The commercial suites are analytically broad, operationally mature and closed: extension happens inside a vendor-governed application model, so a method published this year cannot be run in them this year. The open toolkits are genuinely extensible, and are single-user, stateless and interface-less, because multi-user operation was never in their scope. A researcher with a published method has no path to a place where a non-developer can use it.</w:t>
      </w:r>
    </w:p>
    <w:p>
      <w:pPr>
        <w:pStyle w:val="BasicText"/>
      </w:pPr>
      <w:r>
        <w:t xml:space="preserve">The approach taken here was to build the missing layer rather than another algorithm. Mate is a locally hosted, multi-user process mining platform whose defining property is that </w:t>
      </w:r>
      <w:r>
        <w:rPr>
          <w:b/>
        </w:rPr>
        <w:t xml:space="preserve">analysis methods are contributed as self-contained modules the platform discovers, isolates and mounts, without modification to the platform itself</w:t>
      </w:r>
      <w:r>
        <w:t xml:space="preserve">. Two application services and a bundled identity provider run on one host with embedded storage, no broker and no cloud dependency. A manifest declares a module's registration, requirements and dependencies; a class instantiated once per process carries route, event and job handlers; a Protocol-typed context supplies data access, a scoped result cache, configuration, progress reporting and inter-module communication. Each module resolves its own dependencies into its own environment, and a module needing a different interpreter, or a different language entirely, runs behind a documented worker protocol instead.</w:t>
      </w:r>
    </w:p>
    <w:p>
      <w:pPr>
        <w:pStyle w:val="BasicText"/>
      </w:pPr>
      <w:r>
        <w:t xml:space="preserve">The guiding question of §1.2 asked whether such a platform could be built without its own analytical functionality receiving any privilege a third-party extension does not also receive. The answer is </w:t>
      </w:r>
      <w:r>
        <w:rPr>
          <w:b/>
        </w:rPr>
        <w:t xml:space="preserve">yes</w:t>
      </w:r>
      <w:r>
        <w:t xml:space="preserve">, and the evidence is structural rather than rhetorical: all seventeen bundled modules, including the three supplying the platform's baseline discovery, performance and object-centric capabilities, are authored through the same public SDK, and the platform's source contains no module-specific branch, registry entry or import. The constraint was self-imposed precisely because a contract its authors need not use is one whose inadequacies never surface.</w:t>
      </w:r>
    </w:p>
    <w:p>
      <w:pPr>
        <w:pStyle w:val="BasicText"/>
      </w:pPr>
      <w:r>
        <w:t xml:space="preserve">Three claims are supported by the work reported here.</w:t>
      </w:r>
    </w:p>
    <w:p>
      <w:pPr>
        <w:pStyle w:val="BasicText"/>
      </w:pPr>
      <w:r>
        <w:rPr>
          <w:b/>
        </w:rPr>
        <w:t xml:space="preserve">The module contract carries first-party and third-party, Python and non-Python extensions alike.</w:t>
      </w:r>
      <w:r>
        <w:t xml:space="preserve"> Six integrations produced 2,298 lines of platform change in total, all in one integration and all building the general JVM runtime rather than accommodating a particular module; the other five changed nothing. A research repository of command-line scripts, a Java algorithm shipped as a jar with no Python in the module folder at all, a module requiring a graph database beside the platform, and a module calling an external language model were all absorbed by the same mechanism.</w:t>
      </w:r>
    </w:p>
    <w:p>
      <w:pPr>
        <w:pStyle w:val="BasicText"/>
      </w:pPr>
      <w:r>
        <w:rPr>
          <w:b/>
        </w:rPr>
        <w:t xml:space="preserve">Isolation holds across every layer.</w:t>
      </w:r>
      <w:r>
        <w:t xml:space="preserve"> One identity claim keys database rows, on-disk directories, job records and live event envelopes, with a single deliberate exception, read-only dashboard sharing, confined to one auditable module of predicates.</w:t>
      </w:r>
    </w:p>
    <w:p>
      <w:pPr>
        <w:pStyle w:val="BasicText"/>
      </w:pPr>
      <w:r>
        <w:rPr>
          <w:b/>
        </w:rPr>
        <w:t xml:space="preserve">Local operation is achievable without an operations team.</w:t>
      </w:r>
      <w:r>
        <w:t xml:space="preserve"> One idempotent script takes a bare virtual machine to an authenticated, TLS-terminated deployment behind the institutional proxy, and the same repository runs unchanged on a laptop.</w:t>
      </w:r>
    </w:p>
    <w:p>
      <w:pPr>
        <w:pStyle w:val="BasicText"/>
      </w:pPr>
      <w:r>
        <w:t xml:space="preserve">What remains unproven should be stated with equal directness. </w:t>
      </w:r>
      <w:r>
        <w:rPr>
          <w:b/>
        </w:rPr>
        <w:t xml:space="preserve">The extensibility claim rests on six integrations by the people who wrote the contract.</w:t>
      </w:r>
      <w:r>
        <w:t xml:space="preserve"> They knew it without reading it, they could change it when it did not fit and did so five times, and the modules were chosen partly because they would stress the mechanism. No external author has been observed working through Chapter 8 under conditions that would let anyone measure what it costs, so the authoring experience, as opposed to the contract, is not measured at all. Nor is the isolation claim a security claim: a module runs with the platform's privileges, and installing one is equivalent to running code on the server. Analytical breadth is not close to the commercial suites, there is no connector ecosystem, and the single-host design becomes binding at a predictable and not very high threshold of concurrent heavy analyses.</w:t>
      </w:r>
    </w:p>
    <w:p>
      <w:pPr>
        <w:pStyle w:val="BasicText"/>
      </w:pPr>
      <w:r>
        <w:t xml:space="preserve">For the institutional context in which the system now runs, the significance is concrete. Event logs that could not previously be analysed in a hosted tool, because the data may not leave the university, can be analysed here. A cohort of students can be given accounts on one installation instead of twenty desktop environments, and the artefacts they produce outlive any licence. A master's thesis on complexity metrics and a published drift-detection method have both become things a person can click on. And the next method to arrive costs its author a manifest, a class and an adapter, rather than a product.</w:t>
      </w:r>
    </w:p>
    <w:p>
      <w:pPr>
        <w:pStyle w:val="BasicText"/>
      </w:pPr>
      <w:r>
        <w:t xml:space="preserve">That last property is the one worth generalising. Nothing in the contract, the declared-event ordering model or the readiness gate mentions event logs; they would transfer to any analytical platform whose workload is an artefact in and an artefact out over a large shared dataset. The specific contribution of this project is not a process mining technique. It is the demonstration that the distance between a published method and a usable one can be made short, and that making it short does not require giving up either local operation or multi-user isolation.</w:t>
      </w:r>
    </w:p>
    <w:p w14:paraId="1DA6B1AD" w14:textId="77777777" w:rsidR="00B07CC5" w:rsidRPr="00EF35B9" w:rsidRDefault="00705EB3" w:rsidP="00644ECF">
      <w:pPr>
        <w:pStyle w:val="Heading1"/>
        <w:numPr>
          <w:ilvl w:val="0"/>
          <w:numId w:val="0"/>
        </w:numPr>
      </w:pPr>
      <w:bookmarkStart w:id="95" w:name="_Toc236492798"/>
      <w:r>
        <w:lastRenderedPageBreak/>
        <w:t>References</w:t>
      </w:r>
      <w:bookmarkEnd w:id="95"/>
    </w:p>
    <w:p>
      <w:pPr>
        <w:pStyle w:val="Bibliography"/>
      </w:pPr>
      <w:r>
        <w:t xml:space="preserve">Abb, L., &amp; Rehse, J.-R. (2024). A reference data model for process-related user interaction logs. Information Systems, 124, 102386. https://doi.org/10.1016/j.is.2024.102386</w:t>
      </w:r>
    </w:p>
    <w:p w14:paraId="3C925F9D" w14:textId="77777777" w:rsidR="00E73916" w:rsidRPr="00E73916" w:rsidRDefault="00E73916" w:rsidP="00E73916">
      <w:pPr>
        <w:pStyle w:val="Bibliography"/>
        <w:rPr>
          <w:lang w:val="en-US"/>
        </w:rPr>
      </w:pPr>
      <w:r>
        <w:t xml:space="preserve">Adams, J. N., Pitsch, C., Brockhoff, T., &amp; Van Der Aalst, W. M. P. (2023). </w:t>
      </w:r>
      <w:r>
        <w:rPr>
          <w:lang w:val="en-US"/>
        </w:rPr>
        <w:t xml:space="preserve">An Experimental Evaluation of Process Concept Drift Detection. </w:t>
      </w:r>
      <w:r>
        <w:rPr>
          <w:i/>
          <w:iCs/>
          <w:lang w:val="en-US"/>
        </w:rPr>
        <w:t>Proceedings of the VLDB Endowment</w:t>
      </w:r>
      <w:r>
        <w:rPr>
          <w:lang w:val="en-US"/>
        </w:rPr>
        <w:t xml:space="preserve">, </w:t>
      </w:r>
      <w:r>
        <w:rPr>
          <w:i/>
          <w:iCs/>
          <w:lang w:val="en-US"/>
        </w:rPr>
        <w:t>16</w:t>
      </w:r>
      <w:r>
        <w:rPr>
          <w:lang w:val="en-US"/>
        </w:rPr>
        <w:t>(8), 1856–1869. https://doi.org/10.14778/3594512.3594517</w:t>
      </w:r>
    </w:p>
    <w:p w14:paraId="566AEFB6" w14:textId="77777777" w:rsidR="00E73916" w:rsidRPr="00E73916" w:rsidRDefault="00E73916" w:rsidP="00E73916">
      <w:pPr>
        <w:pStyle w:val="Bibliography"/>
        <w:rPr>
          <w:lang w:val="en-US"/>
        </w:rPr>
      </w:pPr>
      <w:r>
        <w:rPr>
          <w:lang w:val="en-US"/>
        </w:rPr>
        <w:t xml:space="preserve">Apache Software Foundation. (2024). </w:t>
      </w:r>
      <w:r>
        <w:rPr>
          <w:i/>
          <w:iCs/>
          <w:lang w:val="en-US"/>
        </w:rPr>
        <w:t>Apache Parquet documentation</w:t>
      </w:r>
      <w:r>
        <w:rPr>
          <w:lang w:val="en-US"/>
        </w:rPr>
        <w:t>. https://parquet.apache.org/docs/</w:t>
      </w:r>
    </w:p>
    <w:p w14:paraId="5F7B059D" w14:textId="77777777" w:rsidR="00E73916" w:rsidRPr="00E73916" w:rsidRDefault="00E73916" w:rsidP="00E73916">
      <w:pPr>
        <w:pStyle w:val="Bibliography"/>
        <w:rPr>
          <w:lang w:val="en-US"/>
        </w:rPr>
      </w:pPr>
      <w:r>
        <w:rPr>
          <w:lang w:val="en-US"/>
        </w:rPr>
        <w:t xml:space="preserve">Astral. (2024). </w:t>
      </w:r>
      <w:r>
        <w:rPr>
          <w:i/>
          <w:iCs/>
          <w:lang w:val="en-US"/>
        </w:rPr>
        <w:t>Ruff: An extremely fast Python linter and code formatter</w:t>
      </w:r>
      <w:r>
        <w:rPr>
          <w:lang w:val="en-US"/>
        </w:rPr>
        <w:t>. https://docs.astral.sh/ruff/</w:t>
      </w:r>
    </w:p>
    <w:p w14:paraId="0D93327A" w14:textId="77777777" w:rsidR="00E73916" w:rsidRPr="00E73916" w:rsidRDefault="00E73916" w:rsidP="00E73916">
      <w:pPr>
        <w:pStyle w:val="Bibliography"/>
        <w:rPr>
          <w:lang w:val="en-US"/>
        </w:rPr>
      </w:pPr>
      <w:r>
        <w:rPr>
          <w:lang w:val="en-US"/>
        </w:rPr>
        <w:t xml:space="preserve">Astral. (2025). </w:t>
      </w:r>
      <w:r>
        <w:rPr>
          <w:i/>
          <w:iCs/>
          <w:lang w:val="en-US"/>
        </w:rPr>
        <w:t>uv: An extremely fast Python package and project manager</w:t>
      </w:r>
      <w:r>
        <w:rPr>
          <w:lang w:val="en-US"/>
        </w:rPr>
        <w:t>. https://docs.astral.sh/uv/</w:t>
      </w:r>
    </w:p>
    <w:p>
      <w:pPr>
        <w:pStyle w:val="Bibliography"/>
      </w:pPr>
      <w:r>
        <w:t xml:space="preserve">Augusto, A., Mendling, J., Vidgof, M., &amp; Wurm, B. (2022). The connection between process complexity of event sequences and models discovered by process mining. Information Sciences, 598, 196–215. https://doi.org/10.1016/j.ins.2022.03.072</w:t>
      </w:r>
    </w:p>
    <w:p w14:paraId="63042F03" w14:textId="77777777" w:rsidR="00E73916" w:rsidRPr="00E73916" w:rsidRDefault="00E73916" w:rsidP="00E73916">
      <w:pPr>
        <w:pStyle w:val="Bibliography"/>
        <w:rPr>
          <w:lang w:val="en-US"/>
        </w:rPr>
      </w:pPr>
      <w:r>
        <w:rPr>
          <w:lang w:val="en-US"/>
        </w:rPr>
        <w:t xml:space="preserve">Auth.js. (2024). </w:t>
      </w:r>
      <w:r>
        <w:rPr>
          <w:i/>
          <w:iCs/>
          <w:lang w:val="en-US"/>
        </w:rPr>
        <w:t>Auth.js (NextAuth.js v5)</w:t>
      </w:r>
      <w:r>
        <w:rPr>
          <w:lang w:val="en-US"/>
        </w:rPr>
        <w:t>. https://authjs.dev/</w:t>
      </w:r>
    </w:p>
    <w:p>
      <w:pPr>
        <w:pStyle w:val="Bibliography"/>
      </w:pPr>
      <w:r>
        <w:t xml:space="preserve">Berti, A., van Zelst, S., &amp; Schuster, D. (2023). PM4Py: A process mining library for Python. Software Impacts, 17, 100556. https://doi.org/10.1016/j.simpa.2023.100556</w:t>
      </w:r>
    </w:p>
    <w:p w14:paraId="328C64E0" w14:textId="77777777" w:rsidR="00E73916" w:rsidRPr="00E73916" w:rsidRDefault="00E73916" w:rsidP="00E73916">
      <w:pPr>
        <w:pStyle w:val="Bibliography"/>
        <w:rPr>
          <w:lang w:val="en-US"/>
        </w:rPr>
      </w:pPr>
      <w:r>
        <w:t xml:space="preserve">Berti, A., van Zelst, S. J., &amp; van der Aalst, W. M. P. (2019). </w:t>
      </w:r>
      <w:r>
        <w:rPr>
          <w:lang w:val="en-US"/>
        </w:rPr>
        <w:t xml:space="preserve">Process Mining for Python (PM4Py): Bridging the Gap Between Process- and Data Science. </w:t>
      </w:r>
      <w:r>
        <w:rPr>
          <w:i/>
          <w:iCs/>
          <w:lang w:val="en-US"/>
        </w:rPr>
        <w:t>arXiv Preprint arXiv:1905.06169</w:t>
      </w:r>
      <w:r>
        <w:rPr>
          <w:lang w:val="en-US"/>
        </w:rPr>
        <w:t>. https://arxiv.org/abs/1905.06169</w:t>
      </w:r>
    </w:p>
    <w:p w14:paraId="4F06B699" w14:textId="77777777" w:rsidR="00E73916" w:rsidRPr="00E73916" w:rsidRDefault="00E73916" w:rsidP="00E73916">
      <w:pPr>
        <w:pStyle w:val="Bibliography"/>
        <w:rPr>
          <w:lang w:val="en-US"/>
        </w:rPr>
      </w:pPr>
      <w:r>
        <w:t xml:space="preserve">Berti, A., Zelst, S. J. van, &amp; Aalst, W. van der. </w:t>
      </w:r>
      <w:r>
        <w:rPr>
          <w:lang w:val="en-US"/>
        </w:rPr>
        <w:t xml:space="preserve">(2019). </w:t>
      </w:r>
      <w:r>
        <w:rPr>
          <w:i/>
          <w:iCs/>
          <w:lang w:val="en-US"/>
        </w:rPr>
        <w:t>Process Mining for Python (PM4Py): Bridging the Gap Between Process- and Data Science</w:t>
      </w:r>
      <w:r>
        <w:rPr>
          <w:lang w:val="en-US"/>
        </w:rPr>
        <w:t xml:space="preserve"> (arXiv:1905.06169). arXiv. https://doi.org/10.48550/arXiv.1905.06169</w:t>
      </w:r>
    </w:p>
    <w:p w14:paraId="4F97E186" w14:textId="77777777" w:rsidR="00E73916" w:rsidRPr="00E73916" w:rsidRDefault="00E73916" w:rsidP="00E73916">
      <w:pPr>
        <w:pStyle w:val="Bibliography"/>
        <w:rPr>
          <w:lang w:val="en-US"/>
        </w:rPr>
      </w:pPr>
      <w:r>
        <w:t xml:space="preserve">Bierman, G., Abadi, M., &amp; Torgersen, M. (2014). </w:t>
      </w:r>
      <w:r>
        <w:rPr>
          <w:i/>
          <w:iCs/>
          <w:lang w:val="en-US"/>
        </w:rPr>
        <w:t>Understanding TypeScript</w:t>
      </w:r>
      <w:r>
        <w:rPr>
          <w:lang w:val="en-US"/>
        </w:rPr>
        <w:t xml:space="preserve">. </w:t>
      </w:r>
      <w:r>
        <w:rPr>
          <w:i/>
          <w:iCs/>
          <w:lang w:val="en-US"/>
        </w:rPr>
        <w:t>Lecture Notes in Computer Science, Vol. 8586</w:t>
      </w:r>
      <w:r>
        <w:rPr>
          <w:lang w:val="en-US"/>
        </w:rPr>
        <w:t>, 257–281. https://doi.org/10.1007/978-3-662-44202-9_11</w:t>
      </w:r>
    </w:p>
    <w:p w14:paraId="10B3B8A2" w14:textId="77777777" w:rsidR="00E73916" w:rsidRPr="00E73916" w:rsidRDefault="00E73916" w:rsidP="00E73916">
      <w:pPr>
        <w:pStyle w:val="Bibliography"/>
        <w:rPr>
          <w:lang w:val="en-US"/>
        </w:rPr>
      </w:pPr>
      <w:r>
        <w:t xml:space="preserve">Bose, R. P. J. C., Van Der Aalst, W. M. P., Zliobaite, I., &amp; Pechenizkiy, M. (2014). </w:t>
      </w:r>
      <w:r>
        <w:rPr>
          <w:lang w:val="en-US"/>
        </w:rPr>
        <w:t xml:space="preserve">Dealing With Concept Drifts in Process Mining. </w:t>
      </w:r>
      <w:r>
        <w:rPr>
          <w:i/>
          <w:iCs/>
          <w:lang w:val="en-US"/>
        </w:rPr>
        <w:t>IEEE Transactions on Neural Networks and Learning Systems</w:t>
      </w:r>
      <w:r>
        <w:rPr>
          <w:lang w:val="en-US"/>
        </w:rPr>
        <w:t xml:space="preserve">, </w:t>
      </w:r>
      <w:r>
        <w:rPr>
          <w:i/>
          <w:iCs/>
          <w:lang w:val="en-US"/>
        </w:rPr>
        <w:t>25</w:t>
      </w:r>
      <w:r>
        <w:rPr>
          <w:lang w:val="en-US"/>
        </w:rPr>
        <w:t>(1), 154–171. https://doi.org/10.1109/TNNLS.2013.2278313</w:t>
      </w:r>
    </w:p>
    <w:p>
      <w:pPr>
        <w:pStyle w:val="Bibliography"/>
      </w:pPr>
      <w:r>
        <w:t xml:space="preserve">Caddy. (2024). Caddy documentation. https://caddyserver.com/docs/</w:t>
      </w:r>
    </w:p>
    <w:p w14:paraId="59BEE85B" w14:textId="77777777" w:rsidR="00E73916" w:rsidRPr="00E73916" w:rsidRDefault="00E73916" w:rsidP="00E73916">
      <w:pPr>
        <w:pStyle w:val="Bibliography"/>
        <w:rPr>
          <w:lang w:val="en-US"/>
        </w:rPr>
      </w:pPr>
      <w:r>
        <w:rPr>
          <w:lang w:val="en-US"/>
        </w:rPr>
        <w:t xml:space="preserve">Carmona, J., &amp; Sole, M. (n.d.). </w:t>
      </w:r>
      <w:r>
        <w:rPr>
          <w:i/>
          <w:iCs/>
          <w:lang w:val="en-US"/>
        </w:rPr>
        <w:t>PMLAB: An Scripting Environment for Process Mining</w:t>
      </w:r>
      <w:r>
        <w:rPr>
          <w:lang w:val="en-US"/>
        </w:rPr>
        <w:t>.</w:t>
      </w:r>
    </w:p>
    <w:p>
      <w:pPr>
        <w:pStyle w:val="Bibliography"/>
      </w:pPr>
      <w:r>
        <w:t xml:space="preserve">Carmona, J., van Dongen, B., &amp; Weidlich, M. (2022). Conformance checking: Foundations, milestones and challenges. In W. M. P. van der Aalst &amp; J. Carmona (Eds.), Process Mining Handbook (LNBIP Vol. 448, pp. 155–190). Springer. https://doi.org/10.1007/978-3-031-08848-3_5</w:t>
      </w:r>
    </w:p>
    <w:p w14:paraId="0BE4CC2B" w14:textId="77777777" w:rsidR="00E73916" w:rsidRPr="00E73916" w:rsidRDefault="00E73916" w:rsidP="00E73916">
      <w:pPr>
        <w:pStyle w:val="Bibliography"/>
      </w:pPr>
      <w:r>
        <w:rPr>
          <w:lang w:val="en-US"/>
        </w:rPr>
        <w:t xml:space="preserve">Docker Inc. (2024). </w:t>
      </w:r>
      <w:r>
        <w:rPr>
          <w:i/>
          <w:iCs/>
          <w:lang w:val="en-US"/>
        </w:rPr>
        <w:t>Overview of Docker Compose</w:t>
      </w:r>
      <w:r>
        <w:rPr>
          <w:lang w:val="en-US"/>
        </w:rPr>
        <w:t xml:space="preserve">. </w:t>
      </w:r>
      <w:r>
        <w:t>Docker Documentation. https://docs.docker.com/compose/</w:t>
      </w:r>
    </w:p>
    <w:p w14:paraId="637950AE" w14:textId="77777777" w:rsidR="00E73916" w:rsidRPr="00E73916" w:rsidRDefault="00E73916" w:rsidP="00E73916">
      <w:pPr>
        <w:pStyle w:val="Bibliography"/>
        <w:rPr>
          <w:lang w:val="en-US"/>
        </w:rPr>
      </w:pPr>
      <w:r>
        <w:t xml:space="preserve">Elkhawaga, G., Abuelkheir, M., Barakat, S. I., Riad, A. M., &amp; Reichert, M. (2020). </w:t>
      </w:r>
      <w:r>
        <w:rPr>
          <w:lang w:val="en-US"/>
        </w:rPr>
        <w:t xml:space="preserve">CONDA-PM—A Systematic Review and Framework for Concept Drift Analysis in Process Mining. </w:t>
      </w:r>
      <w:r>
        <w:rPr>
          <w:i/>
          <w:iCs/>
          <w:lang w:val="en-US"/>
        </w:rPr>
        <w:t>Algorithms</w:t>
      </w:r>
      <w:r>
        <w:rPr>
          <w:lang w:val="en-US"/>
        </w:rPr>
        <w:t xml:space="preserve">, </w:t>
      </w:r>
      <w:r>
        <w:rPr>
          <w:i/>
          <w:iCs/>
          <w:lang w:val="en-US"/>
        </w:rPr>
        <w:t>13</w:t>
      </w:r>
      <w:r>
        <w:rPr>
          <w:lang w:val="en-US"/>
        </w:rPr>
        <w:t>(7), 161. https://doi.org/10.3390/a13070161</w:t>
      </w:r>
    </w:p>
    <w:p w14:paraId="401912DB" w14:textId="77777777" w:rsidR="00E73916" w:rsidRPr="00E73916" w:rsidRDefault="00E73916" w:rsidP="00E73916">
      <w:pPr>
        <w:pStyle w:val="Bibliography"/>
        <w:rPr>
          <w:lang w:val="en-US"/>
        </w:rPr>
      </w:pPr>
      <w:r>
        <w:rPr>
          <w:lang w:val="en-US"/>
        </w:rPr>
        <w:t xml:space="preserve">Fette, I., &amp; Melnikov, A. (2011). </w:t>
      </w:r>
      <w:r>
        <w:rPr>
          <w:i/>
          <w:iCs/>
          <w:lang w:val="en-US"/>
        </w:rPr>
        <w:t>The WebSocket Protocol</w:t>
      </w:r>
      <w:r>
        <w:rPr>
          <w:lang w:val="en-US"/>
        </w:rPr>
        <w:t xml:space="preserve"> (RFC 6455). Internet Engineering Task Force (IETF). https://www.rfc-editor.org/rfc/rfc6455</w:t>
      </w:r>
    </w:p>
    <w:p w14:paraId="4B093DBD" w14:textId="77777777" w:rsidR="00E73916" w:rsidRPr="00E73916" w:rsidRDefault="000D6138" w:rsidP="00E73916">
      <w:pPr>
        <w:pStyle w:val="Bibliography"/>
        <w:rPr>
          <w:lang w:val="en-US"/>
        </w:rPr>
      </w:pPr>
      <w:r>
        <w:rPr>
          <w:lang w:val="en-GB"/>
        </w:rPr>
        <w:fldChar w:fldCharType="begin"/>
      </w:r>
      <w:r>
        <w:rPr>
          <w:lang w:val="en-GB"/>
        </w:rPr>
        <w:instrText xml:space="preserve"> ADDIN ZOTERO_BIBL {"uncited":[],"omitted":[],"custom":[]} CSL_BIBLIOGRAPHY </w:instrText>
      </w:r>
      <w:r>
        <w:rPr>
          <w:lang w:val="en-GB"/>
        </w:rPr>
        <w:fldChar w:fldCharType="separate"/>
      </w:r>
      <w:r>
        <w:rPr>
          <w:i/>
          <w:iCs/>
          <w:lang w:val="en-US"/>
        </w:rPr>
        <w:t>2026 Gartner® Magic Quadrant</w:t>
      </w:r>
      <w:r>
        <w:rPr>
          <w:i/>
          <w:iCs/>
          <w:vertAlign w:val="superscript"/>
          <w:lang w:val="en-US"/>
        </w:rPr>
        <w:t>TM</w:t>
      </w:r>
      <w:r>
        <w:rPr>
          <w:i/>
          <w:iCs/>
          <w:lang w:val="en-US"/>
        </w:rPr>
        <w:t xml:space="preserve"> for Process Intelligence Platforms | Celonis</w:t>
      </w:r>
      <w:r>
        <w:rPr>
          <w:lang w:val="en-US"/>
        </w:rPr>
        <w:t>. (n.d.). Retrieved 18 June 2026, from https://www.celonis.com/insights/reports/gartner-magic-quadrant</w:t>
      </w:r>
    </w:p>
    <w:p w14:paraId="1CF527C3" w14:textId="77777777" w:rsidR="00E73916" w:rsidRPr="00E73916" w:rsidRDefault="00E73916" w:rsidP="00E73916">
      <w:pPr>
        <w:pStyle w:val="Bibliography"/>
      </w:pPr>
      <w:r>
        <w:lastRenderedPageBreak/>
        <w:t xml:space="preserve">Ghahfarokhi, A. F., Park, G., Berti, A., &amp; van der Aalst, W. M. P. (2021). </w:t>
      </w:r>
      <w:r>
        <w:rPr>
          <w:lang w:val="en-US"/>
        </w:rPr>
        <w:t xml:space="preserve">OCEL: A Standard for Object-Centric Event Logs. In L. Bellatreche &amp; others (Eds), </w:t>
      </w:r>
      <w:r>
        <w:rPr>
          <w:i/>
          <w:iCs/>
          <w:lang w:val="en-US"/>
        </w:rPr>
        <w:t>New Trends in Database and Information Systems</w:t>
      </w:r>
      <w:r>
        <w:rPr>
          <w:lang w:val="en-US"/>
        </w:rPr>
        <w:t xml:space="preserve"> (Vol. 1450, pp. 169–175). </w:t>
      </w:r>
      <w:r>
        <w:t>Springer. https://doi.org/10.1007/978-3-030-85082-1_16</w:t>
      </w:r>
    </w:p>
    <w:p w14:paraId="04033345" w14:textId="77777777" w:rsidR="00E73916" w:rsidRPr="00E73916" w:rsidRDefault="00E73916" w:rsidP="00E73916">
      <w:pPr>
        <w:pStyle w:val="Bibliography"/>
        <w:rPr>
          <w:lang w:val="en-US"/>
        </w:rPr>
      </w:pPr>
      <w:r>
        <w:t xml:space="preserve">Grisold, T., Janiesch, C., Röglinger, M., &amp; Wynn, M. T. (2024). </w:t>
      </w:r>
      <w:r>
        <w:rPr>
          <w:lang w:val="en-US"/>
        </w:rPr>
        <w:t xml:space="preserve">Managing Dynamics in and Around Business Processes. </w:t>
      </w:r>
      <w:r>
        <w:rPr>
          <w:i/>
          <w:iCs/>
          <w:lang w:val="en-US"/>
        </w:rPr>
        <w:t>Business &amp; Information Systems Engineering</w:t>
      </w:r>
      <w:r>
        <w:rPr>
          <w:lang w:val="en-US"/>
        </w:rPr>
        <w:t xml:space="preserve">, </w:t>
      </w:r>
      <w:r>
        <w:rPr>
          <w:i/>
          <w:iCs/>
          <w:lang w:val="en-US"/>
        </w:rPr>
        <w:t>66</w:t>
      </w:r>
      <w:r>
        <w:rPr>
          <w:lang w:val="en-US"/>
        </w:rPr>
        <w:t>(5), 533–540. https://doi.org/10.1007/s12599-024-00895-2</w:t>
      </w:r>
    </w:p>
    <w:p w14:paraId="09D27FDD" w14:textId="77777777" w:rsidR="00E73916" w:rsidRPr="00E73916" w:rsidRDefault="00E73916" w:rsidP="00E73916">
      <w:pPr>
        <w:pStyle w:val="Bibliography"/>
        <w:rPr>
          <w:lang w:val="en-US"/>
        </w:rPr>
      </w:pPr>
      <w:r>
        <w:rPr>
          <w:lang w:val="en-US"/>
        </w:rPr>
        <w:t xml:space="preserve">Grisold, T., Mendling, J., Otto, M., &amp; Vom Brocke, J. (2020). Adoption, use and management of process mining in practice. </w:t>
      </w:r>
      <w:r>
        <w:rPr>
          <w:i/>
          <w:iCs/>
          <w:lang w:val="en-US"/>
        </w:rPr>
        <w:t>Business Process Management Journal</w:t>
      </w:r>
      <w:r>
        <w:rPr>
          <w:lang w:val="en-US"/>
        </w:rPr>
        <w:t xml:space="preserve">, </w:t>
      </w:r>
      <w:r>
        <w:rPr>
          <w:i/>
          <w:iCs/>
          <w:lang w:val="en-US"/>
        </w:rPr>
        <w:t>27</w:t>
      </w:r>
      <w:r>
        <w:rPr>
          <w:lang w:val="en-US"/>
        </w:rPr>
        <w:t>(2), 369–387. https://doi.org/10.1108/BPMJ-03-2020-0112</w:t>
      </w:r>
    </w:p>
    <w:p w14:paraId="6B7FF1B0" w14:textId="77777777" w:rsidR="00E73916" w:rsidRPr="00E73916" w:rsidRDefault="00E73916" w:rsidP="00E73916">
      <w:pPr>
        <w:pStyle w:val="Bibliography"/>
        <w:rPr>
          <w:lang w:val="en-US"/>
        </w:rPr>
      </w:pPr>
      <w:r>
        <w:rPr>
          <w:lang w:val="en-US"/>
        </w:rPr>
        <w:t xml:space="preserve">Grisold, T., van der Aa, H., Franzoi, S., Hartl, S., Mendling, J., &amp; Brocke, J. V. (2024). A Context Framework for Sense-making of Process Mining Results. </w:t>
      </w:r>
      <w:r>
        <w:rPr>
          <w:i/>
          <w:iCs/>
          <w:lang w:val="en-US"/>
        </w:rPr>
        <w:t>2024 6th International Conference on Process Mining (ICPM)</w:t>
      </w:r>
      <w:r>
        <w:rPr>
          <w:lang w:val="en-US"/>
        </w:rPr>
        <w:t>, 57–64. https://doi.org/10.1109/ICPM63005.2024.10680665</w:t>
      </w:r>
    </w:p>
    <w:p>
      <w:pPr>
        <w:pStyle w:val="Bibliography"/>
      </w:pPr>
      <w:r>
        <w:t xml:space="preserve">IEEE Standards Association. (2016). IEEE Standard for eXtensible Event Stream (XES) for achieving interoperability in event logs and event streams (IEEE 1849-2016). https://doi.org/10.1109/IEEESTD.2016.7740858</w:t>
      </w:r>
    </w:p>
    <w:p>
      <w:pPr>
        <w:pStyle w:val="Bibliography"/>
      </w:pPr>
      <w:r>
        <w:t xml:space="preserve">Keycloak. (2024). Keycloak server administration guide. https://www.keycloak.org/documentation</w:t>
      </w:r>
    </w:p>
    <w:p>
      <w:pPr>
        <w:pStyle w:val="Bibliography"/>
      </w:pPr>
      <w:r>
        <w:t xml:space="preserve">Kirchdorfer, L., Blümel, R., Kampik, T., van der Aa, H., &amp; Stuckenschmidt, H. (2025). Discovering multi-agent systems for resource-centric business process simulation. Process Science, 2, 4. https://doi.org/10.1007/s44311-025-00009-5</w:t>
      </w:r>
    </w:p>
    <w:p>
      <w:pPr>
        <w:pStyle w:val="Bibliography"/>
      </w:pPr>
      <w:r>
        <w:t xml:space="preserve">Klijn, E. L., Tentina, I., Fahland, D., &amp; Mannhardt, F. (2024). Decomposing process performance based on actor behavior. 2024 6th International Conference on Process Mining (ICPM), 105–112. https://doi.org/10.1109/ICPM63005.2024.10680657</w:t>
      </w:r>
    </w:p>
    <w:p>
      <w:pPr>
        <w:pStyle w:val="Bibliography"/>
      </w:pPr>
      <w:r>
        <w:t xml:space="preserve">Kraus, A., &amp; van der Aa, H. (2024). Looking for change: A computer vision approach for concept drift detection in process mining. In A. Marrella, M. Resinas, M. Jans, &amp; M. Rosemann (Eds.), Business Process Management (LNCS Vol. 14940, pp. 273–290). Springer. https://doi.org/10.1007/978-3-031-70396-6_16</w:t>
      </w:r>
    </w:p>
    <w:p w14:paraId="2667D3D1" w14:textId="77777777" w:rsidR="00E73916" w:rsidRPr="00E73916" w:rsidRDefault="00E73916" w:rsidP="00E73916">
      <w:pPr>
        <w:pStyle w:val="Bibliography"/>
        <w:rPr>
          <w:lang w:val="en-US"/>
        </w:rPr>
      </w:pPr>
      <w:r>
        <w:t xml:space="preserve">Kraus, A., &amp; Van Der Aa, H. (2025). </w:t>
      </w:r>
      <w:r>
        <w:rPr>
          <w:lang w:val="en-US"/>
        </w:rPr>
        <w:t xml:space="preserve">Machine learning-based detection of concept drift in business processes. </w:t>
      </w:r>
      <w:r>
        <w:rPr>
          <w:i/>
          <w:iCs/>
          <w:lang w:val="en-US"/>
        </w:rPr>
        <w:t>Process Science</w:t>
      </w:r>
      <w:r>
        <w:rPr>
          <w:lang w:val="en-US"/>
        </w:rPr>
        <w:t xml:space="preserve">, </w:t>
      </w:r>
      <w:r>
        <w:rPr>
          <w:i/>
          <w:iCs/>
          <w:lang w:val="en-US"/>
        </w:rPr>
        <w:t>2</w:t>
      </w:r>
      <w:r>
        <w:rPr>
          <w:lang w:val="en-US"/>
        </w:rPr>
        <w:t>(1), 5. https://doi.org/10.1007/s44311-025-00012-w</w:t>
      </w:r>
    </w:p>
    <w:p>
      <w:pPr>
        <w:pStyle w:val="Bibliography"/>
      </w:pPr>
      <w:r>
        <w:t xml:space="preserve">Langer, E. (2025). Understanding business process complexity: Exploring metrics, relationships, and temporal dynamics in the context of process drift [Master's thesis]. University of Münster.</w:t>
      </w:r>
    </w:p>
    <w:p>
      <w:pPr>
        <w:pStyle w:val="Bibliography"/>
      </w:pPr>
      <w:r>
        <w:t xml:space="preserve">Lee, D., Song, M., &amp; van der Aalst, W. M. P. (2026). An optimized approach for generating backbone-based process maps. Data &amp; Knowledge Engineering, 164, 102601. https://doi.org/10.1016/j.datak.2026.102601</w:t>
      </w:r>
    </w:p>
    <w:p w14:paraId="7835BB89" w14:textId="77777777" w:rsidR="00E73916" w:rsidRPr="00E73916" w:rsidRDefault="00E73916" w:rsidP="00E73916">
      <w:pPr>
        <w:pStyle w:val="Bibliography"/>
        <w:rPr>
          <w:lang w:val="en-US"/>
        </w:rPr>
      </w:pPr>
      <w:r>
        <w:rPr>
          <w:lang w:val="en-US"/>
        </w:rPr>
        <w:t xml:space="preserve">Li, D., Mei, H., Shen, Y., Su, S., Zhang, W., Wang, J., Zu, M., &amp; Chen, W. (2018). ECharts: A declarative framework for rapid construction of web-based visualization. </w:t>
      </w:r>
      <w:r>
        <w:rPr>
          <w:i/>
          <w:iCs/>
          <w:lang w:val="en-US"/>
        </w:rPr>
        <w:t>Visual Informatics</w:t>
      </w:r>
      <w:r>
        <w:rPr>
          <w:lang w:val="en-US"/>
        </w:rPr>
        <w:t xml:space="preserve">, </w:t>
      </w:r>
      <w:r>
        <w:rPr>
          <w:i/>
          <w:iCs/>
          <w:lang w:val="en-US"/>
        </w:rPr>
        <w:t>2</w:t>
      </w:r>
      <w:r>
        <w:rPr>
          <w:lang w:val="en-US"/>
        </w:rPr>
        <w:t>(2), 136–146. https://doi.org/10.1016/j.visinf.2018.04.011</w:t>
      </w:r>
    </w:p>
    <w:p w14:paraId="406862F7" w14:textId="77777777" w:rsidR="00E73916" w:rsidRPr="00E73916" w:rsidRDefault="00E73916" w:rsidP="00E73916">
      <w:pPr>
        <w:pStyle w:val="Bibliography"/>
        <w:rPr>
          <w:lang w:val="en-US"/>
        </w:rPr>
      </w:pPr>
      <w:r>
        <w:rPr>
          <w:lang w:val="en-US"/>
        </w:rPr>
        <w:t xml:space="preserve">McDonald, C. (2024). </w:t>
      </w:r>
      <w:r>
        <w:rPr>
          <w:i/>
          <w:iCs/>
          <w:lang w:val="en-US"/>
        </w:rPr>
        <w:t>Zod documentation</w:t>
      </w:r>
      <w:r>
        <w:rPr>
          <w:lang w:val="en-US"/>
        </w:rPr>
        <w:t>. https://zod.dev/</w:t>
      </w:r>
    </w:p>
    <w:p w14:paraId="7FA982A8" w14:textId="77777777" w:rsidR="00E73916" w:rsidRPr="00E73916" w:rsidRDefault="00E73916" w:rsidP="00E73916">
      <w:pPr>
        <w:pStyle w:val="Bibliography"/>
        <w:rPr>
          <w:lang w:val="en-US"/>
        </w:rPr>
      </w:pPr>
      <w:r>
        <w:rPr>
          <w:lang w:val="en-US"/>
        </w:rPr>
        <w:t xml:space="preserve">Meta Open Source. (2024). </w:t>
      </w:r>
      <w:r>
        <w:rPr>
          <w:i/>
          <w:iCs/>
          <w:lang w:val="en-US"/>
        </w:rPr>
        <w:t>Server Components</w:t>
      </w:r>
      <w:r>
        <w:rPr>
          <w:lang w:val="en-US"/>
        </w:rPr>
        <w:t>. React Documentation. https://react.dev/reference/rsc/server-components</w:t>
      </w:r>
    </w:p>
    <w:p w14:paraId="25065A93" w14:textId="77777777" w:rsidR="00E73916" w:rsidRPr="00E73916" w:rsidRDefault="00E73916" w:rsidP="00E73916">
      <w:pPr>
        <w:pStyle w:val="Bibliography"/>
        <w:rPr>
          <w:lang w:val="en-US"/>
        </w:rPr>
      </w:pPr>
      <w:r>
        <w:rPr>
          <w:lang w:val="en-US"/>
        </w:rPr>
        <w:t xml:space="preserve">Microsoft. (2024). </w:t>
      </w:r>
      <w:r>
        <w:rPr>
          <w:i/>
          <w:iCs/>
          <w:lang w:val="en-US"/>
        </w:rPr>
        <w:t>The TypeScript handbook</w:t>
      </w:r>
      <w:r>
        <w:rPr>
          <w:lang w:val="en-US"/>
        </w:rPr>
        <w:t>. https://www.typescriptlang.org/docs/handbook/intro.html</w:t>
      </w:r>
    </w:p>
    <w:p w14:paraId="7FCD7079" w14:textId="77777777" w:rsidR="00E73916" w:rsidRPr="00E73916" w:rsidRDefault="00E73916" w:rsidP="00E73916">
      <w:pPr>
        <w:pStyle w:val="Bibliography"/>
        <w:rPr>
          <w:lang w:val="en-US"/>
        </w:rPr>
      </w:pPr>
      <w:r>
        <w:t xml:space="preserve">Miksch, S., Di Ciccio, C., Soffer, P., &amp; Weber, B. (2024). </w:t>
      </w:r>
      <w:r>
        <w:rPr>
          <w:lang w:val="en-US"/>
        </w:rPr>
        <w:t xml:space="preserve">Visual Analytics Meets Process Mining: Challenges and Opportunities. </w:t>
      </w:r>
      <w:r>
        <w:rPr>
          <w:i/>
          <w:iCs/>
          <w:lang w:val="en-US"/>
        </w:rPr>
        <w:t>IEEE Computer Graphics and Applications</w:t>
      </w:r>
      <w:r>
        <w:rPr>
          <w:lang w:val="en-US"/>
        </w:rPr>
        <w:t xml:space="preserve">, </w:t>
      </w:r>
      <w:r>
        <w:rPr>
          <w:i/>
          <w:iCs/>
          <w:lang w:val="en-US"/>
        </w:rPr>
        <w:t>44</w:t>
      </w:r>
      <w:r>
        <w:rPr>
          <w:lang w:val="en-US"/>
        </w:rPr>
        <w:t>(6), 132–141. https://doi.org/10.1109/MCG.2024.3456916</w:t>
      </w:r>
    </w:p>
    <w:p>
      <w:pPr>
        <w:pStyle w:val="Bibliography"/>
      </w:pPr>
      <w:r>
        <w:t xml:space="preserve">Model Context Protocol. (2025). Specification. https://modelcontextprotocol.io/specification</w:t>
      </w:r>
    </w:p>
    <w:p w14:paraId="0760BF35" w14:textId="77777777" w:rsidR="00E73916" w:rsidRPr="00E73916" w:rsidRDefault="00E73916" w:rsidP="00E73916">
      <w:pPr>
        <w:pStyle w:val="Bibliography"/>
        <w:rPr>
          <w:lang w:val="en-US"/>
        </w:rPr>
      </w:pPr>
      <w:r>
        <w:rPr>
          <w:lang w:val="en-US"/>
        </w:rPr>
        <w:t xml:space="preserve">OpenAPI Initiative. (2021). </w:t>
      </w:r>
      <w:r>
        <w:rPr>
          <w:i/>
          <w:iCs/>
          <w:lang w:val="en-US"/>
        </w:rPr>
        <w:t>OpenAPI Specification (Version 3.1.0)</w:t>
      </w:r>
      <w:r>
        <w:rPr>
          <w:lang w:val="en-US"/>
        </w:rPr>
        <w:t>. https://spec.openapis.org/oas/latest.html</w:t>
      </w:r>
    </w:p>
    <w:p>
      <w:pPr>
        <w:pStyle w:val="Bibliography"/>
      </w:pPr>
      <w:r>
        <w:t xml:space="preserve">Pitsch, C., Brockhoff, T., Adams, J. N., Leemans, S. J. J., Celi, L. A., &amp; van der Aalst, W. M. P. (2025). Hypothesis testing for processes. 2025 7th International Conference on Process Mining (ICPM), 1–8. https://doi.org/10.1109/ICPM66919.2025.11220677</w:t>
      </w:r>
    </w:p>
    <w:p w14:paraId="25940170" w14:textId="77777777" w:rsidR="00E73916" w:rsidRPr="00E73916" w:rsidRDefault="00E73916" w:rsidP="00E73916">
      <w:pPr>
        <w:pStyle w:val="Bibliography"/>
      </w:pPr>
      <w:r>
        <w:t xml:space="preserve">Poimandres. (2024). </w:t>
      </w:r>
      <w:r>
        <w:rPr>
          <w:i/>
          <w:iCs/>
        </w:rPr>
        <w:t>Zustand documentation</w:t>
      </w:r>
      <w:r>
        <w:t>. https://zustand.docs.pmnd.rs/</w:t>
      </w:r>
    </w:p>
    <w:p w14:paraId="3A07ED78" w14:textId="77777777" w:rsidR="00E73916" w:rsidRPr="00E73916" w:rsidRDefault="00E73916" w:rsidP="00E73916">
      <w:pPr>
        <w:pStyle w:val="Bibliography"/>
        <w:rPr>
          <w:lang w:val="en-US"/>
        </w:rPr>
      </w:pPr>
      <w:r>
        <w:rPr>
          <w:lang w:val="en-US"/>
        </w:rPr>
        <w:t xml:space="preserve">Pydantic. (2024). </w:t>
      </w:r>
      <w:r>
        <w:rPr>
          <w:i/>
          <w:iCs/>
          <w:lang w:val="en-US"/>
        </w:rPr>
        <w:t>Pydantic (Version 2) documentation</w:t>
      </w:r>
      <w:r>
        <w:rPr>
          <w:lang w:val="en-US"/>
        </w:rPr>
        <w:t>. https://docs.pydantic.dev/</w:t>
      </w:r>
    </w:p>
    <w:p w14:paraId="5D2DEEE2" w14:textId="77777777" w:rsidR="00E73916" w:rsidRPr="00E73916" w:rsidRDefault="00E73916" w:rsidP="00E73916">
      <w:pPr>
        <w:pStyle w:val="Bibliography"/>
        <w:rPr>
          <w:lang w:val="en-US"/>
        </w:rPr>
      </w:pPr>
      <w:r>
        <w:rPr>
          <w:lang w:val="en-US"/>
        </w:rPr>
        <w:t xml:space="preserve">Python Software Foundation. (2025). </w:t>
      </w:r>
      <w:r>
        <w:rPr>
          <w:i/>
          <w:iCs/>
          <w:lang w:val="en-US"/>
        </w:rPr>
        <w:t>The Python language reference</w:t>
      </w:r>
      <w:r>
        <w:rPr>
          <w:lang w:val="en-US"/>
        </w:rPr>
        <w:t>. https://docs.python.org/3/</w:t>
      </w:r>
    </w:p>
    <w:p w14:paraId="46322938" w14:textId="77777777" w:rsidR="00E73916" w:rsidRPr="00E73916" w:rsidRDefault="00E73916" w:rsidP="00E73916">
      <w:pPr>
        <w:pStyle w:val="Bibliography"/>
        <w:rPr>
          <w:lang w:val="en-US"/>
        </w:rPr>
      </w:pPr>
      <w:r>
        <w:rPr>
          <w:lang w:val="en-US"/>
        </w:rPr>
        <w:lastRenderedPageBreak/>
        <w:t xml:space="preserve">Raasveldt, M., &amp; Mühleisen, H. (2019). DuckDB: An Embeddable Analytical Database. </w:t>
      </w:r>
      <w:r>
        <w:rPr>
          <w:i/>
          <w:iCs/>
          <w:lang w:val="en-US"/>
        </w:rPr>
        <w:t>Proceedings of the 2019 ACM SIGMOD International Conference on Management of Data</w:t>
      </w:r>
      <w:r>
        <w:rPr>
          <w:lang w:val="en-US"/>
        </w:rPr>
        <w:t>, 1981–1984. https://doi.org/10.1145/3299869.3320212</w:t>
      </w:r>
    </w:p>
    <w:p w14:paraId="0D643060" w14:textId="77777777" w:rsidR="00E73916" w:rsidRPr="00E73916" w:rsidRDefault="00E73916" w:rsidP="00E73916">
      <w:pPr>
        <w:pStyle w:val="Bibliography"/>
        <w:rPr>
          <w:lang w:val="en-US"/>
        </w:rPr>
      </w:pPr>
      <w:r>
        <w:rPr>
          <w:lang w:val="en-US"/>
        </w:rPr>
        <w:t xml:space="preserve">Ramirez, S. (2024). </w:t>
      </w:r>
      <w:r>
        <w:rPr>
          <w:i/>
          <w:iCs/>
          <w:lang w:val="en-US"/>
        </w:rPr>
        <w:t>FastAPI documentation</w:t>
      </w:r>
      <w:r>
        <w:rPr>
          <w:lang w:val="en-US"/>
        </w:rPr>
        <w:t>. https://fastapi.tiangolo.com/</w:t>
      </w:r>
    </w:p>
    <w:p w14:paraId="57A07CFC" w14:textId="77777777" w:rsidR="00E73916" w:rsidRPr="00E73916" w:rsidRDefault="00E73916" w:rsidP="00E73916">
      <w:pPr>
        <w:pStyle w:val="Bibliography"/>
        <w:rPr>
          <w:lang w:val="en-US"/>
        </w:rPr>
      </w:pPr>
      <w:r>
        <w:rPr>
          <w:lang w:val="en-US"/>
        </w:rPr>
        <w:t xml:space="preserve">Recharts Group. (2024). </w:t>
      </w:r>
      <w:r>
        <w:rPr>
          <w:i/>
          <w:iCs/>
          <w:lang w:val="en-US"/>
        </w:rPr>
        <w:t>Recharts documentation</w:t>
      </w:r>
      <w:r>
        <w:rPr>
          <w:lang w:val="en-US"/>
        </w:rPr>
        <w:t>. https://recharts.org/</w:t>
      </w:r>
    </w:p>
    <w:p w14:paraId="42E7AC88" w14:textId="77777777" w:rsidR="00E73916" w:rsidRPr="00E73916" w:rsidRDefault="00E73916" w:rsidP="00E73916">
      <w:pPr>
        <w:pStyle w:val="Bibliography"/>
        <w:rPr>
          <w:lang w:val="en-US"/>
        </w:rPr>
      </w:pPr>
      <w:r>
        <w:rPr>
          <w:lang w:val="en-US"/>
        </w:rPr>
        <w:t xml:space="preserve">Reinkemeyer, L. (2020a). Business View: Towards a Digital Enabled Organization. In L. Reinkemeyer (Ed.), </w:t>
      </w:r>
      <w:r>
        <w:rPr>
          <w:i/>
          <w:iCs/>
          <w:lang w:val="en-US"/>
        </w:rPr>
        <w:t>Process Mining in Action: Principles, Use Cases and Outlook</w:t>
      </w:r>
      <w:r>
        <w:rPr>
          <w:lang w:val="en-US"/>
        </w:rPr>
        <w:t xml:space="preserve"> (pp. 197–206). Springer International Publishing. https://doi.org/10.1007/978-3-030-40172-6_22</w:t>
      </w:r>
    </w:p>
    <w:p w14:paraId="4CD2C734" w14:textId="77777777" w:rsidR="00E73916" w:rsidRPr="00E73916" w:rsidRDefault="00E73916" w:rsidP="00E73916">
      <w:pPr>
        <w:pStyle w:val="Bibliography"/>
        <w:rPr>
          <w:lang w:val="en-US"/>
        </w:rPr>
      </w:pPr>
      <w:r>
        <w:rPr>
          <w:lang w:val="en-US"/>
        </w:rPr>
        <w:t xml:space="preserve">Reinkemeyer, L. (2020b). Process Mining in a Nutshell. In L. Reinkemeyer (Ed.), </w:t>
      </w:r>
      <w:r>
        <w:rPr>
          <w:i/>
          <w:iCs/>
          <w:lang w:val="en-US"/>
        </w:rPr>
        <w:t>Process Mining in Action: Principles, Use Cases and Outlook</w:t>
      </w:r>
      <w:r>
        <w:rPr>
          <w:lang w:val="en-US"/>
        </w:rPr>
        <w:t xml:space="preserve"> (pp. 3–10). Springer International Publishing. https://doi.org/10.1007/978-3-030-40172-6_1</w:t>
      </w:r>
    </w:p>
    <w:p>
      <w:pPr>
        <w:pStyle w:val="Bibliography"/>
      </w:pPr>
      <w:r>
        <w:t xml:space="preserve">Rozinat, A., &amp; van der Aalst, W. M. P. (2008). Conformance checking of processes based on monitoring real behavior. Information Systems, 33(1), 64–95. https://doi.org/10.1016/j.is.2007.07.001</w:t>
      </w:r>
    </w:p>
    <w:p w14:paraId="4D310203" w14:textId="77777777" w:rsidR="00E73916" w:rsidRPr="00E73916" w:rsidRDefault="00E73916" w:rsidP="00E73916">
      <w:pPr>
        <w:pStyle w:val="Bibliography"/>
        <w:rPr>
          <w:lang w:val="en-US"/>
        </w:rPr>
      </w:pPr>
      <w:r>
        <w:rPr>
          <w:lang w:val="en-US"/>
        </w:rPr>
        <w:t xml:space="preserve">Sato, D. M. V., De Freitas, S. C., Barddal, J. P., &amp; Scalabrin, E. E. (2022). A Survey on Concept Drift in Process Mining. </w:t>
      </w:r>
      <w:r>
        <w:rPr>
          <w:i/>
          <w:iCs/>
          <w:lang w:val="en-US"/>
        </w:rPr>
        <w:t>ACM Computing Surveys</w:t>
      </w:r>
      <w:r>
        <w:rPr>
          <w:lang w:val="en-US"/>
        </w:rPr>
        <w:t xml:space="preserve">, </w:t>
      </w:r>
      <w:r>
        <w:rPr>
          <w:i/>
          <w:iCs/>
          <w:lang w:val="en-US"/>
        </w:rPr>
        <w:t>54</w:t>
      </w:r>
      <w:r>
        <w:rPr>
          <w:lang w:val="en-US"/>
        </w:rPr>
        <w:t>(9), 1–38. https://doi.org/10.1145/3472752</w:t>
      </w:r>
    </w:p>
    <w:p>
      <w:pPr>
        <w:pStyle w:val="Bibliography"/>
      </w:pPr>
      <w:r>
        <w:t xml:space="preserve">Schaffner, J. (2025). Explaining concept drifts in business processes: An LLM-based approach to context-aware sense-making in process mining [Master's thesis]. University of Münster.</w:t>
      </w:r>
    </w:p>
    <w:p w14:paraId="6C270B0C" w14:textId="77777777" w:rsidR="00E73916" w:rsidRPr="00E73916" w:rsidRDefault="00E73916" w:rsidP="00E73916">
      <w:pPr>
        <w:pStyle w:val="Bibliography"/>
        <w:rPr>
          <w:lang w:val="en-US"/>
        </w:rPr>
      </w:pPr>
      <w:r>
        <w:rPr>
          <w:lang w:val="en-US"/>
        </w:rPr>
        <w:t xml:space="preserve">shadcn. (2024). </w:t>
      </w:r>
      <w:r>
        <w:rPr>
          <w:i/>
          <w:iCs/>
          <w:lang w:val="en-US"/>
        </w:rPr>
        <w:t>Shadcn/ui documentation</w:t>
      </w:r>
      <w:r>
        <w:rPr>
          <w:lang w:val="en-US"/>
        </w:rPr>
        <w:t>. https://ui.shadcn.com/docs</w:t>
      </w:r>
    </w:p>
    <w:p w14:paraId="30DFC305" w14:textId="77777777" w:rsidR="00E73916" w:rsidRPr="00E73916" w:rsidRDefault="00E73916" w:rsidP="00E73916">
      <w:pPr>
        <w:pStyle w:val="Bibliography"/>
        <w:rPr>
          <w:lang w:val="en-US"/>
        </w:rPr>
      </w:pPr>
      <w:r>
        <w:rPr>
          <w:lang w:val="en-US"/>
        </w:rPr>
        <w:t xml:space="preserve">SQLite. (2024). </w:t>
      </w:r>
      <w:r>
        <w:rPr>
          <w:i/>
          <w:iCs/>
          <w:lang w:val="en-US"/>
        </w:rPr>
        <w:t>SQLite: Features</w:t>
      </w:r>
      <w:r>
        <w:rPr>
          <w:lang w:val="en-US"/>
        </w:rPr>
        <w:t>. https://sqlite.org/features.html</w:t>
      </w:r>
    </w:p>
    <w:p w14:paraId="134973CE" w14:textId="77777777" w:rsidR="00E73916" w:rsidRPr="00E73916" w:rsidRDefault="00E73916" w:rsidP="00E73916">
      <w:pPr>
        <w:pStyle w:val="Bibliography"/>
        <w:rPr>
          <w:lang w:val="en-US"/>
        </w:rPr>
      </w:pPr>
      <w:r>
        <w:rPr>
          <w:lang w:val="en-US"/>
        </w:rPr>
        <w:t xml:space="preserve">Tailwind Labs. (2024). </w:t>
      </w:r>
      <w:r>
        <w:rPr>
          <w:i/>
          <w:iCs/>
          <w:lang w:val="en-US"/>
        </w:rPr>
        <w:t>Tailwind CSS documentation</w:t>
      </w:r>
      <w:r>
        <w:rPr>
          <w:lang w:val="en-US"/>
        </w:rPr>
        <w:t>. https://tailwindcss.com/docs</w:t>
      </w:r>
    </w:p>
    <w:p w14:paraId="03EC6947" w14:textId="77777777" w:rsidR="00E73916" w:rsidRPr="00E73916" w:rsidRDefault="00E73916" w:rsidP="00E73916">
      <w:pPr>
        <w:pStyle w:val="Bibliography"/>
        <w:rPr>
          <w:lang w:val="en-US"/>
        </w:rPr>
      </w:pPr>
      <w:r>
        <w:rPr>
          <w:lang w:val="en-US"/>
        </w:rPr>
        <w:t xml:space="preserve">TanStack. (2024). </w:t>
      </w:r>
      <w:r>
        <w:rPr>
          <w:i/>
          <w:iCs/>
          <w:lang w:val="en-US"/>
        </w:rPr>
        <w:t>TanStack Query documentation</w:t>
      </w:r>
      <w:r>
        <w:rPr>
          <w:lang w:val="en-US"/>
        </w:rPr>
        <w:t>. https://tanstack.com/query/latest</w:t>
      </w:r>
    </w:p>
    <w:p w14:paraId="1F8F6831" w14:textId="77777777" w:rsidR="00E73916" w:rsidRPr="00E73916" w:rsidRDefault="00E73916" w:rsidP="00E73916">
      <w:pPr>
        <w:pStyle w:val="Bibliography"/>
        <w:rPr>
          <w:lang w:val="en-US"/>
        </w:rPr>
      </w:pPr>
      <w:r>
        <w:rPr>
          <w:lang w:val="en-US"/>
        </w:rPr>
        <w:t xml:space="preserve">Thummarakoti, S. (2026). Transforming Business Processes with Process Mining and Cloud Integration: Applications, Challenges, and Innovations. In J. C. Bansal, S. Borah, S. Hussain, &amp; S. Salhi (Eds), </w:t>
      </w:r>
      <w:r>
        <w:rPr>
          <w:i/>
          <w:iCs/>
          <w:lang w:val="en-US"/>
        </w:rPr>
        <w:t>Computing and Machine Learning</w:t>
      </w:r>
      <w:r>
        <w:rPr>
          <w:lang w:val="en-US"/>
        </w:rPr>
        <w:t xml:space="preserve"> (pp. 477–488). Springer Nature. https://doi.org/10.1007/978-981-95-2872-1_34</w:t>
      </w:r>
    </w:p>
    <w:p w14:paraId="2B00355A" w14:textId="77777777" w:rsidR="00E73916" w:rsidRPr="00E73916" w:rsidRDefault="00E73916" w:rsidP="00E73916">
      <w:pPr>
        <w:pStyle w:val="Bibliography"/>
        <w:rPr>
          <w:lang w:val="en-US"/>
        </w:rPr>
      </w:pPr>
      <w:r>
        <w:rPr>
          <w:lang w:val="en-US"/>
        </w:rPr>
        <w:t xml:space="preserve">van der Aalst, W. (2020). Academic View: Development of the Process Mining Discipline. In L. Reinkemeyer (Ed.), </w:t>
      </w:r>
      <w:r>
        <w:rPr>
          <w:i/>
          <w:iCs/>
          <w:lang w:val="en-US"/>
        </w:rPr>
        <w:t>Process Mining in Action: Principles, Use Cases and Outlook</w:t>
      </w:r>
      <w:r>
        <w:rPr>
          <w:lang w:val="en-US"/>
        </w:rPr>
        <w:t xml:space="preserve"> (pp. 181–196). Springer International Publishing. https://doi.org/10.1007/978-3-030-40172-6_21</w:t>
      </w:r>
    </w:p>
    <w:p w14:paraId="5B9CD765" w14:textId="77777777" w:rsidR="00E73916" w:rsidRPr="00E73916" w:rsidRDefault="00E73916" w:rsidP="00E73916">
      <w:pPr>
        <w:pStyle w:val="Bibliography"/>
        <w:rPr>
          <w:lang w:val="en-US"/>
        </w:rPr>
      </w:pPr>
      <w:r>
        <w:rPr>
          <w:lang w:val="en-US"/>
        </w:rPr>
        <w:t xml:space="preserve">van der Aalst, W. (2016). Data Science in Action. In W. van der Aalst (Ed.), </w:t>
      </w:r>
      <w:r>
        <w:rPr>
          <w:i/>
          <w:iCs/>
          <w:lang w:val="en-US"/>
        </w:rPr>
        <w:t>Process Mining: Data Science in Action</w:t>
      </w:r>
      <w:r>
        <w:rPr>
          <w:lang w:val="en-US"/>
        </w:rPr>
        <w:t xml:space="preserve"> (pp. 3–23). Springer. https://doi.org/10.1007/978-3-662-49851-4_1</w:t>
      </w:r>
    </w:p>
    <w:p w14:paraId="420B9A9B" w14:textId="77777777" w:rsidR="00E73916" w:rsidRPr="00E73916" w:rsidRDefault="00E73916" w:rsidP="00E73916">
      <w:pPr>
        <w:pStyle w:val="Bibliography"/>
      </w:pPr>
      <w:r>
        <w:rPr>
          <w:lang w:val="en-US"/>
        </w:rPr>
        <w:t xml:space="preserve">Van Der Aalst, W., Adriansyah, A., De Medeiros, A. K. A., Arcieri, F., Baier, T., Blickle, T., Bose, J. C., Van Den Brand, P., Brandtjen, R., Buijs, J., Burattin, A., Carmona, J., Castellanos, M., Claes, J., Cook, J., Costantini, N., Curbera, F., Damiani, E., De Leoni, M., … Wynn, M. (2012). Process Mining Manifesto. In F. Daniel, K. Barkaoui, &amp; S. Dustdar (Eds), </w:t>
      </w:r>
      <w:r>
        <w:rPr>
          <w:i/>
          <w:iCs/>
          <w:lang w:val="en-US"/>
        </w:rPr>
        <w:t xml:space="preserve">Business Process </w:t>
      </w:r>
      <w:r>
        <w:rPr>
          <w:i/>
          <w:iCs/>
          <w:lang w:val="en-US"/>
        </w:rPr>
        <w:lastRenderedPageBreak/>
        <w:t>Management Workshops</w:t>
      </w:r>
      <w:r>
        <w:rPr>
          <w:lang w:val="en-US"/>
        </w:rPr>
        <w:t xml:space="preserve"> (Vol. 99, pp. 169–194). </w:t>
      </w:r>
      <w:r>
        <w:t>Springer Berlin Heidelberg. https://doi.org/10.1007/978-3-642-28108-2_19</w:t>
      </w:r>
    </w:p>
    <w:p w14:paraId="52370F23" w14:textId="77777777" w:rsidR="00E73916" w:rsidRPr="00E73916" w:rsidRDefault="00E73916" w:rsidP="00E73916">
      <w:pPr>
        <w:pStyle w:val="Bibliography"/>
      </w:pPr>
      <w:r>
        <w:t xml:space="preserve">van der Aalst, W. M. P. (2019). </w:t>
      </w:r>
      <w:r>
        <w:rPr>
          <w:lang w:val="en-US"/>
        </w:rPr>
        <w:t xml:space="preserve">Object-Centric Process Mining: Dealing with Divergence and Convergence in Event Data. In P. C. Ölveczky &amp; G. Salaün (Eds), </w:t>
      </w:r>
      <w:r>
        <w:rPr>
          <w:i/>
          <w:iCs/>
          <w:lang w:val="en-US"/>
        </w:rPr>
        <w:t>Software Engineering and Formal Methods</w:t>
      </w:r>
      <w:r>
        <w:rPr>
          <w:lang w:val="en-US"/>
        </w:rPr>
        <w:t xml:space="preserve"> (pp. 3–25). </w:t>
      </w:r>
      <w:r>
        <w:t>Springer International Publishing. https://doi.org/10.1007/978-3-030-30446-1_1</w:t>
      </w:r>
    </w:p>
    <w:p>
      <w:pPr>
        <w:pStyle w:val="Bibliography"/>
      </w:pPr>
      <w:r>
        <w:t xml:space="preserve">van der Aalst, W. M. P., Weijters, A. J. M. M., &amp; Maruster, L. (2004). Workflow mining: Discovering process models from event logs. IEEE Transactions on Knowledge and Data Engineering, 16(9), 1128–1142. https://doi.org/10.1109/TKDE.2004.47</w:t>
      </w:r>
    </w:p>
    <w:p w14:paraId="254CA1F6" w14:textId="77777777" w:rsidR="00E73916" w:rsidRPr="00E73916" w:rsidRDefault="00E73916" w:rsidP="00E73916">
      <w:pPr>
        <w:pStyle w:val="Bibliography"/>
        <w:rPr>
          <w:lang w:val="en-US"/>
        </w:rPr>
      </w:pPr>
      <w:r>
        <w:t xml:space="preserve">van Dongen, B. F., de Medeiros, A. K. A., Verbeek, H. M. W., Weijters, A. J. M. M., &amp; van der Aalst, W. M. P. (2005). </w:t>
      </w:r>
      <w:r>
        <w:rPr>
          <w:lang w:val="en-US"/>
        </w:rPr>
        <w:t xml:space="preserve">The ProM Framework: A New Era in Process Mining Tool Support. In G. Ciardo &amp; P. Darondeau (Eds), </w:t>
      </w:r>
      <w:r>
        <w:rPr>
          <w:i/>
          <w:iCs/>
          <w:lang w:val="en-US"/>
        </w:rPr>
        <w:t>Applications and Theory of Petri Nets 2005</w:t>
      </w:r>
      <w:r>
        <w:rPr>
          <w:lang w:val="en-US"/>
        </w:rPr>
        <w:t xml:space="preserve"> (pp. 444–454). Springer. https://doi.org/10.1007/11494744_25</w:t>
      </w:r>
    </w:p>
    <w:p w14:paraId="07EE1198" w14:textId="77777777" w:rsidR="00E73916" w:rsidRPr="00E73916" w:rsidRDefault="00E73916" w:rsidP="00E73916">
      <w:pPr>
        <w:pStyle w:val="Bibliography"/>
        <w:rPr>
          <w:lang w:val="en-US"/>
        </w:rPr>
      </w:pPr>
      <w:r>
        <w:rPr>
          <w:lang w:val="en-US"/>
        </w:rPr>
        <w:t xml:space="preserve">Vercel. (2024). </w:t>
      </w:r>
      <w:r>
        <w:rPr>
          <w:i/>
          <w:iCs/>
          <w:lang w:val="en-US"/>
        </w:rPr>
        <w:t>Next.js documentation</w:t>
      </w:r>
      <w:r>
        <w:rPr>
          <w:lang w:val="en-US"/>
        </w:rPr>
        <w:t>. https://nextjs.org/docs</w:t>
      </w:r>
    </w:p>
    <w:p w14:paraId="5325A2AC" w14:textId="77777777" w:rsidR="00E73916" w:rsidRPr="00E73916" w:rsidRDefault="00E73916" w:rsidP="00E73916">
      <w:pPr>
        <w:pStyle w:val="Bibliography"/>
        <w:rPr>
          <w:lang w:val="en-US"/>
        </w:rPr>
      </w:pPr>
      <w:r>
        <w:rPr>
          <w:lang w:val="en-US"/>
        </w:rPr>
        <w:t xml:space="preserve">xyflow. (2024). </w:t>
      </w:r>
      <w:r>
        <w:rPr>
          <w:i/>
          <w:iCs/>
          <w:lang w:val="en-US"/>
        </w:rPr>
        <w:t>React Flow documentation</w:t>
      </w:r>
      <w:r>
        <w:rPr>
          <w:lang w:val="en-US"/>
        </w:rPr>
        <w:t>. https://reactflow.dev/</w:t>
      </w:r>
    </w:p>
    <w:p w14:paraId="65DE9200" w14:textId="77777777" w:rsidR="00E73916" w:rsidRPr="00E73916" w:rsidRDefault="00E73916" w:rsidP="00E73916">
      <w:pPr>
        <w:pStyle w:val="Bibliography"/>
      </w:pPr>
      <w:r>
        <w:t xml:space="preserve">Zerbato, F., Zimmermann, L., Vrotsou, K., &amp; Weber, B. (2024). </w:t>
      </w:r>
      <w:r>
        <w:rPr>
          <w:i/>
          <w:iCs/>
          <w:lang w:val="en-US"/>
        </w:rPr>
        <w:t>From Analysis to Findings: How Do Process Mining Analysts Discover Results?</w:t>
      </w:r>
      <w:r>
        <w:rPr>
          <w:lang w:val="en-US"/>
        </w:rPr>
        <w:t xml:space="preserve"> </w:t>
      </w:r>
      <w:r>
        <w:t>SSRN. https://doi.org/10.2139/ssrn.4975616</w:t>
      </w:r>
    </w:p>
    <w:p w14:paraId="1EFB0E98" w14:textId="77777777" w:rsidR="00B07CC5" w:rsidRPr="00EF35B9" w:rsidRDefault="00705EB3" w:rsidP="00644ECF">
      <w:pPr>
        <w:pStyle w:val="Heading1"/>
        <w:numPr>
          <w:ilvl w:val="0"/>
          <w:numId w:val="0"/>
        </w:numPr>
      </w:pPr>
      <w:bookmarkStart w:id="96" w:name="_Toc236492799"/>
      <w:r>
        <w:lastRenderedPageBreak/>
        <w:t>Appendix</w:t>
      </w:r>
      <w:bookmarkEnd w:id="96"/>
    </w:p>
    <w:p>
      <w:pPr>
        <w:pStyle w:val="Heading8"/>
      </w:pPr>
      <w:r>
        <w:t xml:space="preserve">End-User Manual</w:t>
      </w:r>
    </w:p>
    <w:p>
      <w:pPr>
        <w:pStyle w:val="BasicText"/>
      </w:pPr>
      <w:r>
        <w:t xml:space="preserve">Written to be readable independently of the report body. Section references point back only where a reason, rather than a procedure, is wanted.</w:t>
      </w:r>
    </w:p>
    <w:p>
      <w:pPr>
        <w:pStyle w:val="Heading9"/>
      </w:pPr>
      <w:r>
        <w:t xml:space="preserve">First login</w:t>
      </w:r>
    </w:p>
    <w:p>
      <w:pPr>
        <w:pStyle w:val="BasicText"/>
      </w:pPr>
      <w:r>
        <w:t xml:space="preserve">Open the platform URL. Login is mandatory and is handled by the bundled identity provider, which either shows its own form or redirects straight to the university identity provider. On a fresh local installation, sign in as </w:t>
      </w:r>
      <w:r>
        <w:rPr>
          <w:rFonts w:ascii="Courier New" w:hAnsi="Courier New"/>
          <w:sz w:val="20"/>
        </w:rPr>
        <w:t xml:space="preserve">admin@flows-funds.local</w:t>
      </w:r>
      <w:r>
        <w:t xml:space="preserve"> with the password </w:t>
      </w:r>
      <w:r>
        <w:rPr>
          <w:rFonts w:ascii="Courier New" w:hAnsi="Courier New"/>
          <w:sz w:val="20"/>
        </w:rPr>
        <w:t xml:space="preserve">flowsfunds</w:t>
      </w:r>
      <w:r>
        <w:t xml:space="preserve">; a password reset is forced on first use. Further accounts are created by an administrator in the identity provider's console. The first sign-in starts a short onboarding flow that sets display preferences and, unless the deployment has disabled the step, the usage-capture choice; it is stored per account on the server and can be replayed from </w:t>
      </w:r>
      <w:r>
        <w:rPr>
          <w:b/>
        </w:rPr>
        <w:t xml:space="preserve">Settings, About, Restart onboarding</w:t>
      </w:r>
      <w:r>
        <w:t xml:space="preserve">.</w:t>
      </w:r>
    </w:p>
    <w:p>
      <w:pPr>
        <w:pStyle w:val="Heading9"/>
      </w:pPr>
      <w:r>
        <w:t xml:space="preserve">Importing an event log</w:t>
      </w:r>
    </w:p>
    <w:p>
      <w:pPr>
        <w:pStyle w:val="BasicText"/>
      </w:pPr>
      <w:r>
        <w:t xml:space="preserve">Go to </w:t>
      </w:r>
      <w:r>
        <w:rPr>
          <w:b/>
        </w:rPr>
        <w:t xml:space="preserve">Processes</w:t>
      </w:r>
      <w:r>
        <w:t xml:space="preserve"> and choose </w:t>
      </w:r>
      <w:r>
        <w:rPr>
          <w:i/>
        </w:rPr>
        <w:t xml:space="preserve">Import event log</w:t>
      </w:r>
      <w:r>
        <w:t xml:space="preserve">.</w:t>
      </w:r>
    </w:p>
    <w:p>
      <w:pPr>
        <w:pStyle w:val="BasicText"/>
      </w:pPr>
      <w:r>
        <w:rPr>
          <w:b/>
        </w:rPr>
        <w:t xml:space="preserve">Supported formats.</w:t>
      </w:r>
      <w:r>
        <w:t xml:space="preserve"> XES and XES.gz are primary and carry their own semantics, so no mapping is needed; CSV is accepted with a column-mapping step; a generic XML path exists for advanced users; and object-centric logs are accepted as OCEL 2.0 in JSON, XML or SQLite encodings, following a separate analysis path.</w:t>
      </w:r>
    </w:p>
    <w:p>
      <w:pPr>
        <w:pStyle w:val="BasicText"/>
      </w:pPr>
      <w:r>
        <w:rPr>
          <w:b/>
        </w:rPr>
        <w:t xml:space="preserve">Column mapping (CSV only).</w:t>
      </w:r>
      <w:r>
        <w:t xml:space="preserve"> Identify the case identifier, the activity and the timestamp, which are required. Optionally identify a resource column and an end timestamp; the end timestamp is what allows waiting time to be separated from sojourn time, and several modules offer more output when it is present. A timestamp format and a delimiter can be set, with defaults in </w:t>
      </w:r>
      <w:r>
        <w:rPr>
          <w:b/>
        </w:rPr>
        <w:t xml:space="preserve">Settings, General</w:t>
      </w:r>
      <w:r>
        <w:t xml:space="preserve">.</w:t>
      </w:r>
    </w:p>
    <w:p>
      <w:pPr>
        <w:pStyle w:val="BasicText"/>
      </w:pPr>
      <w:r>
        <w:rPr>
          <w:b/>
        </w:rPr>
        <w:t xml:space="preserve">What happens next.</w:t>
      </w:r>
      <w:r>
        <w:t xml:space="preserve"> The upload returns immediately and the new row appears greyed out with a progress bar. The log passes through </w:t>
      </w:r>
      <w:r>
        <w:rPr>
          <w:i/>
        </w:rPr>
        <w:t xml:space="preserve">importing</w:t>
      </w:r>
      <w:r>
        <w:t xml:space="preserve"> while its file is parsed, then </w:t>
      </w:r>
      <w:r>
        <w:rPr>
          <w:i/>
        </w:rPr>
        <w:t xml:space="preserve">processing</w:t>
      </w:r>
      <w:r>
        <w:t xml:space="preserve"> while the modules that precompute on import run against it, then becomes </w:t>
      </w:r>
      <w:r>
        <w:rPr>
          <w:i/>
        </w:rPr>
        <w:t xml:space="preserve">ready</w:t>
      </w:r>
      <w:r>
        <w:t xml:space="preserve">. A log that is still processing cannot be opened; the jobs drawer shows what it is waiting for. A </w:t>
      </w:r>
      <w:r>
        <w:rPr>
          <w:i/>
        </w:rPr>
        <w:t xml:space="preserve">watched folder</w:t>
      </w:r>
      <w:r>
        <w:t xml:space="preserve"> can also be configured to poll a storage location and import new files automatically; there is no live event stream.</w:t>
      </w:r>
    </w:p>
    <w:p>
      <w:pPr>
        <w:pStyle w:val="Heading9"/>
      </w:pPr>
      <w:r>
        <w:t xml:space="preserve">The analysis views</w:t>
      </w:r>
    </w:p>
    <w:p>
      <w:pPr>
        <w:pStyle w:val="BasicText"/>
      </w:pPr>
      <w:r>
        <w:rPr>
          <w:b/>
        </w:rPr>
        <w:t xml:space="preserve">Processes</w:t>
      </w:r>
      <w:r>
        <w:t xml:space="preserve"> lists every log with its status, case, event and variant counts, the date range covered, the import time and the source format. Rows can be renamed inline, filtered by text and status, and organised into folders. Row actions cover open, rename, re-run import, export and delete.</w:t>
      </w:r>
    </w:p>
    <w:p>
      <w:pPr>
        <w:pStyle w:val="BasicText"/>
      </w:pPr>
      <w:r>
        <w:rPr>
          <w:b/>
        </w:rPr>
        <w:t xml:space="preserve">Process detail</w:t>
      </w:r>
      <w:r>
        <w:t xml:space="preserve"> opens on a ready log. The header shows the display name and key statistics. Tabs give the module grid, a browsable events table with filtering, and a variants view. A filter committed on the events tab becomes the log's active view and is what modules subsequently see.</w:t>
      </w:r>
    </w:p>
    <w:p>
      <w:pPr>
        <w:pStyle w:val="BasicText"/>
      </w:pPr>
      <w:r>
        <w:rPr>
          <w:b/>
        </w:rPr>
        <w:t xml:space="preserve">The module grid</w:t>
      </w:r>
      <w:r>
        <w:t xml:space="preserve"> is grouped by category. A card is full colour when the module applies to this log; greyed with a tooltip when a requirement is unmet, for example a missing resource column or too few events; and amber-badged "Limited" when an optional dependency is missing and the module will run in a reduced mode. Clicking an available card opens that module's panel for this log.</w:t>
      </w:r>
    </w:p>
    <w:p>
      <w:pPr>
        <w:pStyle w:val="BasicText"/>
      </w:pPr>
      <w:r>
        <w:rPr>
          <w:b/>
        </w:rPr>
        <w:t xml:space="preserve">Module panels</w:t>
      </w:r>
      <w:r>
        <w:t xml:space="preserve"> are contributed by the modules themselves and therefore differ. Graph and diagram views share a common canvas: zoom, fit, export and the view's own settings are in one control cluster, with the settings popover holding everything that changes what is drawn.</w:t>
      </w:r>
    </w:p>
    <w:p>
      <w:pPr>
        <w:pStyle w:val="Heading9"/>
      </w:pPr>
      <w:r>
        <w:t xml:space="preserve">Dashboards</w:t>
      </w:r>
    </w:p>
    <w:p>
      <w:pPr>
        <w:pStyle w:val="BasicText"/>
      </w:pPr>
      <w:r>
        <w:t xml:space="preserve">A dashboard is a saved grid of cards bound to one log. Create one from </w:t>
      </w:r>
      <w:r>
        <w:rPr>
          <w:b/>
        </w:rPr>
        <w:t xml:space="preserve">Dashboards</w:t>
      </w:r>
      <w:r>
        <w:t xml:space="preserve">, add cards from any installed module's widgets, and arrange them by dragging and resizing. Each card can be configured where its module offers options, and most cards expose an explanation of what they show.</w:t>
      </w:r>
    </w:p>
    <w:p>
      <w:pPr>
        <w:pStyle w:val="BasicText"/>
      </w:pPr>
      <w:r>
        <w:t xml:space="preserve">Dashboards can be exported and imported as a file, duplicated, and </w:t>
      </w:r>
      <w:r>
        <w:rPr>
          <w:b/>
        </w:rPr>
        <w:t xml:space="preserve">shared read-only</w:t>
      </w:r>
      <w:r>
        <w:t xml:space="preserve"> with named users or a team. Sharing is the only way anything crosses an account boundary: recipients can view the dashboard and the data its cards render, and can change nothing.</w:t>
      </w:r>
    </w:p>
    <w:p>
      <w:pPr>
        <w:pStyle w:val="Heading9"/>
      </w:pPr>
      <w:r>
        <w:t xml:space="preserve">Monitoring jobs</w:t>
      </w:r>
    </w:p>
    <w:p>
      <w:pPr>
        <w:pStyle w:val="BasicText"/>
      </w:pPr>
      <w:r>
        <w:t xml:space="preserve">Every long operation is a job. Three surfaces show them, all driven by the same live stream.</w:t>
      </w:r>
    </w:p>
    <w:p>
      <w:pPr>
        <w:pStyle w:val="BasicText"/>
      </w:pPr>
      <w:r>
        <w:rPr>
          <w:b/>
        </w:rPr>
        <w:t xml:space="preserve">Toasts</w:t>
      </w:r>
      <w:r>
        <w:t xml:space="preserve"> announce queueing, completion, failure and cancellation, with an action to open the result or retry. </w:t>
      </w:r>
      <w:r>
        <w:rPr>
          <w:b/>
        </w:rPr>
        <w:t xml:space="preserve">The dock</w:t>
      </w:r>
      <w:r>
        <w:t xml:space="preserve">, bottom left, shows the foremost job's title and progress whenever jobs are active. </w:t>
      </w:r>
      <w:r>
        <w:rPr>
          <w:b/>
        </w:rPr>
        <w:t xml:space="preserve">The jobs drawer</w:t>
      </w:r>
      <w:r>
        <w:t xml:space="preserve"> opens from the dock and lists everything grouped by status, with progress, stage, elapsed and estimated remaining time, plus cancel, retry and a details view holding the payload, recent log lines and any error.</w:t>
      </w:r>
    </w:p>
    <w:p>
      <w:pPr>
        <w:pStyle w:val="BasicText"/>
      </w:pPr>
      <w:r>
        <w:t xml:space="preserve">A job that reports no progress shows an indeterminate bar; if it stays silent for about three minutes the row adds a note saying so. That is not by itself a failure.</w:t>
      </w:r>
    </w:p>
    <w:p>
      <w:pPr>
        <w:pStyle w:val="Heading9"/>
      </w:pPr>
      <w:r>
        <w:t xml:space="preserve">The assistant</w:t>
      </w:r>
    </w:p>
    <w:p>
      <w:pPr>
        <w:pStyle w:val="BasicText"/>
      </w:pPr>
      <w:r>
        <w:t xml:space="preserve">The chat panel on the right is bound to a model provider </w:t>
      </w:r>
      <w:r>
        <w:rPr>
          <w:b/>
        </w:rPr>
        <w:t xml:space="preserve">you</w:t>
      </w:r>
      <w:r>
        <w:t xml:space="preserve"> configure under </w:t>
      </w:r>
      <w:r>
        <w:rPr>
          <w:b/>
        </w:rPr>
        <w:t xml:space="preserve">Settings, AI</w:t>
      </w:r>
      <w:r>
        <w:t xml:space="preserve">: a base URL for any OpenAI-compatible endpoint, an API key, a model name and, optionally, a custom system prompt. The key is stored on the platform host and is sent nowhere except to the endpoint you configured. The assistant can reference the active log, recent job outcomes and your enabled modules, and can carry out platform actions on your behalf.</w:t>
      </w:r>
    </w:p>
    <w:p>
      <w:pPr>
        <w:pStyle w:val="BasicText"/>
      </w:pPr>
      <w:r>
        <w:t xml:space="preserve">Note the data boundary: using the assistant sends the content of your questions, and the context it draws in, to the provider you chose. One bundled module, the Concept Drift Explainer, makes the same trade-off and is labelled as not confidentiality-safe.</w:t>
      </w:r>
    </w:p>
    <w:p>
      <w:pPr>
        <w:pStyle w:val="Heading9"/>
      </w:pPr>
      <w:r>
        <w:t xml:space="preserve">Modules and account settings</w:t>
      </w:r>
    </w:p>
    <w:p>
      <w:pPr>
        <w:pStyle w:val="BasicText"/>
      </w:pPr>
      <w:r>
        <w:rPr>
          <w:b/>
        </w:rPr>
        <w:t xml:space="preserve">Settings, Modules</w:t>
      </w:r>
      <w:r>
        <w:t xml:space="preserve"> lists every installed module with its status, version and category. Each can be configured, disabled or uninstalled, and </w:t>
      </w:r>
      <w:r>
        <w:rPr>
          <w:i/>
        </w:rPr>
        <w:t xml:space="preserve">Restore defaults</w:t>
      </w:r>
      <w:r>
        <w:t xml:space="preserve"> re-adds any bundled module that was removed. Installation is per account: removing a module affects only you. New modules are added from </w:t>
      </w:r>
      <w:r>
        <w:rPr>
          <w:b/>
        </w:rPr>
        <w:t xml:space="preserve">Import</w:t>
      </w:r>
      <w:r>
        <w:t xml:space="preserve">, by uploading an archive, giving a Git URL, or naming a published package. An administrator may lock a module so that it cannot be removed.</w:t>
      </w:r>
    </w:p>
    <w:p>
      <w:pPr>
        <w:pStyle w:val="BasicText"/>
      </w:pPr>
      <w:r>
        <w:rPr>
          <w:b/>
        </w:rPr>
        <w:t xml:space="preserve">Settings, General</w:t>
      </w:r>
      <w:r>
        <w:t xml:space="preserve"> covers appearance, density, locale, timestamp and delimiter defaults, and a storage gauge. </w:t>
      </w:r>
      <w:r>
        <w:rPr>
          <w:b/>
        </w:rPr>
        <w:t xml:space="preserve">Settings, Privacy</w:t>
      </w:r>
      <w:r>
        <w:t xml:space="preserve"> holds the usage-capture choice where the deployment allows one. </w:t>
      </w:r>
      <w:r>
        <w:rPr>
          <w:b/>
        </w:rPr>
        <w:t xml:space="preserve">Settings, API and MCP</w:t>
      </w:r>
      <w:r>
        <w:t xml:space="preserve"> issues personal access tokens for external tools. </w:t>
      </w:r>
      <w:r>
        <w:rPr>
          <w:b/>
        </w:rPr>
        <w:t xml:space="preserve">Settings, About</w:t>
      </w:r>
      <w:r>
        <w:t xml:space="preserve"> shows the platform version and a </w:t>
      </w:r>
      <w:r>
        <w:rPr>
          <w:i/>
        </w:rPr>
        <w:t xml:space="preserve">Copy diagnostics</w:t>
      </w:r>
      <w:r>
        <w:t xml:space="preserve"> action that puts a support-friendly summary on the clipboard.</w:t>
      </w:r>
    </w:p>
    <w:p>
      <w:pPr>
        <w:pStyle w:val="Heading8"/>
      </w:pPr>
      <w:r>
        <w:t xml:space="preserve">Module Manifest and SDK Reference</w:t>
      </w:r>
    </w:p>
    <w:p>
      <w:pPr>
        <w:pStyle w:val="BasicText"/>
      </w:pPr>
      <w:r>
        <w:t xml:space="preserve">The lookup counterpart to Chapter 8. The manifest is validated on load, so every rule below fails at startup rather than at first use.</w:t>
      </w:r>
    </w:p>
    <w:p>
      <w:pPr>
        <w:pStyle w:val="Heading9"/>
      </w:pPr>
      <w:r>
        <w:t xml:space="preserve">Manifest schema</w:t>
      </w:r>
    </w:p>
    <w:p>
      <w:pPr>
        <w:pStyle w:val="BasicText"/>
      </w:pPr>
      <w:r>
        <w:rPr>
          <w:b/>
        </w:rPr>
        <w:t xml:space="preserve">Identity.</w:t>
      </w:r>
      <w:r>
        <w:t xml:space="preserve"> </w:t>
      </w:r>
      <w:r>
        <w:rPr>
          <w:rFonts w:ascii="Courier New" w:hAnsi="Courier New"/>
          <w:sz w:val="20"/>
        </w:rPr>
        <w:t xml:space="preserve">id</w:t>
      </w:r>
      <w:r>
        <w:t xml:space="preserve"> (required, lowercase snake_case, globally unique, must equal the class attribute </w:t>
      </w:r>
      <w:r>
        <w:rPr>
          <w:rFonts w:ascii="Courier New" w:hAnsi="Courier New"/>
          <w:sz w:val="20"/>
        </w:rPr>
        <w:t xml:space="preserve">id</w:t>
      </w:r>
      <w:r>
        <w:t xml:space="preserve">; a duplicate is a startup error), </w:t>
      </w:r>
      <w:r>
        <w:rPr>
          <w:rFonts w:ascii="Courier New" w:hAnsi="Courier New"/>
          <w:sz w:val="20"/>
        </w:rPr>
        <w:t xml:space="preserve">name</w:t>
      </w:r>
      <w:r>
        <w:t xml:space="preserve">, </w:t>
      </w:r>
      <w:r>
        <w:rPr>
          <w:rFonts w:ascii="Courier New" w:hAnsi="Courier New"/>
          <w:sz w:val="20"/>
        </w:rPr>
        <w:t xml:space="preserve">version</w:t>
      </w:r>
      <w:r>
        <w:t xml:space="preserve">, </w:t>
      </w:r>
      <w:r>
        <w:rPr>
          <w:rFonts w:ascii="Courier New" w:hAnsi="Courier New"/>
          <w:sz w:val="20"/>
        </w:rPr>
        <w:t xml:space="preserve">category</w:t>
      </w:r>
      <w:r>
        <w:t xml:space="preserve"> (</w:t>
      </w:r>
      <w:r>
        <w:rPr>
          <w:rFonts w:ascii="Courier New" w:hAnsi="Courier New"/>
          <w:sz w:val="20"/>
        </w:rPr>
        <w:t xml:space="preserve">foundation</w:t>
      </w:r>
      <w:r>
        <w:t xml:space="preserve">, </w:t>
      </w:r>
      <w:r>
        <w:rPr>
          <w:rFonts w:ascii="Courier New" w:hAnsi="Courier New"/>
          <w:sz w:val="20"/>
        </w:rPr>
        <w:t xml:space="preserve">attribute</w:t>
      </w:r>
      <w:r>
        <w:t xml:space="preserve">, </w:t>
      </w:r>
      <w:r>
        <w:rPr>
          <w:rFonts w:ascii="Courier New" w:hAnsi="Courier New"/>
          <w:sz w:val="20"/>
        </w:rPr>
        <w:t xml:space="preserve">external_input</w:t>
      </w:r>
      <w:r>
        <w:t xml:space="preserve">, </w:t>
      </w:r>
      <w:r>
        <w:rPr>
          <w:rFonts w:ascii="Courier New" w:hAnsi="Courier New"/>
          <w:sz w:val="20"/>
        </w:rPr>
        <w:t xml:space="preserve">advanced</w:t>
      </w:r>
      <w:r>
        <w:t xml:space="preserve">, </w:t>
      </w:r>
      <w:r>
        <w:rPr>
          <w:rFonts w:ascii="Courier New" w:hAnsi="Courier New"/>
          <w:sz w:val="20"/>
        </w:rPr>
        <w:t xml:space="preserve">comparison</w:t>
      </w:r>
      <w:r>
        <w:t xml:space="preserve">, </w:t>
      </w:r>
      <w:r>
        <w:rPr>
          <w:rFonts w:ascii="Courier New" w:hAnsi="Courier New"/>
          <w:sz w:val="20"/>
        </w:rPr>
        <w:t xml:space="preserve">other</w:t>
      </w:r>
      <w:r>
        <w:t xml:space="preserve">), </w:t>
      </w:r>
      <w:r>
        <w:rPr>
          <w:rFonts w:ascii="Courier New" w:hAnsi="Courier New"/>
          <w:sz w:val="20"/>
        </w:rPr>
        <w:t xml:space="preserve">description</w:t>
      </w:r>
      <w:r>
        <w:t xml:space="preserve"> (one line, shown on the card), </w:t>
      </w:r>
      <w:r>
        <w:rPr>
          <w:rFonts w:ascii="Courier New" w:hAnsi="Courier New"/>
          <w:sz w:val="20"/>
        </w:rPr>
        <w:t xml:space="preserve">about</w:t>
      </w:r>
      <w:r>
        <w:t xml:space="preserve"> (longer prose on the detail page), </w:t>
      </w:r>
      <w:r>
        <w:rPr>
          <w:rFonts w:ascii="Courier New" w:hAnsi="Courier New"/>
          <w:sz w:val="20"/>
        </w:rPr>
        <w:t xml:space="preserve">license</w:t>
      </w:r>
      <w:r>
        <w:t xml:space="preserve">, </w:t>
      </w:r>
      <w:r>
        <w:rPr>
          <w:rFonts w:ascii="Courier New" w:hAnsi="Courier New"/>
          <w:sz w:val="20"/>
        </w:rPr>
        <w:t xml:space="preserve">keywords[]</w:t>
      </w:r>
      <w:r>
        <w:t xml:space="preserve"> (helps the assistant route messages; derived from name and description when omitted).</w:t>
      </w:r>
    </w:p>
    <w:p>
      <w:pPr>
        <w:pStyle w:val="BasicText"/>
      </w:pPr>
      <w:r>
        <w:rPr>
          <w:b/>
        </w:rPr>
        <w:t xml:space="preserve">Provenance.</w:t>
      </w:r>
      <w:r>
        <w:t xml:space="preserve"> </w:t>
      </w:r>
      <w:r>
        <w:rPr>
          <w:rFonts w:ascii="Courier New" w:hAnsi="Courier New"/>
          <w:sz w:val="20"/>
        </w:rPr>
        <w:t xml:space="preserve">source[]</w:t>
      </w:r>
      <w:r>
        <w:t xml:space="preserve">, up to 20 entries of </w:t>
      </w:r>
      <w:r>
        <w:rPr>
          <w:rFonts w:ascii="Courier New" w:hAnsi="Courier New"/>
          <w:sz w:val="20"/>
        </w:rPr>
        <w:t xml:space="preserve">title</w:t>
      </w:r>
      <w:r>
        <w:t xml:space="preserve">, </w:t>
      </w:r>
      <w:r>
        <w:rPr>
          <w:rFonts w:ascii="Courier New" w:hAnsi="Courier New"/>
          <w:sz w:val="20"/>
        </w:rPr>
        <w:t xml:space="preserve">fullCitation</w:t>
      </w:r>
      <w:r>
        <w:t xml:space="preserve"> and optional </w:t>
      </w:r>
      <w:r>
        <w:rPr>
          <w:rFonts w:ascii="Courier New" w:hAnsi="Courier New"/>
          <w:sz w:val="20"/>
        </w:rPr>
        <w:t xml:space="preserve">url</w:t>
      </w:r>
      <w:r>
        <w:t xml:space="preserve">. </w:t>
      </w:r>
      <w:r>
        <w:rPr>
          <w:rFonts w:ascii="Courier New" w:hAnsi="Courier New"/>
          <w:sz w:val="20"/>
        </w:rPr>
        <w:t xml:space="preserve">artifacts[]</w:t>
      </w:r>
      <w:r>
        <w:t xml:space="preserve">, entries of </w:t>
      </w:r>
      <w:r>
        <w:rPr>
          <w:rFonts w:ascii="Courier New" w:hAnsi="Courier New"/>
          <w:sz w:val="20"/>
        </w:rPr>
        <w:t xml:space="preserve">name</w:t>
      </w:r>
      <w:r>
        <w:t xml:space="preserve"> and </w:t>
      </w:r>
      <w:r>
        <w:rPr>
          <w:rFonts w:ascii="Courier New" w:hAnsi="Courier New"/>
          <w:sz w:val="20"/>
        </w:rPr>
        <w:t xml:space="preserve">url</w:t>
      </w:r>
      <w:r>
        <w:t xml:space="preserve"> pointing at reference implementations and datasets.</w:t>
      </w:r>
    </w:p>
    <w:p>
      <w:pPr>
        <w:pStyle w:val="BasicText"/>
      </w:pPr>
      <w:r>
        <w:rPr>
          <w:b/>
        </w:rPr>
        <w:t xml:space="preserve">Requirements.</w:t>
      </w:r>
      <w:r>
        <w:t xml:space="preserve"> </w:t>
      </w:r>
      <w:r>
        <w:rPr>
          <w:rFonts w:ascii="Courier New" w:hAnsi="Courier New"/>
          <w:sz w:val="20"/>
        </w:rPr>
        <w:t xml:space="preserve">requirements.event_log.log_model</w:t>
      </w:r>
      <w:r>
        <w:t xml:space="preserve"> is </w:t>
      </w:r>
      <w:r>
        <w:rPr>
          <w:rFonts w:ascii="Courier New" w:hAnsi="Courier New"/>
          <w:sz w:val="20"/>
        </w:rPr>
        <w:t xml:space="preserve">case_centric</w:t>
      </w:r>
      <w:r>
        <w:t xml:space="preserve"> or </w:t>
      </w:r>
      <w:r>
        <w:rPr>
          <w:rFonts w:ascii="Courier New" w:hAnsi="Courier New"/>
          <w:sz w:val="20"/>
        </w:rPr>
        <w:t xml:space="preserve">object_centric</w:t>
      </w:r>
      <w:r>
        <w:t xml:space="preserve"> and is checked first, so a mismatch hides the module for that log entirely. </w:t>
      </w:r>
      <w:r>
        <w:rPr>
          <w:rFonts w:ascii="Courier New" w:hAnsi="Courier New"/>
          <w:sz w:val="20"/>
        </w:rPr>
        <w:t xml:space="preserve">required_columns[]</w:t>
      </w:r>
      <w:r>
        <w:t xml:space="preserve">, </w:t>
      </w:r>
      <w:r>
        <w:rPr>
          <w:rFonts w:ascii="Courier New" w:hAnsi="Courier New"/>
          <w:sz w:val="20"/>
        </w:rPr>
        <w:t xml:space="preserve">min_events</w:t>
      </w:r>
      <w:r>
        <w:t xml:space="preserve"> and </w:t>
      </w:r>
      <w:r>
        <w:rPr>
          <w:rFonts w:ascii="Courier New" w:hAnsi="Courier New"/>
          <w:sz w:val="20"/>
        </w:rPr>
        <w:t xml:space="preserve">min_cases</w:t>
      </w:r>
      <w:r>
        <w:t xml:space="preserve"> are availability gates and the interface names what is missing; </w:t>
      </w:r>
      <w:r>
        <w:rPr>
          <w:rFonts w:ascii="Courier New" w:hAnsi="Courier New"/>
          <w:sz w:val="20"/>
        </w:rPr>
        <w:t xml:space="preserve">optional_columns[]</w:t>
      </w:r>
      <w:r>
        <w:t xml:space="preserve"> is not a gate and merely unlocks additional output. </w:t>
      </w:r>
      <w:r>
        <w:rPr>
          <w:rFonts w:ascii="Courier New" w:hAnsi="Courier New"/>
          <w:sz w:val="20"/>
        </w:rPr>
        <w:t xml:space="preserve">requirements.modules[]</w:t>
      </w:r>
      <w:r>
        <w:t xml:space="preserve"> are hard dependencies and a missing one aborts startup; </w:t>
      </w:r>
      <w:r>
        <w:rPr>
          <w:rFonts w:ascii="Courier New" w:hAnsi="Courier New"/>
          <w:sz w:val="20"/>
        </w:rPr>
        <w:t xml:space="preserve">requirements.optional_modules[]</w:t>
      </w:r>
      <w:r>
        <w:t xml:space="preserve"> are </w:t>
      </w:r>
      <w:r>
        <w:rPr>
          <w:rFonts w:ascii="Courier New" w:hAnsi="Courier New"/>
          <w:sz w:val="20"/>
        </w:rPr>
        <w:t xml:space="preserve">{id, reason}</w:t>
      </w:r>
      <w:r>
        <w:t xml:space="preserve"> pairs that the module must degrade gracefully without.</w:t>
      </w:r>
    </w:p>
    <w:p>
      <w:pPr>
        <w:pStyle w:val="BasicText"/>
      </w:pPr>
      <w:r>
        <w:rPr>
          <w:b/>
        </w:rPr>
        <w:t xml:space="preserve">Bus contract.</w:t>
      </w:r>
      <w:r>
        <w:t xml:space="preserve"> </w:t>
      </w:r>
      <w:r>
        <w:rPr>
          <w:rFonts w:ascii="Courier New" w:hAnsi="Courier New"/>
          <w:sz w:val="20"/>
        </w:rPr>
        <w:t xml:space="preserve">provides[]</w:t>
      </w:r>
      <w:r>
        <w:t xml:space="preserve"> lists every capability and topic the module publishes; </w:t>
      </w:r>
      <w:r>
        <w:rPr>
          <w:rFonts w:ascii="Courier New" w:hAnsi="Courier New"/>
          <w:sz w:val="20"/>
        </w:rPr>
        <w:t xml:space="preserve">consumes[]</w:t>
      </w:r>
      <w:r>
        <w:t xml:space="preserve"> lists every topic it subscribes to and capability it calls. Emitting or calling something undeclared is a startup error.</w:t>
      </w:r>
    </w:p>
    <w:p>
      <w:pPr>
        <w:pStyle w:val="BasicText"/>
      </w:pPr>
      <w:r>
        <w:rPr>
          <w:b/>
        </w:rPr>
        <w:t xml:space="preserve">Dependencies.</w:t>
      </w:r>
      <w:r>
        <w:t xml:space="preserve"> </w:t>
      </w:r>
      <w:r>
        <w:rPr>
          <w:rFonts w:ascii="Courier New" w:hAnsi="Courier New"/>
          <w:sz w:val="20"/>
        </w:rPr>
        <w:t xml:space="preserve">dependencies.python.packages[]</w:t>
      </w:r>
      <w:r>
        <w:t xml:space="preserve"> are installed into the module's own environment and may be Git URLs. </w:t>
      </w:r>
      <w:r>
        <w:rPr>
          <w:rFonts w:ascii="Courier New" w:hAnsi="Courier New"/>
          <w:sz w:val="20"/>
        </w:rPr>
        <w:t xml:space="preserve">inherit[]</w:t>
      </w:r>
      <w:r>
        <w:t xml:space="preserve"> names libraries made importable from the platform environment without reinstalling; inheriting and pinning the same package is an error. </w:t>
      </w:r>
      <w:r>
        <w:rPr>
          <w:rFonts w:ascii="Courier New" w:hAnsi="Courier New"/>
          <w:sz w:val="20"/>
        </w:rPr>
        <w:t xml:space="preserve">isolation</w:t>
      </w:r>
      <w:r>
        <w:t xml:space="preserve"> is </w:t>
      </w:r>
      <w:r>
        <w:rPr>
          <w:rFonts w:ascii="Courier New" w:hAnsi="Courier New"/>
          <w:sz w:val="20"/>
        </w:rPr>
        <w:t xml:space="preserve">in_process</w:t>
      </w:r>
      <w:r>
        <w:t xml:space="preserve"> (default) or </w:t>
      </w:r>
      <w:r>
        <w:rPr>
          <w:rFonts w:ascii="Courier New" w:hAnsi="Courier New"/>
          <w:sz w:val="20"/>
        </w:rPr>
        <w:t xml:space="preserve">subprocess</w:t>
      </w:r>
      <w:r>
        <w:t xml:space="preserve">. </w:t>
      </w:r>
      <w:r>
        <w:rPr>
          <w:rFonts w:ascii="Courier New" w:hAnsi="Courier New"/>
          <w:sz w:val="20"/>
        </w:rPr>
        <w:t xml:space="preserve">requires-python</w:t>
      </w:r>
      <w:r>
        <w:t xml:space="preserve"> is a </w:t>
      </w:r>
      <w:r>
        <w:rPr>
          <w:b/>
        </w:rPr>
        <w:t xml:space="preserve">validation gate</w:t>
      </w:r>
      <w:r>
        <w:t xml:space="preserve"> under </w:t>
      </w:r>
      <w:r>
        <w:rPr>
          <w:rFonts w:ascii="Courier New" w:hAnsi="Courier New"/>
          <w:sz w:val="20"/>
        </w:rPr>
        <w:t xml:space="preserve">in_process</w:t>
      </w:r>
      <w:r>
        <w:t xml:space="preserve"> and an </w:t>
      </w:r>
      <w:r>
        <w:rPr>
          <w:b/>
        </w:rPr>
        <w:t xml:space="preserve">interpreter selector</w:t>
      </w:r>
      <w:r>
        <w:t xml:space="preserve"> under </w:t>
      </w:r>
      <w:r>
        <w:rPr>
          <w:rFonts w:ascii="Courier New" w:hAnsi="Courier New"/>
          <w:sz w:val="20"/>
        </w:rPr>
        <w:t xml:space="preserve">subprocess</w:t>
      </w:r>
      <w:r>
        <w:t xml:space="preserve">. </w:t>
      </w:r>
      <w:r>
        <w:rPr>
          <w:rFonts w:ascii="Courier New" w:hAnsi="Courier New"/>
          <w:sz w:val="20"/>
        </w:rPr>
        <w:t xml:space="preserve">dependencies.npm[]</w:t>
      </w:r>
      <w:r>
        <w:t xml:space="preserve"> installs into the module's own </w:t>
      </w:r>
      <w:r>
        <w:rPr>
          <w:rFonts w:ascii="Courier New" w:hAnsi="Courier New"/>
          <w:sz w:val="20"/>
        </w:rPr>
        <w:t xml:space="preserve">node_modules</w:t>
      </w:r>
      <w:r>
        <w:t xml:space="preserve">.</w:t>
      </w:r>
    </w:p>
    <w:p>
      <w:pPr>
        <w:pStyle w:val="BasicText"/>
      </w:pPr>
      <w:r>
        <w:rPr>
          <w:b/>
        </w:rPr>
        <w:t xml:space="preserve">Runtime.</w:t>
      </w:r>
      <w:r>
        <w:t xml:space="preserve"> </w:t>
      </w:r>
      <w:r>
        <w:rPr>
          <w:rFonts w:ascii="Courier New" w:hAnsi="Courier New"/>
          <w:sz w:val="20"/>
        </w:rPr>
        <w:t xml:space="preserve">runtime.kind</w:t>
      </w:r>
      <w:r>
        <w:t xml:space="preserve"> is </w:t>
      </w:r>
      <w:r>
        <w:rPr>
          <w:rFonts w:ascii="Courier New" w:hAnsi="Courier New"/>
          <w:sz w:val="20"/>
        </w:rPr>
        <w:t xml:space="preserve">python</w:t>
      </w:r>
      <w:r>
        <w:t xml:space="preserve"> (default) or </w:t>
      </w:r>
      <w:r>
        <w:rPr>
          <w:rFonts w:ascii="Courier New" w:hAnsi="Courier New"/>
          <w:sz w:val="20"/>
        </w:rPr>
        <w:t xml:space="preserve">jvm</w:t>
      </w:r>
      <w:r>
        <w:t xml:space="preserve">; any other value is rejected at load. A </w:t>
      </w:r>
      <w:r>
        <w:rPr>
          <w:rFonts w:ascii="Courier New" w:hAnsi="Courier New"/>
          <w:sz w:val="20"/>
        </w:rPr>
        <w:t xml:space="preserve">jvm</w:t>
      </w:r>
      <w:r>
        <w:t xml:space="preserve"> block additionally takes </w:t>
      </w:r>
      <w:r>
        <w:rPr>
          <w:rFonts w:ascii="Courier New" w:hAnsi="Courier New"/>
          <w:sz w:val="20"/>
        </w:rPr>
        <w:t xml:space="preserve">jar</w:t>
      </w:r>
      <w:r>
        <w:t xml:space="preserve"> (folder-relative path to a self-contained fat jar), </w:t>
      </w:r>
      <w:r>
        <w:rPr>
          <w:rFonts w:ascii="Courier New" w:hAnsi="Courier New"/>
          <w:sz w:val="20"/>
        </w:rPr>
        <w:t xml:space="preserve">requires-java</w:t>
      </w:r>
      <w:r>
        <w:t xml:space="preserve"> (default 17, validated at materialisation) and </w:t>
      </w:r>
      <w:r>
        <w:rPr>
          <w:rFonts w:ascii="Courier New" w:hAnsi="Courier New"/>
          <w:sz w:val="20"/>
        </w:rPr>
        <w:t xml:space="preserve">jvm-args[]</w:t>
      </w:r>
      <w:r>
        <w:t xml:space="preserve">.</w:t>
      </w:r>
    </w:p>
    <w:p>
      <w:pPr>
        <w:pStyle w:val="BasicText"/>
      </w:pPr>
      <w:r>
        <w:rPr>
          <w:b/>
        </w:rPr>
        <w:t xml:space="preserve">Frontend and output.</w:t>
      </w:r>
      <w:r>
        <w:t xml:space="preserve"> </w:t>
      </w:r>
      <w:r>
        <w:rPr>
          <w:rFonts w:ascii="Courier New" w:hAnsi="Courier New"/>
          <w:sz w:val="20"/>
        </w:rPr>
        <w:t xml:space="preserve">frontend.panel</w:t>
      </w:r>
      <w:r>
        <w:t xml:space="preserve"> is the panel entry point; omitting it makes the platform render the module's declared datasets instead. </w:t>
      </w:r>
      <w:r>
        <w:rPr>
          <w:rFonts w:ascii="Courier New" w:hAnsi="Courier New"/>
          <w:sz w:val="20"/>
        </w:rPr>
        <w:t xml:space="preserve">frontend.widgets[]</w:t>
      </w:r>
      <w:r>
        <w:t xml:space="preserve"> entries carry </w:t>
      </w:r>
      <w:r>
        <w:rPr>
          <w:rFonts w:ascii="Courier New" w:hAnsi="Courier New"/>
          <w:sz w:val="20"/>
        </w:rPr>
        <w:t xml:space="preserve">id</w:t>
      </w:r>
      <w:r>
        <w:t xml:space="preserve">, </w:t>
      </w:r>
      <w:r>
        <w:rPr>
          <w:rFonts w:ascii="Courier New" w:hAnsi="Courier New"/>
          <w:sz w:val="20"/>
        </w:rPr>
        <w:t xml:space="preserve">entry</w:t>
      </w:r>
      <w:r>
        <w:t xml:space="preserve">, </w:t>
      </w:r>
      <w:r>
        <w:rPr>
          <w:rFonts w:ascii="Courier New" w:hAnsi="Courier New"/>
          <w:sz w:val="20"/>
        </w:rPr>
        <w:t xml:space="preserve">title</w:t>
      </w:r>
      <w:r>
        <w:t xml:space="preserve">, </w:t>
      </w:r>
      <w:r>
        <w:rPr>
          <w:rFonts w:ascii="Courier New" w:hAnsi="Courier New"/>
          <w:sz w:val="20"/>
        </w:rPr>
        <w:t xml:space="preserve">description</w:t>
      </w:r>
      <w:r>
        <w:t xml:space="preserve">, </w:t>
      </w:r>
      <w:r>
        <w:rPr>
          <w:rFonts w:ascii="Courier New" w:hAnsi="Courier New"/>
          <w:sz w:val="20"/>
        </w:rPr>
        <w:t xml:space="preserve">icon</w:t>
      </w:r>
      <w:r>
        <w:t xml:space="preserve">, default and minimum grid size, minimum pixel size measured in the browser, a </w:t>
      </w:r>
      <w:r>
        <w:rPr>
          <w:rFonts w:ascii="Courier New" w:hAnsi="Courier New"/>
          <w:sz w:val="20"/>
        </w:rPr>
        <w:t xml:space="preserve">help</w:t>
      </w:r>
      <w:r>
        <w:t xml:space="preserve"> block with a required </w:t>
      </w:r>
      <w:r>
        <w:rPr>
          <w:rFonts w:ascii="Courier New" w:hAnsi="Courier New"/>
          <w:sz w:val="20"/>
        </w:rPr>
        <w:t xml:space="preserve">what</w:t>
      </w:r>
      <w:r>
        <w:t xml:space="preserve">, optional </w:t>
      </w:r>
      <w:r>
        <w:rPr>
          <w:rFonts w:ascii="Courier New" w:hAnsi="Courier New"/>
          <w:sz w:val="20"/>
        </w:rPr>
        <w:t xml:space="preserve">views</w:t>
      </w:r>
      <w:r>
        <w:t xml:space="preserve"> and </w:t>
      </w:r>
      <w:r>
        <w:rPr>
          <w:rFonts w:ascii="Courier New" w:hAnsi="Courier New"/>
          <w:sz w:val="20"/>
        </w:rPr>
        <w:t xml:space="preserve">kpis</w:t>
      </w:r>
      <w:r>
        <w:t xml:space="preserve"> so a dashboard placement can show a subset, an optional </w:t>
      </w:r>
      <w:r>
        <w:rPr>
          <w:rFonts w:ascii="Courier New" w:hAnsi="Courier New"/>
          <w:sz w:val="20"/>
        </w:rPr>
        <w:t xml:space="preserve">drill</w:t>
      </w:r>
      <w:r>
        <w:t xml:space="preserve"> declaration, an optional settings entry, and the log models supported. </w:t>
      </w:r>
      <w:r>
        <w:rPr>
          <w:rFonts w:ascii="Courier New" w:hAnsi="Courier New"/>
          <w:sz w:val="20"/>
        </w:rPr>
        <w:t xml:space="preserve">datasets[]</w:t>
      </w:r>
      <w:r>
        <w:t xml:space="preserve"> declares typed outputs the platform renders generically.</w:t>
      </w:r>
    </w:p>
    <w:p>
      <w:pPr>
        <w:pStyle w:val="BasicText"/>
      </w:pPr>
      <w:r>
        <w:rPr>
          <w:b/>
        </w:rPr>
        <w:t xml:space="preserve">Behaviour flags.</w:t>
      </w:r>
      <w:r>
        <w:t xml:space="preserve"> </w:t>
      </w:r>
      <w:r>
        <w:rPr>
          <w:rFonts w:ascii="Courier New" w:hAnsi="Courier New"/>
          <w:sz w:val="20"/>
        </w:rPr>
        <w:t xml:space="preserve">config_schema</w:t>
      </w:r>
      <w:r>
        <w:t xml:space="preserve"> is JSON Schema rendered as a settings form and validated on save. </w:t>
      </w:r>
      <w:r>
        <w:rPr>
          <w:rFonts w:ascii="Courier New" w:hAnsi="Courier New"/>
          <w:sz w:val="20"/>
        </w:rPr>
        <w:t xml:space="preserve">default_enabled</w:t>
      </w:r>
      <w:r>
        <w:t xml:space="preserve"> decides whether the module is seeded into a new user's set. </w:t>
      </w:r>
      <w:r>
        <w:rPr>
          <w:rFonts w:ascii="Courier New" w:hAnsi="Courier New"/>
          <w:sz w:val="20"/>
        </w:rPr>
        <w:t xml:space="preserve">is_confidential_safe</w:t>
      </w:r>
      <w:r>
        <w:t xml:space="preserve"> set false means the module transmits data off the host; it is an </w:t>
      </w:r>
      <w:r>
        <w:rPr>
          <w:b/>
        </w:rPr>
        <w:t xml:space="preserve">author declaration, not an enforcement</w:t>
      </w:r>
      <w:r>
        <w:t xml:space="preserve">.</w:t>
      </w:r>
    </w:p>
    <w:p>
      <w:pPr>
        <w:pStyle w:val="Heading9"/>
      </w:pPr>
      <w:r>
        <w:t xml:space="preserve">Decorators and job parameters</w:t>
      </w:r>
    </w:p>
    <w:p>
      <w:pPr>
        <w:pStyle w:val="BasicText"/>
      </w:pPr>
      <w:r>
        <w:rPr>
          <w:rFonts w:ascii="Courier New" w:hAnsi="Courier New"/>
          <w:sz w:val="20"/>
        </w:rPr>
        <w:t xml:space="preserve">@route.get|post|put|patch|delete(path)</w:t>
      </w:r>
      <w:r>
        <w:t xml:space="preserve"> mounts under </w:t>
      </w:r>
      <w:r>
        <w:rPr>
          <w:rFonts w:ascii="Courier New" w:hAnsi="Courier New"/>
          <w:sz w:val="20"/>
        </w:rPr>
        <w:t xml:space="preserve">/api/v1/modules/{id}/</w:t>
      </w:r>
      <w:r>
        <w:t xml:space="preserve">. </w:t>
      </w:r>
      <w:r>
        <w:rPr>
          <w:rFonts w:ascii="Courier New" w:hAnsi="Courier New"/>
          <w:sz w:val="20"/>
        </w:rPr>
        <w:t xml:space="preserve">@on_event(topic)</w:t>
      </w:r>
      <w:r>
        <w:t xml:space="preserve"> subscribes to an exact topic; there are no subscriber-side wildcards. </w:t>
      </w:r>
      <w:r>
        <w:rPr>
          <w:rFonts w:ascii="Courier New" w:hAnsi="Courier New"/>
          <w:sz w:val="20"/>
        </w:rPr>
        <w:t xml:space="preserve">@job(...)</w:t>
      </w:r>
      <w:r>
        <w:t xml:space="preserve"> stacks on either.</w:t>
      </w:r>
    </w:p>
    <w:p>
      <w:pPr>
        <w:pStyle w:val="Caption"/>
      </w:pPr>
      <w:r>
        <w:t xml:space="preserve">Tab. </w:t>
      </w:r>
      <w:fldSimple w:instr=" SEQ Tab. \* ARABIC ">
        <w:r>
          <w:t>1</w:t>
        </w:r>
      </w:fldSimple>
      <w:r>
        <w:t xml:space="preserve">: </w:t>
      </w:r>
      <w:r>
        <w:t xml:space="preserve">Job decorator parameters.</w:t>
      </w:r>
    </w:p>
    <w:tbl>
      <w:tblPr>
        <w:tblStyle w:val="TableGrid"/>
        <w:tblW w:w="8500" w:type="dxa"/>
        <w:tblLayout w:type="fixed"/>
        <w:tblLook w:val="04A0" w:firstRow="1" w:lastRow="0" w:firstColumn="1" w:lastColumn="0" w:noHBand="0" w:noVBand="1"/>
      </w:tblPr>
      <w:tblGrid>
        <w:gridCol w:w="1446"/>
        <w:gridCol w:w="1929"/>
        <w:gridCol w:w="5125"/>
      </w:tblGrid>
      <w:tr>
        <w:trPr>
          <w:tblHeader/>
        </w:trPr>
        <w:tc>
          <w:tcPr>
            <w:tcW w:w="1446" w:type="dxa"/>
            <w:shd w:val="clear" w:color="auto" w:fill="F2F2F2"/>
          </w:tcPr>
          <w:p>
            <w:pPr>
              <w:pStyle w:val="BasicTextTable"/>
            </w:pPr>
            <w:r>
              <w:rPr>
                <w:b/>
              </w:rPr>
              <w:t xml:space="preserve">Parameter</w:t>
            </w:r>
          </w:p>
        </w:tc>
        <w:tc>
          <w:tcPr>
            <w:tcW w:w="1929" w:type="dxa"/>
            <w:shd w:val="clear" w:color="auto" w:fill="F2F2F2"/>
          </w:tcPr>
          <w:p>
            <w:pPr>
              <w:pStyle w:val="BasicTextTable"/>
            </w:pPr>
            <w:r>
              <w:rPr>
                <w:b/>
              </w:rPr>
              <w:t xml:space="preserve">Default</w:t>
            </w:r>
          </w:p>
        </w:tc>
        <w:tc>
          <w:tcPr>
            <w:tcW w:w="5125" w:type="dxa"/>
            <w:shd w:val="clear" w:color="auto" w:fill="F2F2F2"/>
          </w:tcPr>
          <w:p>
            <w:pPr>
              <w:pStyle w:val="BasicTextTable"/>
            </w:pPr>
            <w:r>
              <w:rPr>
                <w:b/>
              </w:rPr>
              <w:t xml:space="preserve">Effect</w:t>
            </w:r>
          </w:p>
        </w:tc>
      </w:tr>
      <w:tr>
        <w:tc>
          <w:tcPr>
            <w:tcW w:w="1446" w:type="dxa"/>
          </w:tcPr>
          <w:p>
            <w:pPr>
              <w:pStyle w:val="BasicTextTable"/>
            </w:pPr>
            <w:r>
              <w:rPr>
                <w:rFonts w:ascii="Courier New" w:hAnsi="Courier New"/>
                <w:sz w:val="20"/>
              </w:rPr>
              <w:t xml:space="preserve">progress</w:t>
            </w:r>
          </w:p>
        </w:tc>
        <w:tc>
          <w:tcPr>
            <w:tcW w:w="1929" w:type="dxa"/>
          </w:tcPr>
          <w:p>
            <w:pPr>
              <w:pStyle w:val="BasicTextTable"/>
            </w:pPr>
            <w:r>
              <w:rPr>
                <w:rFonts w:ascii="Courier New" w:hAnsi="Courier New"/>
                <w:sz w:val="20"/>
              </w:rPr>
              <w:t xml:space="preserve">False</w:t>
            </w:r>
          </w:p>
        </w:tc>
        <w:tc>
          <w:tcPr>
            <w:tcW w:w="5125" w:type="dxa"/>
          </w:tcPr>
          <w:p>
            <w:pPr>
              <w:pStyle w:val="BasicTextTable"/>
            </w:pPr>
            <w:r>
              <w:t xml:space="preserve">Enables </w:t>
            </w:r>
            <w:r>
              <w:rPr>
                <w:rFonts w:ascii="Courier New" w:hAnsi="Courier New"/>
                <w:sz w:val="20"/>
              </w:rPr>
              <w:t xml:space="preserve">ctx.progress.update(...)</w:t>
            </w:r>
            <w:r>
              <w:t xml:space="preserve"> streaming</w:t>
            </w:r>
          </w:p>
        </w:tc>
      </w:tr>
      <w:tr>
        <w:tc>
          <w:tcPr>
            <w:tcW w:w="1446" w:type="dxa"/>
          </w:tcPr>
          <w:p>
            <w:pPr>
              <w:pStyle w:val="BasicTextTable"/>
            </w:pPr>
            <w:r>
              <w:rPr>
                <w:rFonts w:ascii="Courier New" w:hAnsi="Courier New"/>
                <w:sz w:val="20"/>
              </w:rPr>
              <w:t xml:space="preserve">title</w:t>
            </w:r>
          </w:p>
        </w:tc>
        <w:tc>
          <w:tcPr>
            <w:tcW w:w="1929" w:type="dxa"/>
          </w:tcPr>
          <w:p>
            <w:pPr>
              <w:pStyle w:val="BasicTextTable"/>
            </w:pPr>
            <w:r>
              <w:t xml:space="preserve">from handler name</w:t>
            </w:r>
          </w:p>
        </w:tc>
        <w:tc>
          <w:tcPr>
            <w:tcW w:w="5125" w:type="dxa"/>
          </w:tcPr>
          <w:p>
            <w:pPr>
              <w:pStyle w:val="BasicTextTable"/>
            </w:pPr>
            <w:r>
              <w:t xml:space="preserve">Toast and drawer headline; may be a callable, which falls back to a static label under subprocess isolation</w:t>
            </w:r>
          </w:p>
        </w:tc>
      </w:tr>
      <w:tr>
        <w:tc>
          <w:tcPr>
            <w:tcW w:w="1446" w:type="dxa"/>
          </w:tcPr>
          <w:p>
            <w:pPr>
              <w:pStyle w:val="BasicTextTable"/>
            </w:pPr>
            <w:r>
              <w:rPr>
                <w:rFonts w:ascii="Courier New" w:hAnsi="Courier New"/>
                <w:sz w:val="20"/>
              </w:rPr>
              <w:t xml:space="preserve">subtitle</w:t>
            </w:r>
          </w:p>
        </w:tc>
        <w:tc>
          <w:tcPr>
            <w:tcW w:w="1929" w:type="dxa"/>
          </w:tcPr>
          <w:p>
            <w:pPr>
              <w:pStyle w:val="BasicTextTable"/>
            </w:pPr>
            <w:r>
              <w:t xml:space="preserve">from module and route</w:t>
            </w:r>
          </w:p>
        </w:tc>
        <w:tc>
          <w:tcPr>
            <w:tcW w:w="5125" w:type="dxa"/>
          </w:tcPr>
          <w:p>
            <w:pPr>
              <w:pStyle w:val="BasicTextTable"/>
            </w:pPr>
            <w:r>
              <w:t xml:space="preserve">Drawer subtitle; same callable form</w:t>
            </w:r>
          </w:p>
        </w:tc>
      </w:tr>
      <w:tr>
        <w:tc>
          <w:tcPr>
            <w:tcW w:w="1446" w:type="dxa"/>
          </w:tcPr>
          <w:p>
            <w:pPr>
              <w:pStyle w:val="BasicTextTable"/>
            </w:pPr>
            <w:r>
              <w:rPr>
                <w:rFonts w:ascii="Courier New" w:hAnsi="Courier New"/>
                <w:sz w:val="20"/>
              </w:rPr>
              <w:t xml:space="preserve">priority</w:t>
            </w:r>
          </w:p>
        </w:tc>
        <w:tc>
          <w:tcPr>
            <w:tcW w:w="1929" w:type="dxa"/>
          </w:tcPr>
          <w:p>
            <w:pPr>
              <w:pStyle w:val="BasicTextTable"/>
            </w:pPr>
            <w:r>
              <w:rPr>
                <w:rFonts w:ascii="Courier New" w:hAnsi="Courier New"/>
                <w:sz w:val="20"/>
              </w:rPr>
              <w:t xml:space="preserve">0</w:t>
            </w:r>
          </w:p>
        </w:tc>
        <w:tc>
          <w:tcPr>
            <w:tcW w:w="5125" w:type="dxa"/>
          </w:tcPr>
          <w:p>
            <w:pPr>
              <w:pStyle w:val="BasicTextTable"/>
            </w:pPr>
            <w:r>
              <w:t xml:space="preserve">Higher is scheduled sooner</w:t>
            </w:r>
          </w:p>
        </w:tc>
      </w:tr>
      <w:tr>
        <w:tc>
          <w:tcPr>
            <w:tcW w:w="1446" w:type="dxa"/>
          </w:tcPr>
          <w:p>
            <w:pPr>
              <w:pStyle w:val="BasicTextTable"/>
            </w:pPr>
            <w:r>
              <w:rPr>
                <w:rFonts w:ascii="Courier New" w:hAnsi="Courier New"/>
                <w:sz w:val="20"/>
              </w:rPr>
              <w:t xml:space="preserve">cancellable</w:t>
            </w:r>
          </w:p>
        </w:tc>
        <w:tc>
          <w:tcPr>
            <w:tcW w:w="1929" w:type="dxa"/>
          </w:tcPr>
          <w:p>
            <w:pPr>
              <w:pStyle w:val="BasicTextTable"/>
            </w:pPr>
            <w:r>
              <w:rPr>
                <w:rFonts w:ascii="Courier New" w:hAnsi="Courier New"/>
                <w:sz w:val="20"/>
              </w:rPr>
              <w:t xml:space="preserve">True</w:t>
            </w:r>
          </w:p>
        </w:tc>
        <w:tc>
          <w:tcPr>
            <w:tcW w:w="5125" w:type="dxa"/>
          </w:tcPr>
          <w:p>
            <w:pPr>
              <w:pStyle w:val="BasicTextTable"/>
            </w:pPr>
            <w:r>
              <w:t xml:space="preserve">Whether the cancel action is enabled</w:t>
            </w:r>
          </w:p>
        </w:tc>
      </w:tr>
      <w:tr>
        <w:tc>
          <w:tcPr>
            <w:tcW w:w="1446" w:type="dxa"/>
          </w:tcPr>
          <w:p>
            <w:pPr>
              <w:pStyle w:val="BasicTextTable"/>
            </w:pPr>
            <w:r>
              <w:rPr>
                <w:rFonts w:ascii="Courier New" w:hAnsi="Courier New"/>
                <w:sz w:val="20"/>
              </w:rPr>
              <w:t xml:space="preserve">result_url</w:t>
            </w:r>
          </w:p>
        </w:tc>
        <w:tc>
          <w:tcPr>
            <w:tcW w:w="1929" w:type="dxa"/>
          </w:tcPr>
          <w:p>
            <w:pPr>
              <w:pStyle w:val="BasicTextTable"/>
            </w:pPr>
            <w:r>
              <w:t xml:space="preserve">none</w:t>
            </w:r>
          </w:p>
        </w:tc>
        <w:tc>
          <w:tcPr>
            <w:tcW w:w="5125" w:type="dxa"/>
          </w:tcPr>
          <w:p>
            <w:pPr>
              <w:pStyle w:val="BasicTextTable"/>
            </w:pPr>
            <w:r>
              <w:t xml:space="preserve">URL template for the toast's open action</w:t>
            </w:r>
          </w:p>
        </w:tc>
      </w:tr>
    </w:tbl>
    <w:p>
      <w:pPr>
        <w:pStyle w:val="BasicText"/>
      </w:pPr>
    </w:p>
    <w:p>
      <w:pPr>
        <w:pStyle w:val="Heading9"/>
      </w:pPr>
      <w:r>
        <w:t xml:space="preserve">Context protocols</w:t>
      </w:r>
    </w:p>
    <w:p>
      <w:pPr>
        <w:pStyle w:val="BasicText"/>
      </w:pPr>
      <w:r>
        <w:t xml:space="preserve">Every field is a typed Protocol: depend on the Protocol, not the implementation.</w:t>
      </w:r>
    </w:p>
    <w:p>
      <w:pPr>
        <w:pStyle w:val="BasicText"/>
      </w:pPr>
      <w:r>
        <w:rPr>
          <w:rFonts w:ascii="Courier New" w:hAnsi="Courier New"/>
          <w:sz w:val="20"/>
        </w:rPr>
        <w:t xml:space="preserve">log_id</w:t>
      </w:r>
      <w:r>
        <w:t xml:space="preserve">, </w:t>
      </w:r>
      <w:r>
        <w:rPr>
          <w:rFonts w:ascii="Courier New" w:hAnsi="Courier New"/>
          <w:sz w:val="20"/>
        </w:rPr>
        <w:t xml:space="preserve">module_id</w:t>
      </w:r>
      <w:r>
        <w:t xml:space="preserve"> identify the invocation; </w:t>
      </w:r>
      <w:r>
        <w:rPr>
          <w:rFonts w:ascii="Courier New" w:hAnsi="Courier New"/>
          <w:sz w:val="20"/>
        </w:rPr>
        <w:t xml:space="preserve">log_id</w:t>
      </w:r>
      <w:r>
        <w:t xml:space="preserve"> is empty for global routes. </w:t>
      </w:r>
      <w:r>
        <w:rPr>
          <w:rFonts w:ascii="Courier New" w:hAnsi="Courier New"/>
          <w:sz w:val="20"/>
        </w:rPr>
        <w:t xml:space="preserve">event_log</w:t>
      </w:r>
      <w:r>
        <w:t xml:space="preserve"> is an async context manager offering </w:t>
      </w:r>
      <w:r>
        <w:rPr>
          <w:rFonts w:ascii="Courier New" w:hAnsi="Courier New"/>
          <w:sz w:val="20"/>
        </w:rPr>
        <w:t xml:space="preserve">duckdb_fetch(sql)</w:t>
      </w:r>
      <w:r>
        <w:t xml:space="preserve">, </w:t>
      </w:r>
      <w:r>
        <w:rPr>
          <w:rFonts w:ascii="Courier New" w:hAnsi="Courier New"/>
          <w:sz w:val="20"/>
        </w:rPr>
        <w:t xml:space="preserve">pandas()</w:t>
      </w:r>
      <w:r>
        <w:t xml:space="preserve">, </w:t>
      </w:r>
      <w:r>
        <w:rPr>
          <w:rFonts w:ascii="Courier New" w:hAnsi="Courier New"/>
          <w:sz w:val="20"/>
        </w:rPr>
        <w:t xml:space="preserve">polars()</w:t>
      </w:r>
      <w:r>
        <w:t xml:space="preserve"> and </w:t>
      </w:r>
      <w:r>
        <w:rPr>
          <w:rFonts w:ascii="Courier New" w:hAnsi="Courier New"/>
          <w:sz w:val="20"/>
        </w:rPr>
        <w:t xml:space="preserve">pm4py()</w:t>
      </w:r>
      <w:r>
        <w:t xml:space="preserve">; aggregate in DuckDB and materialise a DataFrame only when required. </w:t>
      </w:r>
      <w:r>
        <w:rPr>
          <w:rFonts w:ascii="Courier New" w:hAnsi="Courier New"/>
          <w:sz w:val="20"/>
        </w:rPr>
        <w:t xml:space="preserve">open_event_log(log_id, filters)</w:t>
      </w:r>
      <w:r>
        <w:t xml:space="preserve"> is the only sanctioned second-log accessor, enforcing ownership and reporting a foreign log as not found; it is not proxied under subprocess isolation. </w:t>
      </w:r>
      <w:r>
        <w:rPr>
          <w:rFonts w:ascii="Courier New" w:hAnsi="Courier New"/>
          <w:sz w:val="20"/>
        </w:rPr>
        <w:t xml:space="preserve">cache</w:t>
      </w:r>
      <w:r>
        <w:t xml:space="preserve"> offers </w:t>
      </w:r>
      <w:r>
        <w:rPr>
          <w:rFonts w:ascii="Courier New" w:hAnsi="Courier New"/>
          <w:sz w:val="20"/>
        </w:rPr>
        <w:t xml:space="preserve">get</w:t>
      </w:r>
      <w:r>
        <w:t xml:space="preserve">, </w:t>
      </w:r>
      <w:r>
        <w:rPr>
          <w:rFonts w:ascii="Courier New" w:hAnsi="Courier New"/>
          <w:sz w:val="20"/>
        </w:rPr>
        <w:t xml:space="preserve">set</w:t>
      </w:r>
      <w:r>
        <w:t xml:space="preserve"> and </w:t>
      </w:r>
      <w:r>
        <w:rPr>
          <w:rFonts w:ascii="Courier New" w:hAnsi="Courier New"/>
          <w:sz w:val="20"/>
        </w:rPr>
        <w:t xml:space="preserve">exists</w:t>
      </w:r>
      <w:r>
        <w:t xml:space="preserve"> scoped to </w:t>
      </w:r>
      <w:r>
        <w:rPr>
          <w:rFonts w:ascii="Courier New" w:hAnsi="Courier New"/>
          <w:sz w:val="20"/>
        </w:rPr>
        <w:t xml:space="preserve">(log_id, module_id)</w:t>
      </w:r>
      <w:r>
        <w:t xml:space="preserve">, invalidated on re-import or config change, and is the only sanctioned result store. </w:t>
      </w:r>
      <w:r>
        <w:rPr>
          <w:rFonts w:ascii="Courier New" w:hAnsi="Courier New"/>
          <w:sz w:val="20"/>
        </w:rPr>
        <w:t xml:space="preserve">config</w:t>
      </w:r>
      <w:r>
        <w:t xml:space="preserve"> offers </w:t>
      </w:r>
      <w:r>
        <w:rPr>
          <w:rFonts w:ascii="Courier New" w:hAnsi="Courier New"/>
          <w:sz w:val="20"/>
        </w:rPr>
        <w:t xml:space="preserve">value</w:t>
      </w:r>
      <w:r>
        <w:t xml:space="preserve"> and </w:t>
      </w:r>
      <w:r>
        <w:rPr>
          <w:rFonts w:ascii="Courier New" w:hAnsi="Courier New"/>
          <w:sz w:val="20"/>
        </w:rPr>
        <w:t xml:space="preserve">get(key, default)</w:t>
      </w:r>
      <w:r>
        <w:t xml:space="preserve">. </w:t>
      </w:r>
      <w:r>
        <w:rPr>
          <w:rFonts w:ascii="Courier New" w:hAnsi="Courier New"/>
          <w:sz w:val="20"/>
        </w:rPr>
        <w:t xml:space="preserve">progress</w:t>
      </w:r>
      <w:r>
        <w:t xml:space="preserve"> offers </w:t>
      </w:r>
      <w:r>
        <w:rPr>
          <w:rFonts w:ascii="Courier New" w:hAnsi="Courier New"/>
          <w:sz w:val="20"/>
        </w:rPr>
        <w:t xml:space="preserve">update</w:t>
      </w:r>
      <w:r>
        <w:t xml:space="preserve"> in the three accepted forms. </w:t>
      </w:r>
      <w:r>
        <w:rPr>
          <w:rFonts w:ascii="Courier New" w:hAnsi="Courier New"/>
          <w:sz w:val="20"/>
        </w:rPr>
        <w:t xml:space="preserve">bus</w:t>
      </w:r>
      <w:r>
        <w:t xml:space="preserve"> offers </w:t>
      </w:r>
      <w:r>
        <w:rPr>
          <w:rFonts w:ascii="Courier New" w:hAnsi="Courier New"/>
          <w:sz w:val="20"/>
        </w:rPr>
        <w:t xml:space="preserve">emit(topic, payload)</w:t>
      </w:r>
      <w:r>
        <w:t xml:space="preserve"> and subscription. </w:t>
      </w:r>
      <w:r>
        <w:rPr>
          <w:rFonts w:ascii="Courier New" w:hAnsi="Courier New"/>
          <w:sz w:val="20"/>
        </w:rPr>
        <w:t xml:space="preserve">registry</w:t>
      </w:r>
      <w:r>
        <w:t xml:space="preserve"> offers </w:t>
      </w:r>
      <w:r>
        <w:rPr>
          <w:rFonts w:ascii="Courier New" w:hAnsi="Courier New"/>
          <w:sz w:val="20"/>
        </w:rPr>
        <w:t xml:space="preserve">has(capability)</w:t>
      </w:r>
      <w:r>
        <w:t xml:space="preserve"> and </w:t>
      </w:r>
      <w:r>
        <w:rPr>
          <w:rFonts w:ascii="Courier New" w:hAnsi="Courier New"/>
          <w:sz w:val="20"/>
        </w:rPr>
        <w:t xml:space="preserve">await call(capability, **kwargs)</w:t>
      </w:r>
      <w:r>
        <w:t xml:space="preserve">, user-scoped. </w:t>
      </w:r>
      <w:r>
        <w:rPr>
          <w:rFonts w:ascii="Courier New" w:hAnsi="Courier New"/>
          <w:sz w:val="20"/>
        </w:rPr>
        <w:t xml:space="preserve">logger</w:t>
      </w:r>
      <w:r>
        <w:t xml:space="preserve"> is pre-bound with both identifiers and also feeds the module log tail; </w:t>
      </w:r>
      <w:r>
        <w:rPr>
          <w:rFonts w:ascii="Courier New" w:hAnsi="Courier New"/>
          <w:sz w:val="20"/>
        </w:rPr>
        <w:t xml:space="preserve">print()</w:t>
      </w:r>
      <w:r>
        <w:t xml:space="preserve"> is dropped. </w:t>
      </w:r>
      <w:r>
        <w:rPr>
          <w:rFonts w:ascii="Courier New" w:hAnsi="Courier New"/>
          <w:sz w:val="20"/>
        </w:rPr>
        <w:t xml:space="preserve">workdir</w:t>
      </w:r>
      <w:r>
        <w:t xml:space="preserve"> is a per-invocation scratch directory removed automatically. </w:t>
      </w:r>
      <w:r>
        <w:rPr>
          <w:rFonts w:ascii="Courier New" w:hAnsi="Courier New"/>
          <w:sz w:val="20"/>
        </w:rPr>
        <w:t xml:space="preserve">run_in_process(fn, *args)</w:t>
      </w:r>
      <w:r>
        <w:t xml:space="preserve"> offloads CPU-bound work to the process pool under standard pickling rules.</w:t>
      </w:r>
    </w:p>
    <w:p>
      <w:pPr>
        <w:pStyle w:val="Heading9"/>
      </w:pPr>
      <w:r>
        <w:t xml:space="preserve">Reserved event names</w:t>
      </w:r>
    </w:p>
    <w:p>
      <w:pPr>
        <w:pStyle w:val="BasicText"/>
      </w:pPr>
      <w:r>
        <w:rPr>
          <w:rFonts w:ascii="Courier New" w:hAnsi="Courier New"/>
          <w:sz w:val="20"/>
        </w:rPr>
        <w:t xml:space="preserve">log.imported</w:t>
      </w:r>
      <w:r>
        <w:t xml:space="preserve"> and </w:t>
      </w:r>
      <w:r>
        <w:rPr>
          <w:rFonts w:ascii="Courier New" w:hAnsi="Courier New"/>
          <w:sz w:val="20"/>
        </w:rPr>
        <w:t xml:space="preserve">ocel.imported</w:t>
      </w:r>
      <w:r>
        <w:t xml:space="preserve"> fire after a successful import and are the entry points to the precompute closure. </w:t>
      </w:r>
      <w:r>
        <w:rPr>
          <w:rFonts w:ascii="Courier New" w:hAnsi="Courier New"/>
          <w:sz w:val="20"/>
        </w:rPr>
        <w:t xml:space="preserve">log.deleted</w:t>
      </w:r>
      <w:r>
        <w:t xml:space="preserve"> fires on deletion. </w:t>
      </w:r>
      <w:r>
        <w:rPr>
          <w:rFonts w:ascii="Courier New" w:hAnsi="Courier New"/>
          <w:sz w:val="20"/>
        </w:rPr>
        <w:t xml:space="preserve">job.queued</w:t>
      </w:r>
      <w:r>
        <w:t xml:space="preserve">, </w:t>
      </w:r>
      <w:r>
        <w:rPr>
          <w:rFonts w:ascii="Courier New" w:hAnsi="Courier New"/>
          <w:sz w:val="20"/>
        </w:rPr>
        <w:t xml:space="preserve">job.started</w:t>
      </w:r>
      <w:r>
        <w:t xml:space="preserve">, </w:t>
      </w:r>
      <w:r>
        <w:rPr>
          <w:rFonts w:ascii="Courier New" w:hAnsi="Courier New"/>
          <w:sz w:val="20"/>
        </w:rPr>
        <w:t xml:space="preserve">job.progress</w:t>
      </w:r>
      <w:r>
        <w:t xml:space="preserve">, </w:t>
      </w:r>
      <w:r>
        <w:rPr>
          <w:rFonts w:ascii="Courier New" w:hAnsi="Courier New"/>
          <w:sz w:val="20"/>
        </w:rPr>
        <w:t xml:space="preserve">job.completed</w:t>
      </w:r>
      <w:r>
        <w:t xml:space="preserve">, </w:t>
      </w:r>
      <w:r>
        <w:rPr>
          <w:rFonts w:ascii="Courier New" w:hAnsi="Courier New"/>
          <w:sz w:val="20"/>
        </w:rPr>
        <w:t xml:space="preserve">job.failed</w:t>
      </w:r>
      <w:r>
        <w:t xml:space="preserve">, </w:t>
      </w:r>
      <w:r>
        <w:rPr>
          <w:rFonts w:ascii="Courier New" w:hAnsi="Courier New"/>
          <w:sz w:val="20"/>
        </w:rPr>
        <w:t xml:space="preserve">job.cancelled</w:t>
      </w:r>
      <w:r>
        <w:t xml:space="preserve">, </w:t>
      </w:r>
      <w:r>
        <w:rPr>
          <w:rFonts w:ascii="Courier New" w:hAnsi="Courier New"/>
          <w:sz w:val="20"/>
        </w:rPr>
        <w:t xml:space="preserve">job.plan</w:t>
      </w:r>
      <w:r>
        <w:t xml:space="preserve">, </w:t>
      </w:r>
      <w:r>
        <w:rPr>
          <w:rFonts w:ascii="Courier New" w:hAnsi="Courier New"/>
          <w:sz w:val="20"/>
        </w:rPr>
        <w:t xml:space="preserve">job.queue.paused</w:t>
      </w:r>
      <w:r>
        <w:t xml:space="preserve"> and </w:t>
      </w:r>
      <w:r>
        <w:rPr>
          <w:rFonts w:ascii="Courier New" w:hAnsi="Courier New"/>
          <w:sz w:val="20"/>
        </w:rPr>
        <w:t xml:space="preserve">job.queue.resumed</w:t>
      </w:r>
      <w:r>
        <w:t xml:space="preserve"> carry the job lifecycle. </w:t>
      </w:r>
      <w:r>
        <w:rPr>
          <w:rFonts w:ascii="Courier New" w:hAnsi="Courier New"/>
          <w:sz w:val="20"/>
        </w:rPr>
        <w:t xml:space="preserve">&lt;module_id&gt;.completed</w:t>
      </w:r>
      <w:r>
        <w:t xml:space="preserve"> is emitted by the platform when that module's precompute job succeeds and is the mechanism for ordering. </w:t>
      </w:r>
      <w:r>
        <w:rPr>
          <w:rFonts w:ascii="Courier New" w:hAnsi="Courier New"/>
          <w:sz w:val="20"/>
        </w:rPr>
        <w:t xml:space="preserve">module.log.&lt;level&gt;</w:t>
      </w:r>
      <w:r>
        <w:t xml:space="preserve"> carries module log lines. Module topics must be namespaced by module id.</w:t>
      </w:r>
    </w:p>
    <w:p>
      <w:pPr>
        <w:pStyle w:val="Heading9"/>
      </w:pPr>
      <w:r>
        <w:t xml:space="preserve">Panel import allow-list</w:t>
      </w:r>
    </w:p>
    <w:p>
      <w:pPr>
        <w:pStyle w:val="BasicText"/>
      </w:pPr>
      <w:r>
        <w:t xml:space="preserve">A panel may import from </w:t>
      </w:r>
      <w:r>
        <w:rPr>
          <w:rFonts w:ascii="Courier New" w:hAnsi="Courier New"/>
          <w:sz w:val="20"/>
        </w:rPr>
        <w:t xml:space="preserve">@mate/module-sdk-ts</w:t>
      </w:r>
      <w:r>
        <w:t xml:space="preserve"> and from the host paths on the allow-list: the HTTP helpers, the live-stream subscribers, formatting utilities, the shared widget kit, the canvas shell and control cluster, the drill-down helpers, the settings-scope helpers and the visualisation-settings store. Anything else under the platform source tree is rejected. The list lives in one file read by both the bundler and the runtime installer, with a parity test asserting they never diverge. </w:t>
      </w:r>
      <w:r>
        <w:rPr>
          <w:b/>
        </w:rPr>
        <w:t xml:space="preserve">Violation is a build failure, not a runtime error.</w:t>
      </w:r>
    </w:p>
    <w:p>
      <w:pPr>
        <w:pStyle w:val="Heading9"/>
      </w:pPr>
      <w:r>
        <w:t xml:space="preserve">Authoring checklist</w:t>
      </w:r>
    </w:p>
    <w:p>
      <w:pPr>
        <w:pStyle w:val="BasicText"/>
      </w:pPr>
      <w:r>
        <w:t xml:space="preserve">Manifest validates and </w:t>
      </w:r>
      <w:r>
        <w:rPr>
          <w:rFonts w:ascii="Courier New" w:hAnsi="Courier New"/>
          <w:sz w:val="20"/>
        </w:rPr>
        <w:t xml:space="preserve">id</w:t>
      </w:r>
      <w:r>
        <w:t xml:space="preserve"> matches between manifest and class, with </w:t>
      </w:r>
      <w:r>
        <w:rPr>
          <w:rFonts w:ascii="Courier New" w:hAnsi="Courier New"/>
          <w:sz w:val="20"/>
        </w:rPr>
        <w:t xml:space="preserve">log_model</w:t>
      </w:r>
      <w:r>
        <w:t xml:space="preserve"> set. Every emitted topic appears in </w:t>
      </w:r>
      <w:r>
        <w:rPr>
          <w:rFonts w:ascii="Courier New" w:hAnsi="Courier New"/>
          <w:sz w:val="20"/>
        </w:rPr>
        <w:t xml:space="preserve">provides</w:t>
      </w:r>
      <w:r>
        <w:t xml:space="preserve">, and every subscribed topic and called capability in </w:t>
      </w:r>
      <w:r>
        <w:rPr>
          <w:rFonts w:ascii="Courier New" w:hAnsi="Courier New"/>
          <w:sz w:val="20"/>
        </w:rPr>
        <w:t xml:space="preserve">consumes</w:t>
      </w:r>
      <w:r>
        <w:t xml:space="preserve"> or </w:t>
      </w:r>
      <w:r>
        <w:rPr>
          <w:rFonts w:ascii="Courier New" w:hAnsi="Courier New"/>
          <w:sz w:val="20"/>
        </w:rPr>
        <w:t xml:space="preserve">optional_modules</w:t>
      </w:r>
      <w:r>
        <w:t xml:space="preserve">. No imports from the platform application packages, only the SDKs. Long operations use </w:t>
      </w:r>
      <w:r>
        <w:rPr>
          <w:rFonts w:ascii="Courier New" w:hAnsi="Courier New"/>
          <w:sz w:val="20"/>
        </w:rPr>
        <w:t xml:space="preserve">@job</w:t>
      </w:r>
      <w:r>
        <w:t xml:space="preserve">, with progress for anything running minutes, and precompute that must run after another module subscribes to that module's </w:t>
      </w:r>
      <w:r>
        <w:rPr>
          <w:rFonts w:ascii="Courier New" w:hAnsi="Courier New"/>
          <w:sz w:val="20"/>
        </w:rPr>
        <w:t xml:space="preserve">completed</w:t>
      </w:r>
      <w:r>
        <w:t xml:space="preserve"> event with a job-backed handler, because an </w:t>
      </w:r>
      <w:r>
        <w:rPr>
          <w:rFonts w:ascii="Courier New" w:hAnsi="Courier New"/>
          <w:sz w:val="20"/>
        </w:rPr>
        <w:t xml:space="preserve">@on_event</w:t>
      </w:r>
      <w:r>
        <w:t xml:space="preserve"> without </w:t>
      </w:r>
      <w:r>
        <w:rPr>
          <w:rFonts w:ascii="Courier New" w:hAnsi="Courier New"/>
          <w:sz w:val="20"/>
        </w:rPr>
        <w:t xml:space="preserve">@job</w:t>
      </w:r>
      <w:r>
        <w:t xml:space="preserve"> gates nothing. Handlers hold no request-scoped state on the instance and do not call </w:t>
      </w:r>
      <w:r>
        <w:rPr>
          <w:rFonts w:ascii="Courier New" w:hAnsi="Courier New"/>
          <w:sz w:val="20"/>
        </w:rPr>
        <w:t xml:space="preserve">asyncio.run</w:t>
      </w:r>
      <w:r>
        <w:t xml:space="preserve">. Results go through </w:t>
      </w:r>
      <w:r>
        <w:rPr>
          <w:rFonts w:ascii="Courier New" w:hAnsi="Courier New"/>
          <w:sz w:val="20"/>
        </w:rPr>
        <w:t xml:space="preserve">ctx.cache</w:t>
      </w:r>
      <w:r>
        <w:t xml:space="preserve"> and temporary files through </w:t>
      </w:r>
      <w:r>
        <w:rPr>
          <w:rFonts w:ascii="Courier New" w:hAnsi="Courier New"/>
          <w:sz w:val="20"/>
        </w:rPr>
        <w:t xml:space="preserve">ctx.workdir</w:t>
      </w:r>
      <w:r>
        <w:t xml:space="preserve">. Every graph view uses the shared canvas shell with its controls in the settings popover, and every widget declares </w:t>
      </w:r>
      <w:r>
        <w:rPr>
          <w:rFonts w:ascii="Courier New" w:hAnsi="Courier New"/>
          <w:sz w:val="20"/>
        </w:rPr>
        <w:t xml:space="preserve">help.what</w:t>
      </w:r>
      <w:r>
        <w:t xml:space="preserve"> and minimum pixel sizes measured in the browser and reads correctly at that size. Tests pass against the platform's inherited versions, no platform-level files are modified, and generated directories are gitignored.</w:t>
      </w:r>
    </w:p>
    <w:p>
      <w:pPr>
        <w:pStyle w:val="Heading8"/>
      </w:pPr>
      <w:r>
        <w:t xml:space="preserve">Configuration and Operations Reference</w:t>
      </w:r>
    </w:p>
    <w:p>
      <w:pPr>
        <w:pStyle w:val="BasicText"/>
      </w:pPr>
      <w:r>
        <w:t xml:space="preserve">The lookup counterpart to Chapter 7. </w:t>
      </w:r>
      <w:r>
        <w:rPr>
          <w:rFonts w:ascii="Courier New" w:hAnsi="Courier New"/>
          <w:sz w:val="20"/>
        </w:rPr>
        <w:t xml:space="preserve">.env.example</w:t>
      </w:r>
      <w:r>
        <w:t xml:space="preserve"> in the repository lists every variable with an inline comment; the table below covers those whose effect is not obvious or whose default is consequential.</w:t>
      </w:r>
    </w:p>
    <w:p>
      <w:pPr>
        <w:pStyle w:val="BasicText"/>
      </w:pPr>
      <w:r>
        <w:t xml:space="preserve">Only </w:t>
      </w:r>
      <w:r>
        <w:rPr>
          <w:rFonts w:ascii="Courier New" w:hAnsi="Courier New"/>
          <w:sz w:val="20"/>
        </w:rPr>
        <w:t xml:space="preserve">NEXT_PUBLIC_API_URL</w:t>
      </w:r>
      <w:r>
        <w:t xml:space="preserve"> requires a rebuild, because it is inlined into the client bundle at build time. Every other change needs the affected service brought </w:t>
      </w:r>
      <w:r>
        <w:rPr>
          <w:b/>
        </w:rPr>
        <w:t xml:space="preserve">up</w:t>
      </w:r>
      <w:r>
        <w:t xml:space="preserve"> again rather than restarted, because a restart preserves the old environment.</w:t>
      </w:r>
    </w:p>
    <w:p>
      <w:pPr>
        <w:pStyle w:val="Caption"/>
      </w:pPr>
      <w:r>
        <w:t xml:space="preserve">Tab. </w:t>
      </w:r>
      <w:fldSimple w:instr=" SEQ Tab. \* ARABIC ">
        <w:r>
          <w:t>1</w:t>
        </w:r>
      </w:fldSimple>
      <w:r>
        <w:t xml:space="preserve">: </w:t>
      </w:r>
      <w:r>
        <w:t xml:space="preserve">The environment variables whose default or effect is consequential.</w:t>
      </w:r>
    </w:p>
    <w:tbl>
      <w:tblPr>
        <w:tblStyle w:val="TableGrid"/>
        <w:tblW w:w="8500" w:type="dxa"/>
        <w:tblLayout w:type="fixed"/>
        <w:tblLook w:val="04A0" w:firstRow="1" w:lastRow="0" w:firstColumn="1" w:lastColumn="0" w:noHBand="0" w:noVBand="1"/>
      </w:tblPr>
      <w:tblGrid>
        <w:gridCol w:w="3273"/>
        <w:gridCol w:w="5227"/>
      </w:tblGrid>
      <w:tr>
        <w:trPr>
          <w:tblHeader/>
        </w:trPr>
        <w:tc>
          <w:tcPr>
            <w:tcW w:w="3273" w:type="dxa"/>
            <w:shd w:val="clear" w:color="auto" w:fill="F2F2F2"/>
          </w:tcPr>
          <w:p>
            <w:pPr>
              <w:pStyle w:val="BasicTextTable"/>
            </w:pPr>
            <w:r>
              <w:rPr>
                <w:b/>
              </w:rPr>
              <w:t xml:space="preserve">Variable (default)</w:t>
            </w:r>
          </w:p>
        </w:tc>
        <w:tc>
          <w:tcPr>
            <w:tcW w:w="5227" w:type="dxa"/>
            <w:shd w:val="clear" w:color="auto" w:fill="F2F2F2"/>
          </w:tcPr>
          <w:p>
            <w:pPr>
              <w:pStyle w:val="BasicTextTable"/>
            </w:pPr>
            <w:r>
              <w:rPr>
                <w:b/>
              </w:rPr>
              <w:t xml:space="preserve">Effect</w:t>
            </w:r>
          </w:p>
        </w:tc>
      </w:tr>
      <w:tr>
        <w:tc>
          <w:tcPr>
            <w:tcW w:w="3273" w:type="dxa"/>
          </w:tcPr>
          <w:p>
            <w:pPr>
              <w:pStyle w:val="BasicTextTable"/>
            </w:pPr>
            <w:r>
              <w:rPr>
                <w:rFonts w:ascii="Courier New" w:hAnsi="Courier New"/>
                <w:sz w:val="20"/>
              </w:rPr>
              <w:t xml:space="preserve">NEXT_PUBLIC_API_URL</w:t>
            </w:r>
            <w:r>
              <w:t xml:space="preserve"> (</w:t>
            </w:r>
            <w:r>
              <w:rPr>
                <w:rFonts w:ascii="Courier New" w:hAnsi="Courier New"/>
                <w:sz w:val="20"/>
              </w:rPr>
              <w:t xml:space="preserve">http://localhost:8000</w:t>
            </w:r>
            <w:r>
              <w:t xml:space="preserve">)</w:t>
            </w:r>
          </w:p>
        </w:tc>
        <w:tc>
          <w:tcPr>
            <w:tcW w:w="5227" w:type="dxa"/>
          </w:tcPr>
          <w:p>
            <w:pPr>
              <w:pStyle w:val="BasicTextTable"/>
            </w:pPr>
            <w:r>
              <w:t xml:space="preserve">The URL the browser uses to reach the API. </w:t>
            </w:r>
            <w:r>
              <w:rPr>
                <w:b/>
              </w:rPr>
              <w:t xml:space="preserve">Rebuild required.</w:t>
            </w:r>
          </w:p>
        </w:tc>
      </w:tr>
      <w:tr>
        <w:tc>
          <w:tcPr>
            <w:tcW w:w="3273" w:type="dxa"/>
          </w:tcPr>
          <w:p>
            <w:pPr>
              <w:pStyle w:val="BasicTextTable"/>
            </w:pPr>
            <w:r>
              <w:rPr>
                <w:rFonts w:ascii="Courier New" w:hAnsi="Courier New"/>
                <w:sz w:val="20"/>
              </w:rPr>
              <w:t xml:space="preserve">AUTH_SECRET</w:t>
            </w:r>
            <w:r>
              <w:t xml:space="preserve"> (sample)</w:t>
            </w:r>
          </w:p>
        </w:tc>
        <w:tc>
          <w:tcPr>
            <w:tcW w:w="5227" w:type="dxa"/>
          </w:tcPr>
          <w:p>
            <w:pPr>
              <w:pStyle w:val="BasicTextTable"/>
            </w:pPr>
            <w:r>
              <w:t xml:space="preserve">Encrypts the session cookie. </w:t>
            </w:r>
            <w:r>
              <w:rPr>
                <w:b/>
              </w:rPr>
              <w:t xml:space="preserve">Rotate before any non-local deployment.</w:t>
            </w:r>
          </w:p>
        </w:tc>
      </w:tr>
      <w:tr>
        <w:tc>
          <w:tcPr>
            <w:tcW w:w="3273" w:type="dxa"/>
          </w:tcPr>
          <w:p>
            <w:pPr>
              <w:pStyle w:val="BasicTextTable"/>
            </w:pPr>
            <w:r>
              <w:rPr>
                <w:rFonts w:ascii="Courier New" w:hAnsi="Courier New"/>
                <w:sz w:val="20"/>
              </w:rPr>
              <w:t xml:space="preserve">KEYCLOAK_CLIENT_SECRET</w:t>
            </w:r>
            <w:r>
              <w:t xml:space="preserve"> (sample)</w:t>
            </w:r>
          </w:p>
        </w:tc>
        <w:tc>
          <w:tcPr>
            <w:tcW w:w="5227" w:type="dxa"/>
          </w:tcPr>
          <w:p>
            <w:pPr>
              <w:pStyle w:val="BasicTextTable"/>
            </w:pPr>
            <w:r>
              <w:rPr>
                <w:b/>
              </w:rPr>
              <w:t xml:space="preserve">Must be identical in `.env` and the realm JSON</w:t>
            </w:r>
            <w:r>
              <w:t xml:space="preserve">, or login fails.</w:t>
            </w:r>
          </w:p>
        </w:tc>
      </w:tr>
      <w:tr>
        <w:tc>
          <w:tcPr>
            <w:tcW w:w="3273" w:type="dxa"/>
          </w:tcPr>
          <w:p>
            <w:pPr>
              <w:pStyle w:val="BasicTextTable"/>
            </w:pPr>
            <w:r>
              <w:rPr>
                <w:rFonts w:ascii="Courier New" w:hAnsi="Courier New"/>
                <w:sz w:val="20"/>
              </w:rPr>
              <w:t xml:space="preserve">KEYCLOAK_ISSUER</w:t>
            </w:r>
            <w:r>
              <w:t xml:space="preserve">, </w:t>
            </w:r>
            <w:r>
              <w:rPr>
                <w:rFonts w:ascii="Courier New" w:hAnsi="Courier New"/>
                <w:sz w:val="20"/>
              </w:rPr>
              <w:t xml:space="preserve">KEYCLOAK_JWKS_URL</w:t>
            </w:r>
          </w:p>
        </w:tc>
        <w:tc>
          <w:tcPr>
            <w:tcW w:w="5227" w:type="dxa"/>
          </w:tcPr>
          <w:p>
            <w:pPr>
              <w:pStyle w:val="BasicTextTable"/>
            </w:pPr>
            <w:r>
              <w:t xml:space="preserve">Must match the issuer Keycloak actually mints, that is the </w:t>
            </w:r>
            <w:r>
              <w:rPr>
                <w:b/>
              </w:rPr>
              <w:t xml:space="preserve">public</w:t>
            </w:r>
            <w:r>
              <w:t xml:space="preserve"> URL in production, with the </w:t>
            </w:r>
            <w:r>
              <w:rPr>
                <w:rFonts w:ascii="Courier New" w:hAnsi="Courier New"/>
                <w:sz w:val="20"/>
              </w:rPr>
              <w:t xml:space="preserve">/auth</w:t>
            </w:r>
            <w:r>
              <w:t xml:space="preserve"> prefix. Getting either wrong produces a login loop.</w:t>
            </w:r>
          </w:p>
        </w:tc>
      </w:tr>
      <w:tr>
        <w:tc>
          <w:tcPr>
            <w:tcW w:w="3273" w:type="dxa"/>
          </w:tcPr>
          <w:p>
            <w:pPr>
              <w:pStyle w:val="BasicTextTable"/>
            </w:pPr>
            <w:r>
              <w:rPr>
                <w:rFonts w:ascii="Courier New" w:hAnsi="Courier New"/>
                <w:sz w:val="20"/>
              </w:rPr>
              <w:t xml:space="preserve">KEYCLOAK_IDP_HINT</w:t>
            </w:r>
            <w:r>
              <w:t xml:space="preserve"> (empty)</w:t>
            </w:r>
          </w:p>
        </w:tc>
        <w:tc>
          <w:tcPr>
            <w:tcW w:w="5227" w:type="dxa"/>
          </w:tcPr>
          <w:p>
            <w:pPr>
              <w:pStyle w:val="BasicTextTable"/>
            </w:pPr>
            <w:r>
              <w:t xml:space="preserve">Set to the identity-provider alias to skip Keycloak's own login form.</w:t>
            </w:r>
          </w:p>
        </w:tc>
      </w:tr>
      <w:tr>
        <w:tc>
          <w:tcPr>
            <w:tcW w:w="3273" w:type="dxa"/>
          </w:tcPr>
          <w:p>
            <w:pPr>
              <w:pStyle w:val="BasicTextTable"/>
            </w:pPr>
            <w:r>
              <w:rPr>
                <w:rFonts w:ascii="Courier New" w:hAnsi="Courier New"/>
                <w:sz w:val="20"/>
              </w:rPr>
              <w:t xml:space="preserve">KEYCLOAK_ADMIN_CLIENT_ID</w:t>
            </w:r>
            <w:r>
              <w:t xml:space="preserve">, </w:t>
            </w:r>
            <w:r>
              <w:rPr>
                <w:rFonts w:ascii="Courier New" w:hAnsi="Courier New"/>
                <w:sz w:val="20"/>
              </w:rPr>
              <w:t xml:space="preserve">_SECRET</w:t>
            </w:r>
          </w:p>
        </w:tc>
        <w:tc>
          <w:tcPr>
            <w:tcW w:w="5227" w:type="dxa"/>
          </w:tcPr>
          <w:p>
            <w:pPr>
              <w:pStyle w:val="BasicTextTable"/>
            </w:pPr>
            <w:r>
              <w:t xml:space="preserve">Enables removing the Keycloak account when a user is deleted; without them that step no-ops.</w:t>
            </w:r>
          </w:p>
        </w:tc>
      </w:tr>
      <w:tr>
        <w:tc>
          <w:tcPr>
            <w:tcW w:w="3273" w:type="dxa"/>
          </w:tcPr>
          <w:p>
            <w:pPr>
              <w:pStyle w:val="BasicTextTable"/>
            </w:pPr>
            <w:r>
              <w:rPr>
                <w:rFonts w:ascii="Courier New" w:hAnsi="Courier New"/>
                <w:sz w:val="20"/>
              </w:rPr>
              <w:t xml:space="preserve">SESSION_STORE_DIR</w:t>
            </w:r>
            <w:r>
              <w:t xml:space="preserve"> (unset)</w:t>
            </w:r>
          </w:p>
        </w:tc>
        <w:tc>
          <w:tcPr>
            <w:tcW w:w="5227" w:type="dxa"/>
          </w:tcPr>
          <w:p>
            <w:pPr>
              <w:pStyle w:val="BasicTextTable"/>
            </w:pPr>
            <w:r>
              <w:rPr>
                <w:b/>
              </w:rPr>
              <w:t xml:space="preserve">Set it in production.</w:t>
            </w:r>
            <w:r>
              <w:t xml:space="preserve"> Otherwise the full token rides in the cookie, chunks past 4 KB, and Safari loops at login.</w:t>
            </w:r>
          </w:p>
        </w:tc>
      </w:tr>
      <w:tr>
        <w:tc>
          <w:tcPr>
            <w:tcW w:w="3273" w:type="dxa"/>
          </w:tcPr>
          <w:p>
            <w:pPr>
              <w:pStyle w:val="BasicTextTable"/>
            </w:pPr>
            <w:r>
              <w:rPr>
                <w:rFonts w:ascii="Courier New" w:hAnsi="Courier New"/>
                <w:sz w:val="20"/>
              </w:rPr>
              <w:t xml:space="preserve">USER_TRACKING_ONBOARDING</w:t>
            </w:r>
            <w:r>
              <w:t xml:space="preserve"> (</w:t>
            </w:r>
            <w:r>
              <w:rPr>
                <w:rFonts w:ascii="Courier New" w:hAnsi="Courier New"/>
                <w:sz w:val="20"/>
              </w:rPr>
              <w:t xml:space="preserve">force</w:t>
            </w:r>
            <w:r>
              <w:t xml:space="preserve">)</w:t>
            </w:r>
          </w:p>
        </w:tc>
        <w:tc>
          <w:tcPr>
            <w:tcW w:w="5227" w:type="dxa"/>
          </w:tcPr>
          <w:p>
            <w:pPr>
              <w:pStyle w:val="BasicTextTable"/>
            </w:pPr>
            <w:r>
              <w:rPr>
                <w:rFonts w:ascii="Courier New" w:hAnsi="Courier New"/>
                <w:sz w:val="20"/>
              </w:rPr>
              <w:t xml:space="preserve">force</w:t>
            </w:r>
            <w:r>
              <w:t xml:space="preserve"> = on for everyone, no opt-out and no privacy tab; </w:t>
            </w:r>
            <w:r>
              <w:rPr>
                <w:rFonts w:ascii="Courier New" w:hAnsi="Courier New"/>
                <w:sz w:val="20"/>
              </w:rPr>
              <w:t xml:space="preserve">on</w:t>
            </w:r>
            <w:r>
              <w:t xml:space="preserve"> = default on with opt-out; </w:t>
            </w:r>
            <w:r>
              <w:rPr>
                <w:rFonts w:ascii="Courier New" w:hAnsi="Courier New"/>
                <w:sz w:val="20"/>
              </w:rPr>
              <w:t xml:space="preserve">off</w:t>
            </w:r>
            <w:r>
              <w:t xml:space="preserve"> = default off with opt-in.</w:t>
            </w:r>
          </w:p>
        </w:tc>
      </w:tr>
      <w:tr>
        <w:tc>
          <w:tcPr>
            <w:tcW w:w="3273" w:type="dxa"/>
          </w:tcPr>
          <w:p>
            <w:pPr>
              <w:pStyle w:val="BasicTextTable"/>
            </w:pPr>
            <w:r>
              <w:rPr>
                <w:rFonts w:ascii="Courier New" w:hAnsi="Courier New"/>
                <w:sz w:val="20"/>
              </w:rPr>
              <w:t xml:space="preserve">WORKER_CONCURRENCY</w:t>
            </w:r>
            <w:r>
              <w:t xml:space="preserve"> (</w:t>
            </w:r>
            <w:r>
              <w:rPr>
                <w:rFonts w:ascii="Courier New" w:hAnsi="Courier New"/>
                <w:sz w:val="20"/>
              </w:rPr>
              <w:t xml:space="preserve">2</w:t>
            </w:r>
            <w:r>
              <w:t xml:space="preserve">)</w:t>
            </w:r>
          </w:p>
        </w:tc>
        <w:tc>
          <w:tcPr>
            <w:tcW w:w="5227" w:type="dxa"/>
          </w:tcPr>
          <w:p>
            <w:pPr>
              <w:pStyle w:val="BasicTextTable"/>
            </w:pPr>
            <w:r>
              <w:t xml:space="preserve">Parallel job slots, 1 to 8; an administrator can also change this live.</w:t>
            </w:r>
          </w:p>
        </w:tc>
      </w:tr>
      <w:tr>
        <w:tc>
          <w:tcPr>
            <w:tcW w:w="3273" w:type="dxa"/>
          </w:tcPr>
          <w:p>
            <w:pPr>
              <w:pStyle w:val="BasicTextTable"/>
            </w:pPr>
            <w:r>
              <w:rPr>
                <w:rFonts w:ascii="Courier New" w:hAnsi="Courier New"/>
                <w:sz w:val="20"/>
              </w:rPr>
              <w:t xml:space="preserve">JOB_EXECUTION_TIMEOUT_SECONDS</w:t>
            </w:r>
            <w:r>
              <w:t xml:space="preserve"> (</w:t>
            </w:r>
            <w:r>
              <w:rPr>
                <w:rFonts w:ascii="Courier New" w:hAnsi="Courier New"/>
                <w:sz w:val="20"/>
              </w:rPr>
              <w:t xml:space="preserve">1800</w:t>
            </w:r>
            <w:r>
              <w:t xml:space="preserve">)</w:t>
            </w:r>
          </w:p>
        </w:tc>
        <w:tc>
          <w:tcPr>
            <w:tcW w:w="5227" w:type="dxa"/>
          </w:tcPr>
          <w:p>
            <w:pPr>
              <w:pStyle w:val="BasicTextTable"/>
            </w:pPr>
            <w:r>
              <w:t xml:space="preserve">A job past this is force-stopped, including a real kill of its offloaded processes. </w:t>
            </w:r>
            <w:r>
              <w:rPr>
                <w:rFonts w:ascii="Courier New" w:hAnsi="Courier New"/>
                <w:sz w:val="20"/>
              </w:rPr>
              <w:t xml:space="preserve">0</w:t>
            </w:r>
            <w:r>
              <w:t xml:space="preserve"> disables.</w:t>
            </w:r>
          </w:p>
        </w:tc>
      </w:tr>
      <w:tr>
        <w:tc>
          <w:tcPr>
            <w:tcW w:w="3273" w:type="dxa"/>
          </w:tcPr>
          <w:p>
            <w:pPr>
              <w:pStyle w:val="BasicTextTable"/>
            </w:pPr>
            <w:r>
              <w:rPr>
                <w:rFonts w:ascii="Courier New" w:hAnsi="Courier New"/>
                <w:sz w:val="20"/>
              </w:rPr>
              <w:t xml:space="preserve">DUCKDB_THREADS</w:t>
            </w:r>
            <w:r>
              <w:t xml:space="preserve"> (</w:t>
            </w:r>
            <w:r>
              <w:rPr>
                <w:rFonts w:ascii="Courier New" w:hAnsi="Courier New"/>
                <w:sz w:val="20"/>
              </w:rPr>
              <w:t xml:space="preserve">0</w:t>
            </w:r>
            <w:r>
              <w:t xml:space="preserve">), </w:t>
            </w:r>
            <w:r>
              <w:rPr>
                <w:rFonts w:ascii="Courier New" w:hAnsi="Courier New"/>
                <w:sz w:val="20"/>
              </w:rPr>
              <w:t xml:space="preserve">DUCKDB_MEMORY_LIMIT</w:t>
            </w:r>
            <w:r>
              <w:t xml:space="preserve"> (unset)</w:t>
            </w:r>
          </w:p>
        </w:tc>
        <w:tc>
          <w:tcPr>
            <w:tcW w:w="5227" w:type="dxa"/>
          </w:tcPr>
          <w:p>
            <w:pPr>
              <w:pStyle w:val="BasicTextTable"/>
            </w:pPr>
            <w:r>
              <w:t xml:space="preserve">Per-query limits. Set both on a shared machine so one query cannot claim the host.</w:t>
            </w:r>
          </w:p>
        </w:tc>
      </w:tr>
      <w:tr>
        <w:tc>
          <w:tcPr>
            <w:tcW w:w="3273" w:type="dxa"/>
          </w:tcPr>
          <w:p>
            <w:pPr>
              <w:pStyle w:val="BasicTextTable"/>
            </w:pPr>
            <w:r>
              <w:rPr>
                <w:rFonts w:ascii="Courier New" w:hAnsi="Courier New"/>
                <w:sz w:val="20"/>
              </w:rPr>
              <w:t xml:space="preserve">STORAGE_MODE</w:t>
            </w:r>
            <w:r>
              <w:t xml:space="preserve"> (</w:t>
            </w:r>
            <w:r>
              <w:rPr>
                <w:rFonts w:ascii="Courier New" w:hAnsi="Courier New"/>
                <w:sz w:val="20"/>
              </w:rPr>
              <w:t xml:space="preserve">local</w:t>
            </w:r>
            <w:r>
              <w:t xml:space="preserve">)</w:t>
            </w:r>
          </w:p>
        </w:tc>
        <w:tc>
          <w:tcPr>
            <w:tcW w:w="5227" w:type="dxa"/>
          </w:tcPr>
          <w:p>
            <w:pPr>
              <w:pStyle w:val="BasicTextTable"/>
            </w:pPr>
            <w:r>
              <w:rPr>
                <w:rFonts w:ascii="Courier New" w:hAnsi="Courier New"/>
                <w:sz w:val="20"/>
              </w:rPr>
              <w:t xml:space="preserve">local</w:t>
            </w:r>
            <w:r>
              <w:t xml:space="preserve"> or </w:t>
            </w:r>
            <w:r>
              <w:rPr>
                <w:rFonts w:ascii="Courier New" w:hAnsi="Courier New"/>
                <w:sz w:val="20"/>
              </w:rPr>
              <w:t xml:space="preserve">s3</w:t>
            </w:r>
            <w:r>
              <w:t xml:space="preserve">. Switching migrates existing data rather than stranding it.</w:t>
            </w:r>
          </w:p>
        </w:tc>
      </w:tr>
      <w:tr>
        <w:tc>
          <w:tcPr>
            <w:tcW w:w="3273" w:type="dxa"/>
          </w:tcPr>
          <w:p>
            <w:pPr>
              <w:pStyle w:val="BasicTextTable"/>
            </w:pPr>
            <w:r>
              <w:rPr>
                <w:rFonts w:ascii="Courier New" w:hAnsi="Courier New"/>
                <w:sz w:val="20"/>
              </w:rPr>
              <w:t xml:space="preserve">LOCAL_CACHE_MAX_BYTES</w:t>
            </w:r>
            <w:r>
              <w:t xml:space="preserve"> (</w:t>
            </w:r>
            <w:r>
              <w:rPr>
                <w:rFonts w:ascii="Courier New" w:hAnsi="Courier New"/>
                <w:sz w:val="20"/>
              </w:rPr>
              <w:t xml:space="preserve">0</w:t>
            </w:r>
            <w:r>
              <w:t xml:space="preserve">)</w:t>
            </w:r>
          </w:p>
        </w:tc>
        <w:tc>
          <w:tcPr>
            <w:tcW w:w="5227" w:type="dxa"/>
          </w:tcPr>
          <w:p>
            <w:pPr>
              <w:pStyle w:val="BasicTextTable"/>
            </w:pPr>
            <w:r>
              <w:rPr>
                <w:b/>
              </w:rPr>
              <w:t xml:space="preserve">Object storage only reclaims disk once this is set.</w:t>
            </w:r>
            <w:r>
              <w:t xml:space="preserve"> Without it, S3 mode merely mirrors.</w:t>
            </w:r>
          </w:p>
        </w:tc>
      </w:tr>
      <w:tr>
        <w:tc>
          <w:tcPr>
            <w:tcW w:w="3273" w:type="dxa"/>
          </w:tcPr>
          <w:p>
            <w:pPr>
              <w:pStyle w:val="BasicTextTable"/>
            </w:pPr>
            <w:r>
              <w:rPr>
                <w:rFonts w:ascii="Courier New" w:hAnsi="Courier New"/>
                <w:sz w:val="20"/>
              </w:rPr>
              <w:t xml:space="preserve">CACHE_EVICT_DRY_RUN</w:t>
            </w:r>
            <w:r>
              <w:t xml:space="preserve"> (</w:t>
            </w:r>
            <w:r>
              <w:rPr>
                <w:rFonts w:ascii="Courier New" w:hAnsi="Courier New"/>
                <w:sz w:val="20"/>
              </w:rPr>
              <w:t xml:space="preserve">true</w:t>
            </w:r>
            <w:r>
              <w:t xml:space="preserve">)</w:t>
            </w:r>
          </w:p>
        </w:tc>
        <w:tc>
          <w:tcPr>
            <w:tcW w:w="5227" w:type="dxa"/>
          </w:tcPr>
          <w:p>
            <w:pPr>
              <w:pStyle w:val="BasicTextTable"/>
            </w:pPr>
            <w:r>
              <w:t xml:space="preserve">Eviction rehearsal. Soak with it on, then disable it.</w:t>
            </w:r>
          </w:p>
        </w:tc>
      </w:tr>
      <w:tr>
        <w:tc>
          <w:tcPr>
            <w:tcW w:w="3273" w:type="dxa"/>
          </w:tcPr>
          <w:p>
            <w:pPr>
              <w:pStyle w:val="BasicTextTable"/>
            </w:pPr>
            <w:r>
              <w:rPr>
                <w:rFonts w:ascii="Courier New" w:hAnsi="Courier New"/>
                <w:sz w:val="20"/>
              </w:rPr>
              <w:t xml:space="preserve">JOB_RETENTION_DAYS</w:t>
            </w:r>
            <w:r>
              <w:t xml:space="preserve"> (</w:t>
            </w:r>
            <w:r>
              <w:rPr>
                <w:rFonts w:ascii="Courier New" w:hAnsi="Courier New"/>
                <w:sz w:val="20"/>
              </w:rPr>
              <w:t xml:space="preserve">0</w:t>
            </w:r>
            <w:r>
              <w:t xml:space="preserve">)</w:t>
            </w:r>
          </w:p>
        </w:tc>
        <w:tc>
          <w:tcPr>
            <w:tcW w:w="5227" w:type="dxa"/>
          </w:tcPr>
          <w:p>
            <w:pPr>
              <w:pStyle w:val="BasicTextTable"/>
            </w:pPr>
            <w:r>
              <w:t xml:space="preserve">Prunes finished job rows, the main growth source in the metadata database.</w:t>
            </w:r>
          </w:p>
        </w:tc>
      </w:tr>
      <w:tr>
        <w:tc>
          <w:tcPr>
            <w:tcW w:w="3273" w:type="dxa"/>
          </w:tcPr>
          <w:p>
            <w:pPr>
              <w:pStyle w:val="BasicTextTable"/>
            </w:pPr>
            <w:r>
              <w:rPr>
                <w:rFonts w:ascii="Courier New" w:hAnsi="Courier New"/>
                <w:sz w:val="20"/>
              </w:rPr>
              <w:t xml:space="preserve">MCP_ENABLED</w:t>
            </w:r>
            <w:r>
              <w:t xml:space="preserve"> (</w:t>
            </w:r>
            <w:r>
              <w:rPr>
                <w:rFonts w:ascii="Courier New" w:hAnsi="Courier New"/>
                <w:sz w:val="20"/>
              </w:rPr>
              <w:t xml:space="preserve">false</w:t>
            </w:r>
            <w:r>
              <w:t xml:space="preserve">), </w:t>
            </w:r>
            <w:r>
              <w:rPr>
                <w:rFonts w:ascii="Courier New" w:hAnsi="Courier New"/>
                <w:sz w:val="20"/>
              </w:rPr>
              <w:t xml:space="preserve">API_BASE_URL</w:t>
            </w:r>
            <w:r>
              <w:t xml:space="preserve">, </w:t>
            </w:r>
            <w:r>
              <w:rPr>
                <w:rFonts w:ascii="Courier New" w:hAnsi="Courier New"/>
                <w:sz w:val="20"/>
              </w:rPr>
              <w:t xml:space="preserve">MCP_TOOLSETS</w:t>
            </w:r>
            <w:r>
              <w:t xml:space="preserve">, </w:t>
            </w:r>
            <w:r>
              <w:rPr>
                <w:rFonts w:ascii="Courier New" w:hAnsi="Courier New"/>
                <w:sz w:val="20"/>
              </w:rPr>
              <w:t xml:space="preserve">MCP_READ_ONLY</w:t>
            </w:r>
          </w:p>
        </w:tc>
        <w:tc>
          <w:tcPr>
            <w:tcW w:w="5227" w:type="dxa"/>
          </w:tcPr>
          <w:p>
            <w:pPr>
              <w:pStyle w:val="BasicTextTable"/>
            </w:pPr>
            <w:r>
              <w:t xml:space="preserve">Enable the MCP server, tell it its public base, and choose which toolsets register and whether write tools register at all.</w:t>
            </w:r>
          </w:p>
        </w:tc>
      </w:tr>
      <w:tr>
        <w:tc>
          <w:tcPr>
            <w:tcW w:w="3273" w:type="dxa"/>
          </w:tcPr>
          <w:p>
            <w:pPr>
              <w:pStyle w:val="BasicTextTable"/>
            </w:pPr>
            <w:r>
              <w:rPr>
                <w:rFonts w:ascii="Courier New" w:hAnsi="Courier New"/>
                <w:sz w:val="20"/>
              </w:rPr>
              <w:t xml:space="preserve">COMPOSE_PROFILES</w:t>
            </w:r>
            <w:r>
              <w:t xml:space="preserve"> (empty)</w:t>
            </w:r>
          </w:p>
        </w:tc>
        <w:tc>
          <w:tcPr>
            <w:tcW w:w="5227" w:type="dxa"/>
          </w:tcPr>
          <w:p>
            <w:pPr>
              <w:pStyle w:val="BasicTextTable"/>
            </w:pPr>
            <w:r>
              <w:t xml:space="preserve">Optional services, for instance </w:t>
            </w:r>
            <w:r>
              <w:rPr>
                <w:rFonts w:ascii="Courier New" w:hAnsi="Courier New"/>
                <w:sz w:val="20"/>
              </w:rPr>
              <w:t xml:space="preserve">graph</w:t>
            </w:r>
            <w:r>
              <w:t xml:space="preserve"> for the Neo4j sidecar.</w:t>
            </w:r>
          </w:p>
        </w:tc>
      </w:tr>
      <w:tr>
        <w:tc>
          <w:tcPr>
            <w:tcW w:w="3273" w:type="dxa"/>
          </w:tcPr>
          <w:p>
            <w:pPr>
              <w:pStyle w:val="BasicTextTable"/>
            </w:pPr>
            <w:r>
              <w:rPr>
                <w:rFonts w:ascii="Courier New" w:hAnsi="Courier New"/>
                <w:sz w:val="20"/>
              </w:rPr>
              <w:t xml:space="preserve">ENV</w:t>
            </w:r>
            <w:r>
              <w:t xml:space="preserve"> (</w:t>
            </w:r>
            <w:r>
              <w:rPr>
                <w:rFonts w:ascii="Courier New" w:hAnsi="Courier New"/>
                <w:sz w:val="20"/>
              </w:rPr>
              <w:t xml:space="preserve">prod</w:t>
            </w:r>
            <w:r>
              <w:t xml:space="preserve">)</w:t>
            </w:r>
          </w:p>
        </w:tc>
        <w:tc>
          <w:tcPr>
            <w:tcW w:w="5227" w:type="dxa"/>
          </w:tcPr>
          <w:p>
            <w:pPr>
              <w:pStyle w:val="BasicTextTable"/>
            </w:pPr>
            <w:r>
              <w:rPr>
                <w:rFonts w:ascii="Courier New" w:hAnsi="Courier New"/>
                <w:sz w:val="20"/>
              </w:rPr>
              <w:t xml:space="preserve">dev</w:t>
            </w:r>
            <w:r>
              <w:t xml:space="preserve"> additionally enables module hot reload.</w:t>
            </w:r>
          </w:p>
        </w:tc>
      </w:tr>
    </w:tbl>
    <w:p>
      <w:pPr>
        <w:pStyle w:val="BasicText"/>
      </w:pPr>
    </w:p>
    <w:p>
      <w:pPr>
        <w:pStyle w:val="BasicText"/>
      </w:pPr>
      <w:r>
        <w:t xml:space="preserve">Remaining variables, documented inline in </w:t>
      </w:r>
      <w:r>
        <w:rPr>
          <w:rFonts w:ascii="Courier New" w:hAnsi="Courier New"/>
          <w:sz w:val="20"/>
        </w:rPr>
        <w:t xml:space="preserve">.env.example</w:t>
      </w:r>
      <w:r>
        <w:t xml:space="preserve">: </w:t>
      </w:r>
      <w:r>
        <w:rPr>
          <w:rFonts w:ascii="Courier New" w:hAnsi="Courier New"/>
          <w:sz w:val="20"/>
        </w:rPr>
        <w:t xml:space="preserve">AUTH_URL</w:t>
      </w:r>
      <w:r>
        <w:t xml:space="preserve">, </w:t>
      </w:r>
      <w:r>
        <w:rPr>
          <w:rFonts w:ascii="Courier New" w:hAnsi="Courier New"/>
          <w:sz w:val="20"/>
        </w:rPr>
        <w:t xml:space="preserve">CORS_ORIGINS</w:t>
      </w:r>
      <w:r>
        <w:t xml:space="preserve">, </w:t>
      </w:r>
      <w:r>
        <w:rPr>
          <w:rFonts w:ascii="Courier New" w:hAnsi="Courier New"/>
          <w:sz w:val="20"/>
        </w:rPr>
        <w:t xml:space="preserve">KEYCLOAK_CLIENT_ID</w:t>
      </w:r>
      <w:r>
        <w:t xml:space="preserve">, </w:t>
      </w:r>
      <w:r>
        <w:rPr>
          <w:rFonts w:ascii="Courier New" w:hAnsi="Courier New"/>
          <w:sz w:val="20"/>
        </w:rPr>
        <w:t xml:space="preserve">KEYCLOAK_AUDIENCE</w:t>
      </w:r>
      <w:r>
        <w:t xml:space="preserve">, </w:t>
      </w:r>
      <w:r>
        <w:rPr>
          <w:rFonts w:ascii="Courier New" w:hAnsi="Courier New"/>
          <w:sz w:val="20"/>
        </w:rPr>
        <w:t xml:space="preserve">KEYCLOAK_ADMIN</w:t>
      </w:r>
      <w:r>
        <w:t xml:space="preserve">, </w:t>
      </w:r>
      <w:r>
        <w:rPr>
          <w:rFonts w:ascii="Courier New" w:hAnsi="Courier New"/>
          <w:sz w:val="20"/>
        </w:rPr>
        <w:t xml:space="preserve">KEYCLOAK_ADMIN_PASSWORD</w:t>
      </w:r>
      <w:r>
        <w:t xml:space="preserve">, </w:t>
      </w:r>
      <w:r>
        <w:rPr>
          <w:rFonts w:ascii="Courier New" w:hAnsi="Courier New"/>
          <w:sz w:val="20"/>
        </w:rPr>
        <w:t xml:space="preserve">KEYCLOAK_DB_PASSWORD</w:t>
      </w:r>
      <w:r>
        <w:t xml:space="preserve">, </w:t>
      </w:r>
      <w:r>
        <w:rPr>
          <w:rFonts w:ascii="Courier New" w:hAnsi="Courier New"/>
          <w:sz w:val="20"/>
        </w:rPr>
        <w:t xml:space="preserve">KEYCLOAK_REALM</w:t>
      </w:r>
      <w:r>
        <w:t xml:space="preserve">, </w:t>
      </w:r>
      <w:r>
        <w:rPr>
          <w:rFonts w:ascii="Courier New" w:hAnsi="Courier New"/>
          <w:sz w:val="20"/>
        </w:rPr>
        <w:t xml:space="preserve">MODULE_PROCESS_POOL_SIZE</w:t>
      </w:r>
      <w:r>
        <w:t xml:space="preserve">, </w:t>
      </w:r>
      <w:r>
        <w:rPr>
          <w:rFonts w:ascii="Courier New" w:hAnsi="Courier New"/>
          <w:sz w:val="20"/>
        </w:rPr>
        <w:t xml:space="preserve">SUBPROCESS_RESPAWN_MAX_ATTEMPTS</w:t>
      </w:r>
      <w:r>
        <w:t xml:space="preserve">, </w:t>
      </w:r>
      <w:r>
        <w:rPr>
          <w:rFonts w:ascii="Courier New" w:hAnsi="Courier New"/>
          <w:sz w:val="20"/>
        </w:rPr>
        <w:t xml:space="preserve">SUBPROCESS_RESPAWN_BACKOFF_CAP_SECONDS</w:t>
      </w:r>
      <w:r>
        <w:t xml:space="preserve">, </w:t>
      </w:r>
      <w:r>
        <w:rPr>
          <w:rFonts w:ascii="Courier New" w:hAnsi="Courier New"/>
          <w:sz w:val="20"/>
        </w:rPr>
        <w:t xml:space="preserve">SUBPROCESS_CANCEL_GRACE_SECONDS</w:t>
      </w:r>
      <w:r>
        <w:t xml:space="preserve">, </w:t>
      </w:r>
      <w:r>
        <w:rPr>
          <w:rFonts w:ascii="Courier New" w:hAnsi="Courier New"/>
          <w:sz w:val="20"/>
        </w:rPr>
        <w:t xml:space="preserve">JAVA_BIN</w:t>
      </w:r>
      <w:r>
        <w:t xml:space="preserve">, </w:t>
      </w:r>
      <w:r>
        <w:rPr>
          <w:rFonts w:ascii="Courier New" w:hAnsi="Courier New"/>
          <w:sz w:val="20"/>
        </w:rPr>
        <w:t xml:space="preserve">EVENT_LOG_CACHE_ENTRIES</w:t>
      </w:r>
      <w:r>
        <w:t xml:space="preserve">, </w:t>
      </w:r>
      <w:r>
        <w:rPr>
          <w:rFonts w:ascii="Courier New" w:hAnsi="Courier New"/>
          <w:sz w:val="20"/>
        </w:rPr>
        <w:t xml:space="preserve">CACHE_EVICT_MIN_AGE_SECONDS</w:t>
      </w:r>
      <w:r>
        <w:t xml:space="preserve">, </w:t>
      </w:r>
      <w:r>
        <w:rPr>
          <w:rFonts w:ascii="Courier New" w:hAnsi="Courier New"/>
          <w:sz w:val="20"/>
        </w:rPr>
        <w:t xml:space="preserve">CACHE_EVICT_INTERVAL_SECONDS</w:t>
      </w:r>
      <w:r>
        <w:t xml:space="preserve">, </w:t>
      </w:r>
      <w:r>
        <w:rPr>
          <w:rFonts w:ascii="Courier New" w:hAnsi="Courier New"/>
          <w:sz w:val="20"/>
        </w:rPr>
        <w:t xml:space="preserve">MCP_OAUTH_CLIENT_ID</w:t>
      </w:r>
      <w:r>
        <w:t xml:space="preserve">, </w:t>
      </w:r>
      <w:r>
        <w:rPr>
          <w:rFonts w:ascii="Courier New" w:hAnsi="Courier New"/>
          <w:sz w:val="20"/>
        </w:rPr>
        <w:t xml:space="preserve">MCP_RATE_LIMIT_PER_MINUTE</w:t>
      </w:r>
      <w:r>
        <w:t xml:space="preserve">, </w:t>
      </w:r>
      <w:r>
        <w:rPr>
          <w:rFonts w:ascii="Courier New" w:hAnsi="Courier New"/>
          <w:sz w:val="20"/>
        </w:rPr>
        <w:t xml:space="preserve">MCP_RATE_LIMIT_BURST</w:t>
      </w:r>
      <w:r>
        <w:t xml:space="preserve">, </w:t>
      </w:r>
      <w:r>
        <w:rPr>
          <w:rFonts w:ascii="Courier New" w:hAnsi="Courier New"/>
          <w:sz w:val="20"/>
        </w:rPr>
        <w:t xml:space="preserve">MCP_WRITE_RATE_LIMIT_PER_MINUTE</w:t>
      </w:r>
      <w:r>
        <w:t xml:space="preserve">, </w:t>
      </w:r>
      <w:r>
        <w:rPr>
          <w:rFonts w:ascii="Courier New" w:hAnsi="Courier New"/>
          <w:sz w:val="20"/>
        </w:rPr>
        <w:t xml:space="preserve">MCP_MAX_CONCURRENCY_PER_USER</w:t>
      </w:r>
      <w:r>
        <w:t xml:space="preserve">, </w:t>
      </w:r>
      <w:r>
        <w:rPr>
          <w:rFonts w:ascii="Courier New" w:hAnsi="Courier New"/>
          <w:sz w:val="20"/>
        </w:rPr>
        <w:t xml:space="preserve">MCP_MAX_CONCURRENCY_GLOBAL</w:t>
      </w:r>
      <w:r>
        <w:t xml:space="preserve">, </w:t>
      </w:r>
      <w:r>
        <w:rPr>
          <w:rFonts w:ascii="Courier New" w:hAnsi="Courier New"/>
          <w:sz w:val="20"/>
        </w:rPr>
        <w:t xml:space="preserve">MCP_TOOL_TIMEOUT_SECONDS</w:t>
      </w:r>
      <w:r>
        <w:t xml:space="preserve">, </w:t>
      </w:r>
      <w:r>
        <w:rPr>
          <w:rFonts w:ascii="Courier New" w:hAnsi="Courier New"/>
          <w:sz w:val="20"/>
        </w:rPr>
        <w:t xml:space="preserve">MCP_REQUIRE_EGRESS_CONSENT</w:t>
      </w:r>
      <w:r>
        <w:t xml:space="preserve">, </w:t>
      </w:r>
      <w:r>
        <w:rPr>
          <w:rFonts w:ascii="Courier New" w:hAnsi="Courier New"/>
          <w:sz w:val="20"/>
        </w:rPr>
        <w:t xml:space="preserve">DEMO_MODE</w:t>
      </w:r>
      <w:r>
        <w:t xml:space="preserve">, </w:t>
      </w:r>
      <w:r>
        <w:rPr>
          <w:rFonts w:ascii="Courier New" w:hAnsi="Courier New"/>
          <w:sz w:val="20"/>
        </w:rPr>
        <w:t xml:space="preserve">DEMO_ADMIN</w:t>
      </w:r>
      <w:r>
        <w:t xml:space="preserve">, </w:t>
      </w:r>
      <w:r>
        <w:rPr>
          <w:rFonts w:ascii="Courier New" w:hAnsi="Courier New"/>
          <w:sz w:val="20"/>
        </w:rPr>
        <w:t xml:space="preserve">LOG_LEVEL</w:t>
      </w:r>
      <w:r>
        <w:t xml:space="preserve">, </w:t>
      </w:r>
      <w:r>
        <w:rPr>
          <w:rFonts w:ascii="Courier New" w:hAnsi="Courier New"/>
          <w:sz w:val="20"/>
        </w:rPr>
        <w:t xml:space="preserve">DATA_DIR</w:t>
      </w:r>
      <w:r>
        <w:t xml:space="preserve">, </w:t>
      </w:r>
      <w:r>
        <w:rPr>
          <w:rFonts w:ascii="Courier New" w:hAnsi="Courier New"/>
          <w:sz w:val="20"/>
        </w:rPr>
        <w:t xml:space="preserve">MODULES_DIR</w:t>
      </w:r>
      <w:r>
        <w:t xml:space="preserve">, </w:t>
      </w:r>
      <w:r>
        <w:rPr>
          <w:rFonts w:ascii="Courier New" w:hAnsi="Courier New"/>
          <w:sz w:val="20"/>
        </w:rPr>
        <w:t xml:space="preserve">DATABASE_URL</w:t>
      </w:r>
      <w:r>
        <w:t xml:space="preserve">.</w:t>
      </w:r>
    </w:p>
    <w:p>
      <w:pPr>
        <w:pStyle w:val="Heading9"/>
      </w:pPr>
      <w:r>
        <w:t xml:space="preserve">Command reference</w:t>
      </w:r>
    </w:p>
    <w:p>
      <w:pPr>
        <w:pStyle w:val="Caption"/>
      </w:pPr>
      <w:r>
        <w:t xml:space="preserve">Tab. </w:t>
      </w:r>
      <w:fldSimple w:instr=" SEQ Tab. \* ARABIC ">
        <w:r>
          <w:t>1</w:t>
        </w:r>
      </w:fldSimple>
      <w:r>
        <w:t xml:space="preserve">: </w:t>
      </w:r>
      <w:r>
        <w:t xml:space="preserve">Commands, from the Makefile unless noted.</w:t>
      </w:r>
    </w:p>
    <w:tbl>
      <w:tblPr>
        <w:tblStyle w:val="TableGrid"/>
        <w:tblW w:w="8500" w:type="dxa"/>
        <w:tblLayout w:type="fixed"/>
        <w:tblLook w:val="04A0" w:firstRow="1" w:lastRow="0" w:firstColumn="1" w:lastColumn="0" w:noHBand="0" w:noVBand="1"/>
      </w:tblPr>
      <w:tblGrid>
        <w:gridCol w:w="4386"/>
        <w:gridCol w:w="4114"/>
      </w:tblGrid>
      <w:tr>
        <w:trPr>
          <w:tblHeader/>
        </w:trPr>
        <w:tc>
          <w:tcPr>
            <w:tcW w:w="4386" w:type="dxa"/>
            <w:shd w:val="clear" w:color="auto" w:fill="F2F2F2"/>
          </w:tcPr>
          <w:p>
            <w:pPr>
              <w:pStyle w:val="BasicTextTable"/>
            </w:pPr>
            <w:r>
              <w:rPr>
                <w:b/>
              </w:rPr>
              <w:t xml:space="preserve">Command</w:t>
            </w:r>
          </w:p>
        </w:tc>
        <w:tc>
          <w:tcPr>
            <w:tcW w:w="4114" w:type="dxa"/>
            <w:shd w:val="clear" w:color="auto" w:fill="F2F2F2"/>
          </w:tcPr>
          <w:p>
            <w:pPr>
              <w:pStyle w:val="BasicTextTable"/>
            </w:pPr>
            <w:r>
              <w:rPr>
                <w:b/>
              </w:rPr>
              <w:t xml:space="preserve">Effect</w:t>
            </w:r>
          </w:p>
        </w:tc>
      </w:tr>
      <w:tr>
        <w:tc>
          <w:tcPr>
            <w:tcW w:w="4386" w:type="dxa"/>
          </w:tcPr>
          <w:p>
            <w:pPr>
              <w:pStyle w:val="BasicTextTable"/>
            </w:pPr>
            <w:r>
              <w:rPr>
                <w:rFonts w:ascii="Courier New" w:hAnsi="Courier New"/>
                <w:sz w:val="20"/>
              </w:rPr>
              <w:t xml:space="preserve">make install</w:t>
            </w:r>
          </w:p>
        </w:tc>
        <w:tc>
          <w:tcPr>
            <w:tcW w:w="4114" w:type="dxa"/>
          </w:tcPr>
          <w:p>
            <w:pPr>
              <w:pStyle w:val="BasicTextTable"/>
            </w:pPr>
            <w:r>
              <w:rPr>
                <w:rFonts w:ascii="Courier New" w:hAnsi="Courier New"/>
                <w:sz w:val="20"/>
              </w:rPr>
              <w:t xml:space="preserve">uv sync --extra dev</w:t>
            </w:r>
            <w:r>
              <w:t xml:space="preserve"> plus </w:t>
            </w:r>
            <w:r>
              <w:rPr>
                <w:rFonts w:ascii="Courier New" w:hAnsi="Courier New"/>
                <w:sz w:val="20"/>
              </w:rPr>
              <w:t xml:space="preserve">pnpm install</w:t>
            </w:r>
          </w:p>
        </w:tc>
      </w:tr>
      <w:tr>
        <w:tc>
          <w:tcPr>
            <w:tcW w:w="4386" w:type="dxa"/>
          </w:tcPr>
          <w:p>
            <w:pPr>
              <w:pStyle w:val="BasicTextTable"/>
            </w:pPr>
            <w:r>
              <w:rPr>
                <w:rFonts w:ascii="Courier New" w:hAnsi="Courier New"/>
                <w:sz w:val="20"/>
              </w:rPr>
              <w:t xml:space="preserve">make dev</w:t>
            </w:r>
            <w:r>
              <w:t xml:space="preserve">, </w:t>
            </w:r>
            <w:r>
              <w:rPr>
                <w:rFonts w:ascii="Courier New" w:hAnsi="Courier New"/>
                <w:sz w:val="20"/>
              </w:rPr>
              <w:t xml:space="preserve">make dev-api</w:t>
            </w:r>
            <w:r>
              <w:t xml:space="preserve">, </w:t>
            </w:r>
            <w:r>
              <w:rPr>
                <w:rFonts w:ascii="Courier New" w:hAnsi="Courier New"/>
                <w:sz w:val="20"/>
              </w:rPr>
              <w:t xml:space="preserve">make dev-web</w:t>
            </w:r>
          </w:p>
        </w:tc>
        <w:tc>
          <w:tcPr>
            <w:tcW w:w="4114" w:type="dxa"/>
          </w:tcPr>
          <w:p>
            <w:pPr>
              <w:pStyle w:val="BasicTextTable"/>
            </w:pPr>
            <w:r>
              <w:t xml:space="preserve">Host-native dev servers; </w:t>
            </w:r>
            <w:r>
              <w:rPr>
                <w:rFonts w:ascii="Courier New" w:hAnsi="Courier New"/>
                <w:sz w:val="20"/>
              </w:rPr>
              <w:t xml:space="preserve">dev-api</w:t>
            </w:r>
            <w:r>
              <w:t xml:space="preserve"> runs migrations first</w:t>
            </w:r>
          </w:p>
        </w:tc>
      </w:tr>
      <w:tr>
        <w:tc>
          <w:tcPr>
            <w:tcW w:w="4386" w:type="dxa"/>
          </w:tcPr>
          <w:p>
            <w:pPr>
              <w:pStyle w:val="BasicTextTable"/>
            </w:pPr>
            <w:r>
              <w:rPr>
                <w:rFonts w:ascii="Courier New" w:hAnsi="Courier New"/>
                <w:sz w:val="20"/>
              </w:rPr>
              <w:t xml:space="preserve">make up</w:t>
            </w:r>
            <w:r>
              <w:t xml:space="preserve">, </w:t>
            </w:r>
            <w:r>
              <w:rPr>
                <w:rFonts w:ascii="Courier New" w:hAnsi="Courier New"/>
                <w:sz w:val="20"/>
              </w:rPr>
              <w:t xml:space="preserve">make up-dev</w:t>
            </w:r>
            <w:r>
              <w:t xml:space="preserve">, </w:t>
            </w:r>
            <w:r>
              <w:rPr>
                <w:rFonts w:ascii="Courier New" w:hAnsi="Courier New"/>
                <w:sz w:val="20"/>
              </w:rPr>
              <w:t xml:space="preserve">make down</w:t>
            </w:r>
          </w:p>
        </w:tc>
        <w:tc>
          <w:tcPr>
            <w:tcW w:w="4114" w:type="dxa"/>
          </w:tcPr>
          <w:p>
            <w:pPr>
              <w:pStyle w:val="BasicTextTable"/>
            </w:pPr>
            <w:r>
              <w:t xml:space="preserve">Base stack, dev overlay, stop</w:t>
            </w:r>
          </w:p>
        </w:tc>
      </w:tr>
      <w:tr>
        <w:tc>
          <w:tcPr>
            <w:tcW w:w="4386" w:type="dxa"/>
          </w:tcPr>
          <w:p>
            <w:pPr>
              <w:pStyle w:val="BasicTextTable"/>
            </w:pPr>
            <w:r>
              <w:rPr>
                <w:rFonts w:ascii="Courier New" w:hAnsi="Courier New"/>
                <w:sz w:val="20"/>
              </w:rPr>
              <w:t xml:space="preserve">make build</w:t>
            </w:r>
            <w:r>
              <w:t xml:space="preserve">, </w:t>
            </w:r>
            <w:r>
              <w:rPr>
                <w:rFonts w:ascii="Courier New" w:hAnsi="Courier New"/>
                <w:sz w:val="20"/>
              </w:rPr>
              <w:t xml:space="preserve">make test</w:t>
            </w:r>
            <w:r>
              <w:t xml:space="preserve">, </w:t>
            </w:r>
            <w:r>
              <w:rPr>
                <w:rFonts w:ascii="Courier New" w:hAnsi="Courier New"/>
                <w:sz w:val="20"/>
              </w:rPr>
              <w:t xml:space="preserve">make fmt</w:t>
            </w:r>
          </w:p>
        </w:tc>
        <w:tc>
          <w:tcPr>
            <w:tcW w:w="4114" w:type="dxa"/>
          </w:tcPr>
          <w:p>
            <w:pPr>
              <w:pStyle w:val="BasicTextTable"/>
            </w:pPr>
            <w:r>
              <w:t xml:space="preserve">Rebuild images; Python test suite; lint and format</w:t>
            </w:r>
          </w:p>
        </w:tc>
      </w:tr>
      <w:tr>
        <w:tc>
          <w:tcPr>
            <w:tcW w:w="4386" w:type="dxa"/>
          </w:tcPr>
          <w:p>
            <w:pPr>
              <w:pStyle w:val="BasicTextTable"/>
            </w:pPr>
            <w:r>
              <w:rPr>
                <w:rFonts w:ascii="Courier New" w:hAnsi="Courier New"/>
                <w:sz w:val="20"/>
              </w:rPr>
              <w:t xml:space="preserve">make typecheck</w:t>
            </w:r>
          </w:p>
        </w:tc>
        <w:tc>
          <w:tcPr>
            <w:tcW w:w="4114" w:type="dxa"/>
          </w:tcPr>
          <w:p>
            <w:pPr>
              <w:pStyle w:val="BasicTextTable"/>
            </w:pPr>
            <w:r>
              <w:t xml:space="preserve">Web type-check. Does </w:t>
            </w:r>
            <w:r>
              <w:rPr>
                <w:b/>
              </w:rPr>
              <w:t xml:space="preserve">not</w:t>
            </w:r>
            <w:r>
              <w:t xml:space="preserve"> cover module panels</w:t>
            </w:r>
          </w:p>
        </w:tc>
      </w:tr>
      <w:tr>
        <w:tc>
          <w:tcPr>
            <w:tcW w:w="4386" w:type="dxa"/>
          </w:tcPr>
          <w:p>
            <w:pPr>
              <w:pStyle w:val="BasicTextTable"/>
            </w:pPr>
            <w:r>
              <w:rPr>
                <w:rFonts w:ascii="Courier New" w:hAnsi="Courier New"/>
                <w:sz w:val="20"/>
              </w:rPr>
              <w:t xml:space="preserve">make codegen</w:t>
            </w:r>
          </w:p>
        </w:tc>
        <w:tc>
          <w:tcPr>
            <w:tcW w:w="4114" w:type="dxa"/>
          </w:tcPr>
          <w:p>
            <w:pPr>
              <w:pStyle w:val="BasicTextTable"/>
            </w:pPr>
            <w:r>
              <w:t xml:space="preserve">Regenerate the web app's API types from a running API</w:t>
            </w:r>
          </w:p>
        </w:tc>
      </w:tr>
      <w:tr>
        <w:tc>
          <w:tcPr>
            <w:tcW w:w="4386" w:type="dxa"/>
          </w:tcPr>
          <w:p>
            <w:pPr>
              <w:pStyle w:val="BasicTextTable"/>
            </w:pPr>
            <w:r>
              <w:rPr>
                <w:rFonts w:ascii="Courier New" w:hAnsi="Courier New"/>
                <w:sz w:val="20"/>
              </w:rPr>
              <w:t xml:space="preserve">make sdk-jvm</w:t>
            </w:r>
          </w:p>
        </w:tc>
        <w:tc>
          <w:tcPr>
            <w:tcW w:w="4114" w:type="dxa"/>
          </w:tcPr>
          <w:p>
            <w:pPr>
              <w:pStyle w:val="BasicTextTable"/>
            </w:pPr>
            <w:r>
              <w:t xml:space="preserve">Build the Java SDK and the reference JVM module jar</w:t>
            </w:r>
          </w:p>
        </w:tc>
      </w:tr>
      <w:tr>
        <w:tc>
          <w:tcPr>
            <w:tcW w:w="4386" w:type="dxa"/>
          </w:tcPr>
          <w:p>
            <w:pPr>
              <w:pStyle w:val="BasicTextTable"/>
            </w:pPr>
            <w:r>
              <w:rPr>
                <w:rFonts w:ascii="Courier New" w:hAnsi="Courier New"/>
                <w:sz w:val="20"/>
              </w:rPr>
              <w:t xml:space="preserve">make clean</w:t>
            </w:r>
          </w:p>
        </w:tc>
        <w:tc>
          <w:tcPr>
            <w:tcW w:w="4114" w:type="dxa"/>
          </w:tcPr>
          <w:p>
            <w:pPr>
              <w:pStyle w:val="BasicTextTable"/>
            </w:pPr>
            <w:r>
              <w:t xml:space="preserve">Wipe event logs, module results and the metadata database. Irreversible</w:t>
            </w:r>
          </w:p>
        </w:tc>
      </w:tr>
      <w:tr>
        <w:tc>
          <w:tcPr>
            <w:tcW w:w="4386" w:type="dxa"/>
          </w:tcPr>
          <w:p>
            <w:pPr>
              <w:pStyle w:val="BasicTextTable"/>
            </w:pPr>
            <w:r>
              <w:rPr>
                <w:rFonts w:ascii="Courier New" w:hAnsi="Courier New"/>
                <w:sz w:val="20"/>
              </w:rPr>
              <w:t xml:space="preserve">uv run pyright</w:t>
            </w:r>
          </w:p>
        </w:tc>
        <w:tc>
          <w:tcPr>
            <w:tcW w:w="4114" w:type="dxa"/>
          </w:tcPr>
          <w:p>
            <w:pPr>
              <w:pStyle w:val="BasicTextTable"/>
            </w:pPr>
            <w:r>
              <w:t xml:space="preserve">Strict type-check of the API sources and Python SDK</w:t>
            </w:r>
          </w:p>
        </w:tc>
      </w:tr>
      <w:tr>
        <w:tc>
          <w:tcPr>
            <w:tcW w:w="4386" w:type="dxa"/>
          </w:tcPr>
          <w:p>
            <w:pPr>
              <w:pStyle w:val="BasicTextTable"/>
            </w:pPr>
            <w:r>
              <w:rPr>
                <w:rFonts w:ascii="Courier New" w:hAnsi="Courier New"/>
                <w:sz w:val="20"/>
              </w:rPr>
              <w:t xml:space="preserve">uv run pytest modules/&lt;folder&gt;/tests</w:t>
            </w:r>
          </w:p>
        </w:tc>
        <w:tc>
          <w:tcPr>
            <w:tcW w:w="4114" w:type="dxa"/>
          </w:tcPr>
          <w:p>
            <w:pPr>
              <w:pStyle w:val="BasicTextTable"/>
            </w:pPr>
            <w:r>
              <w:t xml:space="preserve">One module's tests</w:t>
            </w:r>
          </w:p>
        </w:tc>
      </w:tr>
      <w:tr>
        <w:tc>
          <w:tcPr>
            <w:tcW w:w="4386" w:type="dxa"/>
          </w:tcPr>
          <w:p>
            <w:pPr>
              <w:pStyle w:val="BasicTextTable"/>
            </w:pPr>
            <w:r>
              <w:rPr>
                <w:rFonts w:ascii="Courier New" w:hAnsi="Courier New"/>
                <w:sz w:val="20"/>
              </w:rPr>
              <w:t xml:space="preserve">docker compose -f docker-compose.yml -f docker-compose.prod.yml up -d --build</w:t>
            </w:r>
          </w:p>
        </w:tc>
        <w:tc>
          <w:tcPr>
            <w:tcW w:w="4114" w:type="dxa"/>
          </w:tcPr>
          <w:p>
            <w:pPr>
              <w:pStyle w:val="BasicTextTable"/>
            </w:pPr>
            <w:r>
              <w:t xml:space="preserve">Production deployment</w:t>
            </w:r>
          </w:p>
        </w:tc>
      </w:tr>
      <w:tr>
        <w:tc>
          <w:tcPr>
            <w:tcW w:w="4386" w:type="dxa"/>
          </w:tcPr>
          <w:p>
            <w:pPr>
              <w:pStyle w:val="BasicTextTable"/>
            </w:pPr>
            <w:r>
              <w:rPr>
                <w:rFonts w:ascii="Courier New" w:hAnsi="Courier New"/>
                <w:sz w:val="20"/>
              </w:rPr>
              <w:t xml:space="preserve">./infra/bootstrap-vm.sh</w:t>
            </w:r>
          </w:p>
        </w:tc>
        <w:tc>
          <w:tcPr>
            <w:tcW w:w="4114" w:type="dxa"/>
          </w:tcPr>
          <w:p>
            <w:pPr>
              <w:pStyle w:val="BasicTextTable"/>
            </w:pPr>
            <w:r>
              <w:t xml:space="preserve">One-pass VM bootstrap: secrets, realm patch, start</w:t>
            </w:r>
          </w:p>
        </w:tc>
      </w:tr>
    </w:tbl>
    <w:p>
      <w:pPr>
        <w:pStyle w:val="BasicText"/>
      </w:pPr>
    </w:p>
    <w:p>
      <w:pPr>
        <w:pStyle w:val="Heading9"/>
      </w:pPr>
      <w:r>
        <w:t xml:space="preserve">Proxy configuration, backup and restore</w:t>
      </w:r>
    </w:p>
    <w:p>
      <w:pPr>
        <w:pStyle w:val="BasicText"/>
      </w:pPr>
      <w:r>
        <w:t xml:space="preserve">The production overlay adds a Caddy container binding port 443, terminating TLS with the VM's certificate and routing by path: </w:t>
      </w:r>
      <w:r>
        <w:rPr>
          <w:rFonts w:ascii="Courier New" w:hAnsi="Courier New"/>
          <w:sz w:val="20"/>
        </w:rPr>
        <w:t xml:space="preserve">/api/v1/*</w:t>
      </w:r>
      <w:r>
        <w:t xml:space="preserve"> and </w:t>
      </w:r>
      <w:r>
        <w:rPr>
          <w:rFonts w:ascii="Courier New" w:hAnsi="Courier New"/>
          <w:sz w:val="20"/>
        </w:rPr>
        <w:t xml:space="preserve">/health</w:t>
      </w:r>
      <w:r>
        <w:t xml:space="preserve"> to the API, </w:t>
      </w:r>
      <w:r>
        <w:rPr>
          <w:rFonts w:ascii="Courier New" w:hAnsi="Courier New"/>
          <w:sz w:val="20"/>
        </w:rPr>
        <w:t xml:space="preserve">/auth/*</w:t>
      </w:r>
      <w:r>
        <w:t xml:space="preserve"> to the identity provider, and everything else, including the web application's own auth callback, to the web service. Mount the whole certificate directory rather than just the live subdirectory, or the symbolic links into the archive break. A Caddyfile-only change needs the proxy restarted; an environment change needs it brought up again. The chain carries HTTP streaming transparently and </w:t>
      </w:r>
      <w:r>
        <w:rPr>
          <w:b/>
        </w:rPr>
        <w:t xml:space="preserve">does not carry WebSocket upgrades</w:t>
      </w:r>
      <w:r>
        <w:t xml:space="preserve">, which is why both live streams are Server-Sent Events (§4.10); if everything works except live updates, that is the layer to look at.</w:t>
      </w:r>
    </w:p>
    <w:p>
      <w:pPr>
        <w:pStyle w:val="BasicText"/>
      </w:pPr>
      <w:r>
        <w:rPr>
          <w:b/>
        </w:rPr>
        <w:t xml:space="preserve">Back up</w:t>
      </w:r>
      <w:r>
        <w:t xml:space="preserve"> by copying the bind-mounted </w:t>
      </w:r>
      <w:r>
        <w:rPr>
          <w:rFonts w:ascii="Courier New" w:hAnsi="Courier New"/>
          <w:sz w:val="20"/>
        </w:rPr>
        <w:t xml:space="preserve">data/</w:t>
      </w:r>
      <w:r>
        <w:t xml:space="preserve"> directory, which holds the metadata database, per-user Parquet event data and module results, uploaded modules and cached runtimes. The identity provider's data lives in a separate Docker volume and must be backed up separately if accounts are to survive; taking the stack down with volumes removed wipes accounts and re-imports the realm on the next boot. </w:t>
      </w:r>
      <w:r>
        <w:rPr>
          <w:b/>
        </w:rPr>
        <w:t xml:space="preserve">Restore</w:t>
      </w:r>
      <w:r>
        <w:t xml:space="preserve"> by stopping the stack, replacing </w:t>
      </w:r>
      <w:r>
        <w:rPr>
          <w:rFonts w:ascii="Courier New" w:hAnsi="Courier New"/>
          <w:sz w:val="20"/>
        </w:rPr>
        <w:t xml:space="preserve">data/</w:t>
      </w:r>
      <w:r>
        <w:t xml:space="preserve">, and starting again. Migrations run automatically on API startup and are not reversible in general, so a backup must precede every update rather than follow it. In object-storage mode the bucket is authoritative and local disk is a cache, so a restore is the bucket plus the metadata database; losing the metadata database orphans every object in the bucket.</w:t>
      </w:r>
    </w:p>
    <w:p>
      <w:pPr>
        <w:pStyle w:val="Heading8"/>
      </w:pPr>
      <w:r>
        <w:t xml:space="preserve">Extended Module Descriptions</w:t>
      </w:r>
    </w:p>
    <w:p>
      <w:pPr>
        <w:pStyle w:val="BasicText"/>
      </w:pPr>
      <w:r>
        <w:t xml:space="preserve">Per module: the algorithmic background, the parameters a user sets, what the output means, and known limitations. §6.2 gives the short form and the size table.</w:t>
      </w:r>
    </w:p>
    <w:p>
      <w:pPr>
        <w:pStyle w:val="BasicText"/>
      </w:pPr>
      <w:r>
        <w:rPr>
          <w:b/>
        </w:rPr>
        <w:t xml:space="preserve">Discovery</w:t>
      </w:r>
      <w:r>
        <w:t xml:space="preserve"> (</w:t>
      </w:r>
      <w:r>
        <w:rPr>
          <w:rFonts w:ascii="Courier New" w:hAnsi="Courier New"/>
          <w:sz w:val="20"/>
        </w:rPr>
        <w:t xml:space="preserve">foundation</w:t>
      </w:r>
      <w:r>
        <w:t xml:space="preserve">, in-process) wraps PM4Py's discovery algorithms. The Alpha miner derives footprint relations between activities and lays maximal causal activity sets down as places (van der Aalst et al., 2004); the Inductive miner recursively splits the directly-follows graph into a sound process tree, convertible to a Petri net and to BPMN; the heuristics miner suppresses infrequent behaviour by threshold before inferring dependencies. </w:t>
      </w:r>
      <w:r>
        <w:rPr>
          <w:i/>
        </w:rPr>
        <w:t xml:space="preserve">Parameters:</w:t>
      </w:r>
      <w:r>
        <w:t xml:space="preserve"> algorithm, noise threshold, activity and path frequency filters, layout mode. </w:t>
      </w:r>
      <w:r>
        <w:rPr>
          <w:i/>
        </w:rPr>
        <w:t xml:space="preserve">Output:</w:t>
      </w:r>
      <w:r>
        <w:t xml:space="preserve"> a DFG with frequency or duration annotations, a Petri net, a process tree, a heuristics net and a BPMN diagram, with a layout following the backbone-based process map approach of Lee et al. (2026). </w:t>
      </w:r>
      <w:r>
        <w:rPr>
          <w:i/>
        </w:rPr>
        <w:t xml:space="preserve">Limitations:</w:t>
      </w:r>
      <w:r>
        <w:t xml:space="preserve"> the layout degrades on graphs with many activities, which §11.6 proposes replacing; the DFG cannot distinguish concurrency from interleaving; Alpha is sensitive to noise and is retained mainly for teaching and comparison.</w:t>
      </w:r>
    </w:p>
    <w:p>
      <w:pPr>
        <w:pStyle w:val="BasicText"/>
      </w:pPr>
      <w:r>
        <w:rPr>
          <w:b/>
        </w:rPr>
        <w:t xml:space="preserve">Performance</w:t>
      </w:r>
      <w:r>
        <w:t xml:space="preserve"> (</w:t>
      </w:r>
      <w:r>
        <w:rPr>
          <w:rFonts w:ascii="Courier New" w:hAnsi="Courier New"/>
          <w:sz w:val="20"/>
        </w:rPr>
        <w:t xml:space="preserve">foundation</w:t>
      </w:r>
      <w:r>
        <w:t xml:space="preserve">, in-process) computes throughput, lead and cycle time, sojourn and waiting time, the 90th-percentile cycle time, and a performance-annotated DFG. </w:t>
      </w:r>
      <w:r>
        <w:rPr>
          <w:i/>
        </w:rPr>
        <w:t xml:space="preserve">Parameters:</w:t>
      </w:r>
      <w:r>
        <w:t xml:space="preserve"> time unit, percentile, aggregation. </w:t>
      </w:r>
      <w:r>
        <w:rPr>
          <w:i/>
        </w:rPr>
        <w:t xml:space="preserve">Limitations:</w:t>
      </w:r>
      <w:r>
        <w:t xml:space="preserve"> waiting and sojourn time separate only when events carry both a start and an end timestamp; without discovery installed, metrics are computed against raw activity labels.</w:t>
      </w:r>
    </w:p>
    <w:p>
      <w:pPr>
        <w:pStyle w:val="BasicText"/>
      </w:pPr>
      <w:r>
        <w:rPr>
          <w:b/>
        </w:rPr>
        <w:t xml:space="preserve">Object-Centric Discovery</w:t>
      </w:r>
      <w:r>
        <w:t xml:space="preserve"> (</w:t>
      </w:r>
      <w:r>
        <w:rPr>
          <w:rFonts w:ascii="Courier New" w:hAnsi="Courier New"/>
          <w:sz w:val="20"/>
        </w:rPr>
        <w:t xml:space="preserve">foundation</w:t>
      </w:r>
      <w:r>
        <w:t xml:space="preserve">, in-process) discovers a process from OCEL logs (Berti et al., 2023; van der Aalst, 2019), producing object types and counts, the object-centric DFG, an object-centric Petri net, an activity-to-object-type map and an object relationship graph. </w:t>
      </w:r>
      <w:r>
        <w:rPr>
          <w:i/>
        </w:rPr>
        <w:t xml:space="preserve">Limitations:</w:t>
      </w:r>
      <w:r>
        <w:t xml:space="preserve"> offered only for object-centric logs; OC-DFGs become dense quickly on logs with many object types.</w:t>
      </w:r>
    </w:p>
    <w:p>
      <w:pPr>
        <w:pStyle w:val="BasicText"/>
      </w:pPr>
      <w:r>
        <w:rPr>
          <w:b/>
        </w:rPr>
        <w:t xml:space="preserve">Conformance Checking</w:t>
      </w:r>
      <w:r>
        <w:t xml:space="preserve"> (in-process) performs token-based replay by default and alignments optionally (Carmona et al., 2022; Rozinat &amp; van der Aalst, 2008). </w:t>
      </w:r>
      <w:r>
        <w:rPr>
          <w:i/>
        </w:rPr>
        <w:t xml:space="preserve">Parameters:</w:t>
      </w:r>
      <w:r>
        <w:t xml:space="preserve"> the uploaded BPMN model, the technique, activity-name matching. </w:t>
      </w:r>
      <w:r>
        <w:rPr>
          <w:i/>
        </w:rPr>
        <w:t xml:space="preserve">Output:</w:t>
      </w:r>
      <w:r>
        <w:t xml:space="preserve"> fitness, precision, per-activity deviations, and the model painted with them. </w:t>
      </w:r>
      <w:r>
        <w:rPr>
          <w:i/>
        </w:rPr>
        <w:t xml:space="preserve">Limitations:</w:t>
      </w:r>
      <w:r>
        <w:t xml:space="preserve"> alignments are considerably more expensive than replay and can dominate the job's runtime; results depend on how well activity names in model and log match.</w:t>
      </w:r>
    </w:p>
    <w:p>
      <w:pPr>
        <w:pStyle w:val="BasicText"/>
      </w:pPr>
      <w:r>
        <w:rPr>
          <w:b/>
        </w:rPr>
        <w:t xml:space="preserve">Complexity</w:t>
      </w:r>
      <w:r>
        <w:t xml:space="preserve"> (in-process) computes entropy-based complexity over variants and activity sequences, plus Lempel-Ziv complexity, affinity, structure and Pentland's task and process complexity, following Augusto et al. (2022). </w:t>
      </w:r>
      <w:r>
        <w:rPr>
          <w:i/>
        </w:rPr>
        <w:t xml:space="preserve">Limitations:</w:t>
      </w:r>
      <w:r>
        <w:t xml:space="preserve"> metrics are not comparable across logs of very different size without normalisation. </w:t>
      </w:r>
      <w:r>
        <w:rPr>
          <w:b/>
        </w:rPr>
        <w:t xml:space="preserve">Complexity V2</w:t>
      </w:r>
      <w:r>
        <w:t xml:space="preserve"> (in-process) implements the 28-metric suite of Langer (2025), spanning entropy, size, variation and trace-distance families including edit distance and structural variety, plus the directly-follows transition-probability matrix. </w:t>
      </w:r>
      <w:r>
        <w:rPr>
          <w:i/>
        </w:rPr>
        <w:t xml:space="preserve">Limitations:</w:t>
      </w:r>
      <w:r>
        <w:t xml:space="preserve"> some distance metrics are quadratic in the number of variants and become expensive on highly variable logs.</w:t>
      </w:r>
    </w:p>
    <w:p>
      <w:pPr>
        <w:pStyle w:val="BasicText"/>
      </w:pPr>
      <w:r>
        <w:rPr>
          <w:b/>
        </w:rPr>
        <w:t xml:space="preserve">Complexity Over Time</w:t>
      </w:r>
      <w:r>
        <w:t xml:space="preserve">, </w:t>
      </w:r>
      <w:r>
        <w:rPr>
          <w:b/>
        </w:rPr>
        <w:t xml:space="preserve">Complexity V2 Over Time</w:t>
      </w:r>
      <w:r>
        <w:t xml:space="preserve"> and </w:t>
      </w:r>
      <w:r>
        <w:rPr>
          <w:b/>
        </w:rPr>
        <w:t xml:space="preserve">Performance Over Time</w:t>
      </w:r>
      <w:r>
        <w:t xml:space="preserve"> (in-process) slice the log into time windows and score each with the corresponding suite. </w:t>
      </w:r>
      <w:r>
        <w:rPr>
          <w:i/>
        </w:rPr>
        <w:t xml:space="preserve">Parameters:</w:t>
      </w:r>
      <w:r>
        <w:t xml:space="preserve"> window size and overlap. </w:t>
      </w:r>
      <w:r>
        <w:rPr>
          <w:i/>
        </w:rPr>
        <w:t xml:space="preserve">Limitations:</w:t>
      </w:r>
      <w:r>
        <w:t xml:space="preserve"> windows with few cases produce unstable values; the three duplicate their windowing logic (§11.3).</w:t>
      </w:r>
    </w:p>
    <w:p>
      <w:pPr>
        <w:pStyle w:val="BasicText"/>
      </w:pPr>
      <w:r>
        <w:rPr>
          <w:b/>
        </w:rPr>
        <w:t xml:space="preserve">Log Evolution</w:t>
      </w:r>
      <w:r>
        <w:t xml:space="preserve"> (in-process) is descriptive rather than algorithmic: case arrivals against completions, work in progress over time, the changing activity mix, and a dotted chart of every event. </w:t>
      </w:r>
      <w:r>
        <w:rPr>
          <w:i/>
        </w:rPr>
        <w:t xml:space="preserve">Limitations:</w:t>
      </w:r>
      <w:r>
        <w:t xml:space="preserve"> the dotted chart is sampled above a size threshold.</w:t>
      </w:r>
    </w:p>
    <w:p>
      <w:pPr>
        <w:pStyle w:val="BasicText"/>
      </w:pPr>
      <w:r>
        <w:rPr>
          <w:b/>
        </w:rPr>
        <w:t xml:space="preserve">CV4CDD</w:t>
      </w:r>
      <w:r>
        <w:t xml:space="preserve"> (in-process) encodes the log as an image representing behavioural similarity over time and runs a trained object-detection model over it to locate drifts and classify them as sudden, gradual, incremental or recurring (Kraus &amp; van der Aa, 2024, 2025). </w:t>
      </w:r>
      <w:r>
        <w:rPr>
          <w:i/>
        </w:rPr>
        <w:t xml:space="preserve">Parameters:</w:t>
      </w:r>
      <w:r>
        <w:t xml:space="preserve"> the model path or the globally pinned model, window size, detection threshold. </w:t>
      </w:r>
      <w:r>
        <w:rPr>
          <w:i/>
        </w:rPr>
        <w:t xml:space="preserve">Limitations:</w:t>
      </w:r>
      <w:r>
        <w:t xml:space="preserve"> requires a trained model, which is not shipped, so without one every import starts a job that fails (§11.3); accuracy depends on the log resembling the training distribution.</w:t>
      </w:r>
    </w:p>
    <w:p>
      <w:pPr>
        <w:pStyle w:val="BasicText"/>
      </w:pPr>
      <w:r>
        <w:rPr>
          <w:b/>
        </w:rPr>
        <w:t xml:space="preserve">Concept Drift Explainer</w:t>
      </w:r>
      <w:r>
        <w:t xml:space="preserve"> (in-process) takes CV4CDD's drift points, retrieves passages from user-uploaded enterprise documents through a vector store, and asks a hosted language model to rank candidate causes with citations (Schaffner, 2025). </w:t>
      </w:r>
      <w:r>
        <w:rPr>
          <w:i/>
        </w:rPr>
        <w:t xml:space="preserve">Parameters:</w:t>
      </w:r>
      <w:r>
        <w:t xml:space="preserve"> provider credentials, model, index, retrieval depth. </w:t>
      </w:r>
      <w:r>
        <w:rPr>
          <w:i/>
        </w:rPr>
        <w:t xml:space="preserve">Limitations:</w:t>
      </w:r>
      <w:r>
        <w:t xml:space="preserve"> </w:t>
      </w:r>
      <w:r>
        <w:rPr>
          <w:b/>
        </w:rPr>
        <w:t xml:space="preserve">transmits data to an external provider</w:t>
      </w:r>
      <w:r>
        <w:t xml:space="preserve"> and declares itself not confidentiality-safe; explanations are only as good as the uploaded corpus; the hard dependency on CV4CDD means it is cascade-skipped when drift detection fails.</w:t>
      </w:r>
    </w:p>
    <w:p>
      <w:pPr>
        <w:pStyle w:val="BasicText"/>
      </w:pPr>
      <w:r>
        <w:rPr>
          <w:b/>
        </w:rPr>
        <w:t xml:space="preserve">AgentSimulator</w:t>
      </w:r>
      <w:r>
        <w:t xml:space="preserve"> (subprocess) learns each resource's behaviour, working calendars and handover patterns from the log, simulates the process as interacting agents, and generates synthetic logs scored against a held-out slice (Kirchdorfer et al., 2025). </w:t>
      </w:r>
      <w:r>
        <w:rPr>
          <w:i/>
        </w:rPr>
        <w:t xml:space="preserve">Parameters:</w:t>
      </w:r>
      <w:r>
        <w:t xml:space="preserve"> train and test split, number of simulations, agent discovery mode. </w:t>
      </w:r>
      <w:r>
        <w:rPr>
          <w:i/>
        </w:rPr>
        <w:t xml:space="preserve">Limitations:</w:t>
      </w:r>
      <w:r>
        <w:t xml:space="preserve"> runs on its own interpreter with twelve exactly pinned dependencies; the longest-running module in the set.</w:t>
      </w:r>
    </w:p>
    <w:p>
      <w:pPr>
        <w:pStyle w:val="BasicText"/>
      </w:pPr>
      <w:r>
        <w:rPr>
          <w:b/>
        </w:rPr>
        <w:t xml:space="preserve">Actor Performance</w:t>
      </w:r>
      <w:r>
        <w:t xml:space="preserve"> (subprocess, sidecar) builds an event knowledge graph and decomposes waiting time between process steps by actor behaviour, distinguishing direct continuation, continuation after interruption, and handover to an actor who was idle or busy (Klijn et al., 2024). </w:t>
      </w:r>
      <w:r>
        <w:rPr>
          <w:i/>
        </w:rPr>
        <w:t xml:space="preserve">Limitations:</w:t>
      </w:r>
      <w:r>
        <w:t xml:space="preserve"> requires the graph-database sidecar, without which the module shows a setup screen; it declares no import subscription, so an installation without the sidecar produces no failed jobs.</w:t>
      </w:r>
    </w:p>
    <w:p>
      <w:pPr>
        <w:pStyle w:val="BasicText"/>
      </w:pPr>
      <w:r>
        <w:rPr>
          <w:b/>
        </w:rPr>
        <w:t xml:space="preserve">Alpha Miner (Java)</w:t>
      </w:r>
      <w:r>
        <w:t xml:space="preserve"> (JVM runtime) implements the classic Alpha algorithm in Java and ships as a fat jar (van der Aalst et al., 2004), exposing the Petri net as a typed dataset rendered by the platform's generic graph visualisation. </w:t>
      </w:r>
      <w:r>
        <w:rPr>
          <w:i/>
        </w:rPr>
        <w:t xml:space="preserve">Limitations:</w:t>
      </w:r>
      <w:r>
        <w:t xml:space="preserve"> analytically redundant with Discovery; it exists as the reference implementation of the polyglot runtime.</w:t>
      </w:r>
    </w:p>
    <w:p>
      <w:pPr>
        <w:pStyle w:val="BasicText"/>
      </w:pPr>
      <w:r>
        <w:rPr>
          <w:b/>
        </w:rPr>
        <w:t xml:space="preserve">Process Comparison</w:t>
      </w:r>
      <w:r>
        <w:t xml:space="preserve"> (in-process) compares two filtered views: an overlaid DFG diff, variant differences, similarity by earth mover's distance and footprints, and per-activity frequency changes. </w:t>
      </w:r>
      <w:r>
        <w:rPr>
          <w:i/>
        </w:rPr>
        <w:t xml:space="preserve">Limitations:</w:t>
      </w:r>
      <w:r>
        <w:t xml:space="preserve"> the diff is hard to read when the two views share few activities.</w:t>
      </w:r>
    </w:p>
    <w:p>
      <w:pPr>
        <w:pStyle w:val="BasicText"/>
      </w:pPr>
      <w:r>
        <w:rPr>
          <w:b/>
        </w:rPr>
        <w:t xml:space="preserve">Pcomp</w:t>
      </w:r>
      <w:r>
        <w:t xml:space="preserve"> (in-process) tests whether two logs differ in a statistically meaningful way, using earth mover's distance with a permutation or bootstrap test (Pitsch et al., 2025). </w:t>
      </w:r>
      <w:r>
        <w:rPr>
          <w:i/>
        </w:rPr>
        <w:t xml:space="preserve">Parameters:</w:t>
      </w:r>
      <w:r>
        <w:t xml:space="preserve"> test type, number of resamples, distance dimension. </w:t>
      </w:r>
      <w:r>
        <w:rPr>
          <w:i/>
        </w:rPr>
        <w:t xml:space="preserve">Limitations:</w:t>
      </w:r>
      <w:r>
        <w:t xml:space="preserve"> resampling is expensive on large logs, and a p-value answers whether a difference exists, not whether it matters.</w:t>
      </w:r>
    </w:p>
    <w:p>
      <w:pPr>
        <w:pStyle w:val="Heading8"/>
      </w:pPr>
      <w:r>
        <w:t xml:space="preserve">Defect and Resolution Log</w:t>
      </w:r>
    </w:p>
    <w:p>
      <w:pPr>
        <w:pStyle w:val="BasicText"/>
      </w:pPr>
      <w:r>
        <w:t xml:space="preserve">The significant problems encountered during the project, with the section documenting the resulting design consequence. Roughly chronological.</w:t>
      </w:r>
    </w:p>
    <w:p>
      <w:pPr>
        <w:pStyle w:val="Caption"/>
      </w:pPr>
      <w:r>
        <w:t xml:space="preserve">Tab. </w:t>
      </w:r>
      <w:fldSimple w:instr=" SEQ Tab. \* ARABIC ">
        <w:r>
          <w:t>1</w:t>
        </w:r>
      </w:fldSimple>
      <w:r>
        <w:t xml:space="preserve">: </w:t>
      </w:r>
      <w:r>
        <w:t xml:space="preserve">Defects, root causes and resolutions.</w:t>
      </w:r>
    </w:p>
    <w:tbl>
      <w:tblPr>
        <w:tblStyle w:val="TableGrid"/>
        <w:tblW w:w="8500" w:type="dxa"/>
        <w:tblLayout w:type="fixed"/>
        <w:tblLook w:val="04A0" w:firstRow="1" w:lastRow="0" w:firstColumn="1" w:lastColumn="0" w:noHBand="0" w:noVBand="1"/>
      </w:tblPr>
      <w:tblGrid>
        <w:gridCol w:w="4236"/>
        <w:gridCol w:w="3558"/>
        <w:gridCol w:w="706"/>
      </w:tblGrid>
      <w:tr>
        <w:trPr>
          <w:tblHeader/>
        </w:trPr>
        <w:tc>
          <w:tcPr>
            <w:tcW w:w="4236" w:type="dxa"/>
            <w:shd w:val="clear" w:color="auto" w:fill="F2F2F2"/>
          </w:tcPr>
          <w:p>
            <w:pPr>
              <w:pStyle w:val="BasicTextTable"/>
            </w:pPr>
            <w:r>
              <w:rPr>
                <w:b/>
              </w:rPr>
              <w:t xml:space="preserve">Symptom and root cause</w:t>
            </w:r>
          </w:p>
        </w:tc>
        <w:tc>
          <w:tcPr>
            <w:tcW w:w="3558" w:type="dxa"/>
            <w:shd w:val="clear" w:color="auto" w:fill="F2F2F2"/>
          </w:tcPr>
          <w:p>
            <w:pPr>
              <w:pStyle w:val="BasicTextTable"/>
            </w:pPr>
            <w:r>
              <w:rPr>
                <w:b/>
              </w:rPr>
              <w:t xml:space="preserve">Resolution</w:t>
            </w:r>
          </w:p>
        </w:tc>
        <w:tc>
          <w:tcPr>
            <w:tcW w:w="706" w:type="dxa"/>
            <w:shd w:val="clear" w:color="auto" w:fill="F2F2F2"/>
          </w:tcPr>
          <w:p>
            <w:pPr>
              <w:pStyle w:val="BasicTextTable"/>
            </w:pPr>
            <w:r>
              <w:rPr>
                <w:b/>
              </w:rPr>
              <w:t xml:space="preserve">See</w:t>
            </w:r>
          </w:p>
        </w:tc>
      </w:tr>
      <w:tr>
        <w:tc>
          <w:tcPr>
            <w:tcW w:w="4236" w:type="dxa"/>
          </w:tcPr>
          <w:p>
            <w:pPr>
              <w:pStyle w:val="BasicTextTable"/>
            </w:pPr>
            <w:r>
              <w:t xml:space="preserve">A valid XES log imported with the wrong event element detected, because detection sampled only the first 200 records</w:t>
            </w:r>
          </w:p>
        </w:tc>
        <w:tc>
          <w:tcPr>
            <w:tcW w:w="3558" w:type="dxa"/>
          </w:tcPr>
          <w:p>
            <w:pPr>
              <w:pStyle w:val="BasicTextTable"/>
            </w:pPr>
            <w:r>
              <w:t xml:space="preserve">Detection widened and made schema-aware rather than sample-based</w:t>
            </w:r>
          </w:p>
        </w:tc>
        <w:tc>
          <w:tcPr>
            <w:tcW w:w="706" w:type="dxa"/>
          </w:tcPr>
          <w:p>
            <w:pPr>
              <w:pStyle w:val="BasicTextTable"/>
            </w:pPr>
            <w:r>
              <w:t xml:space="preserve">§4.6</w:t>
            </w:r>
          </w:p>
        </w:tc>
      </w:tr>
      <w:tr>
        <w:tc>
          <w:tcPr>
            <w:tcW w:w="4236" w:type="dxa"/>
          </w:tcPr>
          <w:p>
            <w:pPr>
              <w:pStyle w:val="BasicTextTable"/>
            </w:pPr>
            <w:r>
              <w:t xml:space="preserve">First boot appeared to hang for minutes: per-module dependency resolution, dominated by one module's TensorFlow stack</w:t>
            </w:r>
          </w:p>
        </w:tc>
        <w:tc>
          <w:tcPr>
            <w:tcW w:w="3558" w:type="dxa"/>
          </w:tcPr>
          <w:p>
            <w:pPr>
              <w:pStyle w:val="BasicTextTable"/>
            </w:pPr>
            <w:r>
              <w:t xml:space="preserve">Ten-minute health-check grace period, dependency hash caching, explicit warning in the setup documentation</w:t>
            </w:r>
          </w:p>
        </w:tc>
        <w:tc>
          <w:tcPr>
            <w:tcW w:w="706" w:type="dxa"/>
          </w:tcPr>
          <w:p>
            <w:pPr>
              <w:pStyle w:val="BasicTextTable"/>
            </w:pPr>
            <w:r>
              <w:t xml:space="preserve">§5.3, §7.2</w:t>
            </w:r>
          </w:p>
        </w:tc>
      </w:tr>
      <w:tr>
        <w:tc>
          <w:tcPr>
            <w:tcW w:w="4236" w:type="dxa"/>
          </w:tcPr>
          <w:p>
            <w:pPr>
              <w:pStyle w:val="BasicTextTable"/>
            </w:pPr>
            <w:r>
              <w:t xml:space="preserve">Image build failed at </w:t>
            </w:r>
            <w:r>
              <w:rPr>
                <w:rFonts w:ascii="Courier New" w:hAnsi="Courier New"/>
                <w:sz w:val="20"/>
              </w:rPr>
              <w:t xml:space="preserve">uv sync</w:t>
            </w:r>
            <w:r>
              <w:t xml:space="preserve">: lock-file writes fail on macOS Docker Desktop bind mounts, which restrict atomic renames</w:t>
            </w:r>
          </w:p>
        </w:tc>
        <w:tc>
          <w:tcPr>
            <w:tcW w:w="3558" w:type="dxa"/>
          </w:tcPr>
          <w:p>
            <w:pPr>
              <w:pStyle w:val="BasicTextTable"/>
            </w:pPr>
            <w:r>
              <w:t xml:space="preserve">Installer switched to </w:t>
            </w:r>
            <w:r>
              <w:rPr>
                <w:rFonts w:ascii="Courier New" w:hAnsi="Courier New"/>
                <w:sz w:val="20"/>
              </w:rPr>
              <w:t xml:space="preserve">uv venv</w:t>
            </w:r>
            <w:r>
              <w:t xml:space="preserve"> plus </w:t>
            </w:r>
            <w:r>
              <w:rPr>
                <w:rFonts w:ascii="Courier New" w:hAnsi="Courier New"/>
                <w:sz w:val="20"/>
              </w:rPr>
              <w:t xml:space="preserve">uv pip install</w:t>
            </w:r>
            <w:r>
              <w:t xml:space="preserve">, which writes no lock file</w:t>
            </w:r>
          </w:p>
        </w:tc>
        <w:tc>
          <w:tcPr>
            <w:tcW w:w="706" w:type="dxa"/>
          </w:tcPr>
          <w:p>
            <w:pPr>
              <w:pStyle w:val="BasicTextTable"/>
            </w:pPr>
            <w:r>
              <w:t xml:space="preserve">§4.10</w:t>
            </w:r>
          </w:p>
        </w:tc>
      </w:tr>
      <w:tr>
        <w:tc>
          <w:tcPr>
            <w:tcW w:w="4236" w:type="dxa"/>
          </w:tcPr>
          <w:p>
            <w:pPr>
              <w:pStyle w:val="BasicTextTable"/>
            </w:pPr>
            <w:r>
              <w:t xml:space="preserve">Identity provider container never became healthy: the health check used a bash-only construct under a shell that was not bash</w:t>
            </w:r>
          </w:p>
        </w:tc>
        <w:tc>
          <w:tcPr>
            <w:tcW w:w="3558" w:type="dxa"/>
          </w:tcPr>
          <w:p>
            <w:pPr>
              <w:pStyle w:val="BasicTextTable"/>
            </w:pPr>
            <w:r>
              <w:t xml:space="preserve">Container shell pointed at bash</w:t>
            </w:r>
          </w:p>
        </w:tc>
        <w:tc>
          <w:tcPr>
            <w:tcW w:w="706" w:type="dxa"/>
          </w:tcPr>
          <w:p>
            <w:pPr>
              <w:pStyle w:val="BasicTextTable"/>
            </w:pPr>
            <w:r>
              <w:t xml:space="preserve">§9.4</w:t>
            </w:r>
          </w:p>
        </w:tc>
      </w:tr>
      <w:tr>
        <w:tc>
          <w:tcPr>
            <w:tcW w:w="4236" w:type="dxa"/>
          </w:tcPr>
          <w:p>
            <w:pPr>
              <w:pStyle w:val="BasicTextTable"/>
            </w:pPr>
            <w:r>
              <w:t xml:space="preserve">Login looped after a successful sign-in: the issuer was the container name rather than the public URL, so minted tokens did not match</w:t>
            </w:r>
          </w:p>
        </w:tc>
        <w:tc>
          <w:tcPr>
            <w:tcW w:w="3558" w:type="dxa"/>
          </w:tcPr>
          <w:p>
            <w:pPr>
              <w:pStyle w:val="BasicTextTable"/>
            </w:pPr>
            <w:r>
              <w:t xml:space="preserve">Issuer set to the public origin; verification step 3 of §7.5 catches it in one command</w:t>
            </w:r>
          </w:p>
        </w:tc>
        <w:tc>
          <w:tcPr>
            <w:tcW w:w="706" w:type="dxa"/>
          </w:tcPr>
          <w:p>
            <w:pPr>
              <w:pStyle w:val="BasicTextTable"/>
            </w:pPr>
            <w:r>
              <w:t xml:space="preserve">§7.5</w:t>
            </w:r>
          </w:p>
        </w:tc>
      </w:tr>
      <w:tr>
        <w:tc>
          <w:tcPr>
            <w:tcW w:w="4236" w:type="dxa"/>
          </w:tcPr>
          <w:p>
            <w:pPr>
              <w:pStyle w:val="BasicTextTable"/>
            </w:pPr>
            <w:r>
              <w:t xml:space="preserve">Reverse proxy answered 502 after login: the session cookie carried the full token and grew past 4 KB</w:t>
            </w:r>
          </w:p>
        </w:tc>
        <w:tc>
          <w:tcPr>
            <w:tcW w:w="3558" w:type="dxa"/>
          </w:tcPr>
          <w:p>
            <w:pPr>
              <w:pStyle w:val="BasicTextTable"/>
            </w:pPr>
            <w:r>
              <w:t xml:space="preserve">Identity token dropped from the cookie, then a server-side session store keyed by an opaque identifier</w:t>
            </w:r>
          </w:p>
        </w:tc>
        <w:tc>
          <w:tcPr>
            <w:tcW w:w="706" w:type="dxa"/>
          </w:tcPr>
          <w:p>
            <w:pPr>
              <w:pStyle w:val="BasicTextTable"/>
            </w:pPr>
            <w:r>
              <w:t xml:space="preserve">§9.4</w:t>
            </w:r>
          </w:p>
        </w:tc>
      </w:tr>
      <w:tr>
        <w:tc>
          <w:tcPr>
            <w:tcW w:w="4236" w:type="dxa"/>
          </w:tcPr>
          <w:p>
            <w:pPr>
              <w:pStyle w:val="BasicTextTable"/>
            </w:pPr>
            <w:r>
              <w:t xml:space="preserve">Login looped in Safari but not Chrome: Safari evicts oversized chunked cookies where Chrome tolerates them</w:t>
            </w:r>
          </w:p>
        </w:tc>
        <w:tc>
          <w:tcPr>
            <w:tcW w:w="3558" w:type="dxa"/>
          </w:tcPr>
          <w:p>
            <w:pPr>
              <w:pStyle w:val="BasicTextTable"/>
            </w:pPr>
            <w:r>
              <w:t xml:space="preserve">Server-side session store made mandatory in production; verification step 4 requires testing in Safari</w:t>
            </w:r>
          </w:p>
        </w:tc>
        <w:tc>
          <w:tcPr>
            <w:tcW w:w="706" w:type="dxa"/>
          </w:tcPr>
          <w:p>
            <w:pPr>
              <w:pStyle w:val="BasicTextTable"/>
            </w:pPr>
            <w:r>
              <w:t xml:space="preserve">§7.5</w:t>
            </w:r>
          </w:p>
        </w:tc>
      </w:tr>
      <w:tr>
        <w:tc>
          <w:tcPr>
            <w:tcW w:w="4236" w:type="dxa"/>
          </w:tcPr>
          <w:p>
            <w:pPr>
              <w:pStyle w:val="BasicTextTable"/>
            </w:pPr>
            <w:r>
              <w:t xml:space="preserve">University identity provider rejected the token exchange with </w:t>
            </w:r>
            <w:r>
              <w:rPr>
                <w:rFonts w:ascii="Courier New" w:hAnsi="Courier New"/>
                <w:sz w:val="20"/>
              </w:rPr>
              <w:t xml:space="preserve">invalid_client</w:t>
            </w:r>
            <w:r>
              <w:t xml:space="preserve">: it requires </w:t>
            </w:r>
            <w:r>
              <w:rPr>
                <w:rFonts w:ascii="Courier New" w:hAnsi="Courier New"/>
                <w:sz w:val="20"/>
              </w:rPr>
              <w:t xml:space="preserve">client_secret_basic</w:t>
            </w:r>
          </w:p>
        </w:tc>
        <w:tc>
          <w:tcPr>
            <w:tcW w:w="3558" w:type="dxa"/>
          </w:tcPr>
          <w:p>
            <w:pPr>
              <w:pStyle w:val="BasicTextTable"/>
            </w:pPr>
            <w:r>
              <w:t xml:space="preserve">Configuration script sets the authentication method explicitly. The provider must be deleted and recreated, because Keycloak ignores the provider type on update</w:t>
            </w:r>
          </w:p>
        </w:tc>
        <w:tc>
          <w:tcPr>
            <w:tcW w:w="706" w:type="dxa"/>
          </w:tcPr>
          <w:p>
            <w:pPr>
              <w:pStyle w:val="BasicTextTable"/>
            </w:pPr>
            <w:r>
              <w:t xml:space="preserve">§7.4</w:t>
            </w:r>
          </w:p>
        </w:tc>
      </w:tr>
      <w:tr>
        <w:tc>
          <w:tcPr>
            <w:tcW w:w="4236" w:type="dxa"/>
          </w:tcPr>
          <w:p>
            <w:pPr>
              <w:pStyle w:val="BasicTextTable"/>
            </w:pPr>
            <w:r>
              <w:t xml:space="preserve">Live job progress never updated in production while everything else worked: the edge proxy does not carry WebSocket upgrades, so the handshake arrived as a plain </w:t>
            </w:r>
            <w:r>
              <w:rPr>
                <w:rFonts w:ascii="Courier New" w:hAnsi="Courier New"/>
                <w:sz w:val="20"/>
              </w:rPr>
              <w:t xml:space="preserve">GET</w:t>
            </w:r>
            <w:r>
              <w:t xml:space="preserve"> and 404'd</w:t>
            </w:r>
          </w:p>
        </w:tc>
        <w:tc>
          <w:tcPr>
            <w:tcW w:w="3558" w:type="dxa"/>
          </w:tcPr>
          <w:p>
            <w:pPr>
              <w:pStyle w:val="BasicTextTable"/>
            </w:pPr>
            <w:r>
              <w:t xml:space="preserve">Both live streams migrated to Server-Sent Events over </w:t>
            </w:r>
            <w:r>
              <w:rPr>
                <w:rFonts w:ascii="Courier New" w:hAnsi="Courier New"/>
                <w:sz w:val="20"/>
              </w:rPr>
              <w:t xml:space="preserve">fetch</w:t>
            </w:r>
            <w:r>
              <w:t xml:space="preserve">; authentication moved from the query string to a header</w:t>
            </w:r>
          </w:p>
        </w:tc>
        <w:tc>
          <w:tcPr>
            <w:tcW w:w="706" w:type="dxa"/>
          </w:tcPr>
          <w:p>
            <w:pPr>
              <w:pStyle w:val="BasicTextTable"/>
            </w:pPr>
            <w:r>
              <w:t xml:space="preserve">§4.10</w:t>
            </w:r>
          </w:p>
        </w:tc>
      </w:tr>
      <w:tr>
        <w:tc>
          <w:tcPr>
            <w:tcW w:w="4236" w:type="dxa"/>
          </w:tcPr>
          <w:p>
            <w:pPr>
              <w:pStyle w:val="BasicTextTable"/>
            </w:pPr>
            <w:r>
              <w:t xml:space="preserve">Gateway timeout on the deployed instance: long request paths held open behind two proxies</w:t>
            </w:r>
          </w:p>
        </w:tc>
        <w:tc>
          <w:tcPr>
            <w:tcW w:w="3558" w:type="dxa"/>
          </w:tcPr>
          <w:p>
            <w:pPr>
              <w:pStyle w:val="BasicTextTable"/>
            </w:pPr>
            <w:r>
              <w:t xml:space="preserve">Long operations moved behind the job runtime; proxy timeouts aligned</w:t>
            </w:r>
          </w:p>
        </w:tc>
        <w:tc>
          <w:tcPr>
            <w:tcW w:w="706" w:type="dxa"/>
          </w:tcPr>
          <w:p>
            <w:pPr>
              <w:pStyle w:val="BasicTextTable"/>
            </w:pPr>
            <w:r>
              <w:t xml:space="preserve">§4.7</w:t>
            </w:r>
          </w:p>
        </w:tc>
      </w:tr>
      <w:tr>
        <w:tc>
          <w:tcPr>
            <w:tcW w:w="4236" w:type="dxa"/>
          </w:tcPr>
          <w:p>
            <w:pPr>
              <w:pStyle w:val="BasicTextTable"/>
            </w:pPr>
            <w:r>
              <w:t xml:space="preserve">Bridged worker died without an error: a JSON-RPC message exceeded the stream reader's 64 KiB line limit, raising a buffer error that tore down the connection</w:t>
            </w:r>
          </w:p>
        </w:tc>
        <w:tc>
          <w:tcPr>
            <w:tcW w:w="3558" w:type="dxa"/>
          </w:tcPr>
          <w:p>
            <w:pPr>
              <w:pStyle w:val="BasicTextTable"/>
            </w:pPr>
            <w:r>
              <w:t xml:space="preserve">Limit raised well past any control message; DataFrames moved to a Parquet handoff so bulk data never crosses the socket</w:t>
            </w:r>
          </w:p>
        </w:tc>
        <w:tc>
          <w:tcPr>
            <w:tcW w:w="706" w:type="dxa"/>
          </w:tcPr>
          <w:p>
            <w:pPr>
              <w:pStyle w:val="BasicTextTable"/>
            </w:pPr>
            <w:r>
              <w:t xml:space="preserve">§4.10, §5.4</w:t>
            </w:r>
          </w:p>
        </w:tc>
      </w:tr>
      <w:tr>
        <w:tc>
          <w:tcPr>
            <w:tcW w:w="4236" w:type="dxa"/>
          </w:tcPr>
          <w:p>
            <w:pPr>
              <w:pStyle w:val="BasicTextTable"/>
            </w:pPr>
            <w:r>
              <w:t xml:space="preserve">Bridged worker survived its parent, holding a socket and an environment</w:t>
            </w:r>
          </w:p>
        </w:tc>
        <w:tc>
          <w:tcPr>
            <w:tcW w:w="3558" w:type="dxa"/>
          </w:tcPr>
          <w:p>
            <w:pPr>
              <w:pStyle w:val="BasicTextTable"/>
            </w:pPr>
            <w:r>
              <w:t xml:space="preserve">Parent-death guard made mandatory in the protocol, with a regression test</w:t>
            </w:r>
          </w:p>
        </w:tc>
        <w:tc>
          <w:tcPr>
            <w:tcW w:w="706" w:type="dxa"/>
          </w:tcPr>
          <w:p>
            <w:pPr>
              <w:pStyle w:val="BasicTextTable"/>
            </w:pPr>
            <w:r>
              <w:t xml:space="preserve">§5.5</w:t>
            </w:r>
          </w:p>
        </w:tc>
      </w:tr>
      <w:tr>
        <w:tc>
          <w:tcPr>
            <w:tcW w:w="4236" w:type="dxa"/>
          </w:tcPr>
          <w:p>
            <w:pPr>
              <w:pStyle w:val="BasicTextTable"/>
            </w:pPr>
            <w:r>
              <w:t xml:space="preserve">A module crash disabled that module until the next platform restart</w:t>
            </w:r>
          </w:p>
        </w:tc>
        <w:tc>
          <w:tcPr>
            <w:tcW w:w="3558" w:type="dxa"/>
          </w:tcPr>
          <w:p>
            <w:pPr>
              <w:pStyle w:val="BasicTextTable"/>
            </w:pPr>
            <w:r>
              <w:t xml:space="preserve">Backed-off respawn with a bounded attempt count, covered by a regression test</w:t>
            </w:r>
          </w:p>
        </w:tc>
        <w:tc>
          <w:tcPr>
            <w:tcW w:w="706" w:type="dxa"/>
          </w:tcPr>
          <w:p>
            <w:pPr>
              <w:pStyle w:val="BasicTextTable"/>
            </w:pPr>
            <w:r>
              <w:t xml:space="preserve">§4.10</w:t>
            </w:r>
          </w:p>
        </w:tc>
      </w:tr>
      <w:tr>
        <w:tc>
          <w:tcPr>
            <w:tcW w:w="4236" w:type="dxa"/>
          </w:tcPr>
          <w:p>
            <w:pPr>
              <w:pStyle w:val="BasicTextTable"/>
            </w:pPr>
            <w:r>
              <w:t xml:space="preserve">A module environment built on the host crashed on import inside the container, having been built under a different interpreter</w:t>
            </w:r>
          </w:p>
        </w:tc>
        <w:tc>
          <w:tcPr>
            <w:tcW w:w="3558" w:type="dxa"/>
          </w:tcPr>
          <w:p>
            <w:pPr>
              <w:pStyle w:val="BasicTextTable"/>
            </w:pPr>
            <w:r>
              <w:t xml:space="preserve">The platform's Python version folded into the dependency hash, so such an environment rebuilds automatically</w:t>
            </w:r>
          </w:p>
        </w:tc>
        <w:tc>
          <w:tcPr>
            <w:tcW w:w="706" w:type="dxa"/>
          </w:tcPr>
          <w:p>
            <w:pPr>
              <w:pStyle w:val="BasicTextTable"/>
            </w:pPr>
            <w:r>
              <w:t xml:space="preserve">§5.3</w:t>
            </w:r>
          </w:p>
        </w:tc>
      </w:tr>
      <w:tr>
        <w:tc>
          <w:tcPr>
            <w:tcW w:w="4236" w:type="dxa"/>
          </w:tcPr>
          <w:p>
            <w:pPr>
              <w:pStyle w:val="BasicTextTable"/>
            </w:pPr>
            <w:r>
              <w:t xml:space="preserve">A panel built locally and failed in the browser: the import allow-list had been edited in one of its two consumers only</w:t>
            </w:r>
          </w:p>
        </w:tc>
        <w:tc>
          <w:tcPr>
            <w:tcW w:w="3558" w:type="dxa"/>
          </w:tcPr>
          <w:p>
            <w:pPr>
              <w:pStyle w:val="BasicTextTable"/>
            </w:pPr>
            <w:r>
              <w:t xml:space="preserve">Parity test asserting the bundler's external list and the runtime installer's list never diverge</w:t>
            </w:r>
          </w:p>
        </w:tc>
        <w:tc>
          <w:tcPr>
            <w:tcW w:w="706" w:type="dxa"/>
          </w:tcPr>
          <w:p>
            <w:pPr>
              <w:pStyle w:val="BasicTextTable"/>
            </w:pPr>
            <w:r>
              <w:t xml:space="preserve">§5.7, §9.3</w:t>
            </w:r>
          </w:p>
        </w:tc>
      </w:tr>
      <w:tr>
        <w:tc>
          <w:tcPr>
            <w:tcW w:w="4236" w:type="dxa"/>
          </w:tcPr>
          <w:p>
            <w:pPr>
              <w:pStyle w:val="BasicTextTable"/>
            </w:pPr>
            <w:r>
              <w:t xml:space="preserve">Disk on the deployed instance grew far beyond the imported data: the first object-storage implementation was a write-through mirror whose local copy was never evicted, and the largest artefacts bypassed synchronisation</w:t>
            </w:r>
          </w:p>
        </w:tc>
        <w:tc>
          <w:tcPr>
            <w:tcW w:w="3558" w:type="dxa"/>
          </w:tcPr>
          <w:p>
            <w:pPr>
              <w:pStyle w:val="BasicTextTable"/>
            </w:pPr>
            <w:r>
              <w:t xml:space="preserve">Four-phase redesign making object storage authoritative and local disk a bounded LRU cache, closing the bypass holes, enforcing the quota, making hydration partial</w:t>
            </w:r>
          </w:p>
        </w:tc>
        <w:tc>
          <w:tcPr>
            <w:tcW w:w="706" w:type="dxa"/>
          </w:tcPr>
          <w:p>
            <w:pPr>
              <w:pStyle w:val="BasicTextTable"/>
            </w:pPr>
            <w:r>
              <w:t xml:space="preserve">§4.6, §9.4</w:t>
            </w:r>
          </w:p>
        </w:tc>
      </w:tr>
      <w:tr>
        <w:tc>
          <w:tcPr>
            <w:tcW w:w="4236" w:type="dxa"/>
          </w:tcPr>
          <w:p>
            <w:pPr>
              <w:pStyle w:val="BasicTextTable"/>
            </w:pPr>
            <w:r>
              <w:t xml:space="preserve">Dashboard cards rendered empty after a board change: card state and grid geometry were stored separately and could disagree</w:t>
            </w:r>
          </w:p>
        </w:tc>
        <w:tc>
          <w:tcPr>
            <w:tcW w:w="3558" w:type="dxa"/>
          </w:tcPr>
          <w:p>
            <w:pPr>
              <w:pStyle w:val="BasicTextTable"/>
            </w:pPr>
            <w:r>
              <w:t xml:space="preserve">Board state consolidated into a single JSON blob written atomically</w:t>
            </w:r>
          </w:p>
        </w:tc>
        <w:tc>
          <w:tcPr>
            <w:tcW w:w="706" w:type="dxa"/>
          </w:tcPr>
          <w:p>
            <w:pPr>
              <w:pStyle w:val="BasicTextTable"/>
            </w:pPr>
            <w:r>
              <w:t xml:space="preserve">§4.9</w:t>
            </w:r>
          </w:p>
        </w:tc>
      </w:tr>
      <w:tr>
        <w:tc>
          <w:tcPr>
            <w:tcW w:w="4236" w:type="dxa"/>
          </w:tcPr>
          <w:p>
            <w:pPr>
              <w:pStyle w:val="BasicTextTable"/>
            </w:pPr>
            <w:r>
              <w:t xml:space="preserve">Every import produced a failed job on a fresh deployment: the drift-detection module is enabled by default and subscribes to the import event, but no trained model ships with it</w:t>
            </w:r>
          </w:p>
        </w:tc>
        <w:tc>
          <w:tcPr>
            <w:tcW w:w="3558" w:type="dxa"/>
          </w:tcPr>
          <w:p>
            <w:pPr>
              <w:pStyle w:val="BasicTextTable"/>
            </w:pPr>
            <w:r>
              <w:t xml:space="preserve">Global model pinning added as an administrative action and documented. </w:t>
            </w:r>
            <w:r>
              <w:rPr>
                <w:b/>
              </w:rPr>
              <w:t xml:space="preserve">The proper fix, skipping cleanly when no model is configured, is not done</w:t>
            </w:r>
          </w:p>
        </w:tc>
        <w:tc>
          <w:tcPr>
            <w:tcW w:w="706" w:type="dxa"/>
          </w:tcPr>
          <w:p>
            <w:pPr>
              <w:pStyle w:val="BasicTextTable"/>
            </w:pPr>
            <w:r>
              <w:t xml:space="preserve">§7.4, §11.3</w:t>
            </w:r>
          </w:p>
        </w:tc>
      </w:tr>
      <w:tr>
        <w:tc>
          <w:tcPr>
            <w:tcW w:w="4236" w:type="dxa"/>
          </w:tcPr>
          <w:p>
            <w:pPr>
              <w:pStyle w:val="BasicTextTable"/>
            </w:pPr>
            <w:r>
              <w:t xml:space="preserve">Platform stopped slowly: bridged workers and offloaded processes were not part of the shutdown sequence</w:t>
            </w:r>
          </w:p>
        </w:tc>
        <w:tc>
          <w:tcPr>
            <w:tcW w:w="3558" w:type="dxa"/>
          </w:tcPr>
          <w:p>
            <w:pPr>
              <w:pStyle w:val="BasicTextTable"/>
            </w:pPr>
            <w:r>
              <w:t xml:space="preserve">Child-process supervision with an explicit shutdown path, covered by a test</w:t>
            </w:r>
          </w:p>
        </w:tc>
        <w:tc>
          <w:tcPr>
            <w:tcW w:w="706" w:type="dxa"/>
          </w:tcPr>
          <w:p>
            <w:pPr>
              <w:pStyle w:val="BasicTextTable"/>
            </w:pPr>
            <w:r>
              <w:t xml:space="preserve">§4.7</w:t>
            </w:r>
          </w:p>
        </w:tc>
      </w:tr>
      <w:tr>
        <w:tc>
          <w:tcPr>
            <w:tcW w:w="4236" w:type="dxa"/>
          </w:tcPr>
          <w:p>
            <w:pPr>
              <w:pStyle w:val="BasicTextTable"/>
            </w:pPr>
            <w:r>
              <w:t xml:space="preserve">External vector store rejected writes: after a configuration change the index dimension no longer matched the embedding model</w:t>
            </w:r>
          </w:p>
        </w:tc>
        <w:tc>
          <w:tcPr>
            <w:tcW w:w="3558" w:type="dxa"/>
          </w:tcPr>
          <w:p>
            <w:pPr>
              <w:pStyle w:val="BasicTextTable"/>
            </w:pPr>
            <w:r>
              <w:t xml:space="preserve">Documented as a module-level operational step; the platform does not manage third-party service state</w:t>
            </w:r>
          </w:p>
        </w:tc>
        <w:tc>
          <w:tcPr>
            <w:tcW w:w="706" w:type="dxa"/>
          </w:tcPr>
          <w:p>
            <w:pPr>
              <w:pStyle w:val="BasicTextTable"/>
            </w:pPr>
            <w:r>
              <w:t xml:space="preserve">§6.5</w:t>
            </w:r>
          </w:p>
        </w:tc>
      </w:tr>
      <w:tr>
        <w:tc>
          <w:tcPr>
            <w:tcW w:w="4236" w:type="dxa"/>
          </w:tcPr>
          <w:p>
            <w:pPr>
              <w:pStyle w:val="BasicTextTable"/>
            </w:pPr>
            <w:r>
              <w:t xml:space="preserve">A user could remove a module the deployment needed, because installation is per user by design and had no override</w:t>
            </w:r>
          </w:p>
        </w:tc>
        <w:tc>
          <w:tcPr>
            <w:tcW w:w="3558" w:type="dxa"/>
          </w:tcPr>
          <w:p>
            <w:pPr>
              <w:pStyle w:val="BasicTextTable"/>
            </w:pPr>
            <w:r>
              <w:t xml:space="preserve">Module policy: an administrator can pin a module as globally enabled or locked</w:t>
            </w:r>
          </w:p>
        </w:tc>
        <w:tc>
          <w:tcPr>
            <w:tcW w:w="706" w:type="dxa"/>
          </w:tcPr>
          <w:p>
            <w:pPr>
              <w:pStyle w:val="BasicTextTable"/>
            </w:pPr>
            <w:r>
              <w:t xml:space="preserve">§4.4</w:t>
            </w:r>
          </w:p>
        </w:tc>
      </w:tr>
    </w:tbl>
    <w:p>
      <w:pPr>
        <w:pStyle w:val="BasicText"/>
      </w:pPr>
    </w:p>
    <w:p>
      <w:pPr>
        <w:pStyle w:val="Heading8"/>
      </w:pPr>
      <w:r>
        <w:t xml:space="preserve">Glossary</w:t>
      </w:r>
    </w:p>
    <w:p>
      <w:pPr>
        <w:pStyle w:val="BasicText"/>
      </w:pPr>
      <w:r>
        <w:rPr>
          <w:b/>
        </w:rPr>
        <w:t xml:space="preserve">Activity</w:t>
      </w:r>
      <w:r>
        <w:t xml:space="preserve">: the label identifying what happened in an event. </w:t>
      </w:r>
      <w:r>
        <w:rPr>
          <w:b/>
        </w:rPr>
        <w:t xml:space="preserve">Case</w:t>
      </w:r>
      <w:r>
        <w:t xml:space="preserve">: one process instance. </w:t>
      </w:r>
      <w:r>
        <w:rPr>
          <w:b/>
        </w:rPr>
        <w:t xml:space="preserve">Event</w:t>
      </w:r>
      <w:r>
        <w:t xml:space="preserve">: one recorded occurrence, minimally a case identifier, an activity and a timestamp. </w:t>
      </w:r>
      <w:r>
        <w:rPr>
          <w:b/>
        </w:rPr>
        <w:t xml:space="preserve">Trace</w:t>
      </w:r>
      <w:r>
        <w:t xml:space="preserve">: the ordered sequence of events belonging to one case. </w:t>
      </w:r>
      <w:r>
        <w:rPr>
          <w:b/>
        </w:rPr>
        <w:t xml:space="preserve">Variant</w:t>
      </w:r>
      <w:r>
        <w:t xml:space="preserve">: the set of traces sharing the same activity sequence. </w:t>
      </w:r>
      <w:r>
        <w:rPr>
          <w:b/>
        </w:rPr>
        <w:t xml:space="preserve">Resource</w:t>
      </w:r>
      <w:r>
        <w:t xml:space="preserve">: the actor, human or system, that executed an event.</w:t>
      </w:r>
    </w:p>
    <w:p>
      <w:pPr>
        <w:pStyle w:val="BasicText"/>
      </w:pPr>
      <w:r>
        <w:rPr>
          <w:b/>
        </w:rPr>
        <w:t xml:space="preserve">Event log</w:t>
      </w:r>
      <w:r>
        <w:t xml:space="preserve">: an ordered, case-attributed collection of events; the input to every process mining technique. </w:t>
      </w:r>
      <w:r>
        <w:rPr>
          <w:b/>
        </w:rPr>
        <w:t xml:space="preserve">XES</w:t>
      </w:r>
      <w:r>
        <w:t xml:space="preserve">: IEEE 1849, the XML interchange standard for event logs, carrying its own attribute semantics. </w:t>
      </w:r>
      <w:r>
        <w:rPr>
          <w:b/>
        </w:rPr>
        <w:t xml:space="preserve">OCEL (object-centric event log)</w:t>
      </w:r>
      <w:r>
        <w:t xml:space="preserve">: a log representing events, objects and their relations rather than case-attributed traces. </w:t>
      </w:r>
      <w:r>
        <w:rPr>
          <w:b/>
        </w:rPr>
        <w:t xml:space="preserve">Parquet</w:t>
      </w:r>
      <w:r>
        <w:t xml:space="preserve">: the columnar file format in which normalised event data is stored.</w:t>
      </w:r>
    </w:p>
    <w:p>
      <w:pPr>
        <w:pStyle w:val="BasicText"/>
      </w:pPr>
      <w:r>
        <w:rPr>
          <w:b/>
        </w:rPr>
        <w:t xml:space="preserve">Discovery</w:t>
      </w:r>
      <w:r>
        <w:t xml:space="preserve">: deriving a process model from a log without any a priori model. </w:t>
      </w:r>
      <w:r>
        <w:rPr>
          <w:b/>
        </w:rPr>
        <w:t xml:space="preserve">Conformance checking</w:t>
      </w:r>
      <w:r>
        <w:t xml:space="preserve">: comparing a model with a log to detect and quantify deviations. </w:t>
      </w:r>
      <w:r>
        <w:rPr>
          <w:b/>
        </w:rPr>
        <w:t xml:space="preserve">Enhancement</w:t>
      </w:r>
      <w:r>
        <w:t xml:space="preserve">: repairing or extending an existing model using the log. </w:t>
      </w:r>
      <w:r>
        <w:rPr>
          <w:b/>
        </w:rPr>
        <w:t xml:space="preserve">Fitness, precision, generalisation, simplicity</w:t>
      </w:r>
      <w:r>
        <w:t xml:space="preserve">: the four competing dimensions along which a discovered model's quality is judged. </w:t>
      </w:r>
      <w:r>
        <w:rPr>
          <w:b/>
        </w:rPr>
        <w:t xml:space="preserve">Concept drift</w:t>
      </w:r>
      <w:r>
        <w:t xml:space="preserve">: a process changing while it is being analysed, so that one log contains behaviour from several process versions.</w:t>
      </w:r>
    </w:p>
    <w:p>
      <w:pPr>
        <w:pStyle w:val="BasicText"/>
      </w:pPr>
      <w:r>
        <w:rPr>
          <w:b/>
        </w:rPr>
        <w:t xml:space="preserve">Directly-follows graph (DFG)</w:t>
      </w:r>
      <w:r>
        <w:t xml:space="preserve">: a graph with one node per activity and an edge wherever one activity was observed directly after another. </w:t>
      </w:r>
      <w:r>
        <w:rPr>
          <w:b/>
        </w:rPr>
        <w:t xml:space="preserve">Petri net</w:t>
      </w:r>
      <w:r>
        <w:t xml:space="preserve">: a model of places and transitions expressing concurrency, choice and synchronisation. </w:t>
      </w:r>
      <w:r>
        <w:rPr>
          <w:b/>
        </w:rPr>
        <w:t xml:space="preserve">Process tree</w:t>
      </w:r>
      <w:r>
        <w:t xml:space="preserve">: a hierarchical model composing sub-trees with sequence, choice, parallel and loop operators; sound by construction.</w:t>
      </w:r>
    </w:p>
    <w:p>
      <w:pPr>
        <w:pStyle w:val="BasicText"/>
      </w:pPr>
      <w:r>
        <w:rPr>
          <w:b/>
        </w:rPr>
        <w:t xml:space="preserve">Throughput</w:t>
      </w:r>
      <w:r>
        <w:t xml:space="preserve">: cases completed per unit of time. </w:t>
      </w:r>
      <w:r>
        <w:rPr>
          <w:b/>
        </w:rPr>
        <w:t xml:space="preserve">Lead time (cycle time)</w:t>
      </w:r>
      <w:r>
        <w:t xml:space="preserve">: the elapsed time from a case's first to its last event. </w:t>
      </w:r>
      <w:r>
        <w:rPr>
          <w:b/>
        </w:rPr>
        <w:t xml:space="preserve">Sojourn time</w:t>
      </w:r>
      <w:r>
        <w:t xml:space="preserve">: the time an activity occupies; distinguished from </w:t>
      </w:r>
      <w:r>
        <w:rPr>
          <w:b/>
        </w:rPr>
        <w:t xml:space="preserve">waiting time</w:t>
      </w:r>
      <w:r>
        <w:t xml:space="preserve">, the interval between one activity completing and the next starting, only when events carry both a start and an end timestamp.</w:t>
      </w:r>
    </w:p>
    <w:p>
      <w:pPr>
        <w:pStyle w:val="BasicText"/>
      </w:pPr>
      <w:r>
        <w:rPr>
          <w:b/>
        </w:rPr>
        <w:t xml:space="preserve">Module</w:t>
      </w:r>
      <w:r>
        <w:t xml:space="preserve">: a self-contained folder the platform discovers, isolates and mounts, contributing analysis, routes and interface without any change to the platform. </w:t>
      </w:r>
      <w:r>
        <w:rPr>
          <w:b/>
        </w:rPr>
        <w:t xml:space="preserve">Manifest</w:t>
      </w:r>
      <w:r>
        <w:t xml:space="preserve">: </w:t>
      </w:r>
      <w:r>
        <w:rPr>
          <w:rFonts w:ascii="Courier New" w:hAnsi="Courier New"/>
          <w:sz w:val="20"/>
        </w:rPr>
        <w:t xml:space="preserve">manifest.yaml</w:t>
      </w:r>
      <w:r>
        <w:t xml:space="preserve">, the declarative registration of a module. </w:t>
      </w:r>
      <w:r>
        <w:rPr>
          <w:b/>
        </w:rPr>
        <w:t xml:space="preserve">Module context</w:t>
      </w:r>
      <w:r>
        <w:t xml:space="preserve">: the Protocol-typed object every handler receives, exposing data access, a scoped cache, configuration, progress reporting, the bus, the registry, a logger and a scratch directory. </w:t>
      </w:r>
      <w:r>
        <w:rPr>
          <w:b/>
        </w:rPr>
        <w:t xml:space="preserve">Panel</w:t>
      </w:r>
      <w:r>
        <w:t xml:space="preserve">: a module's own user interface, bundled separately from the main application build and constrained to an allow-list of platform imports. </w:t>
      </w:r>
      <w:r>
        <w:rPr>
          <w:b/>
        </w:rPr>
        <w:t xml:space="preserve">Isolation level</w:t>
      </w:r>
      <w:r>
        <w:t xml:space="preserve">: whether a module runs inside the platform's interpreter (</w:t>
      </w:r>
      <w:r>
        <w:rPr>
          <w:rFonts w:ascii="Courier New" w:hAnsi="Courier New"/>
          <w:sz w:val="20"/>
        </w:rPr>
        <w:t xml:space="preserve">in_process</w:t>
      </w:r>
      <w:r>
        <w:t xml:space="preserve">) or in its own worker process on its own interpreter (</w:t>
      </w:r>
      <w:r>
        <w:rPr>
          <w:rFonts w:ascii="Courier New" w:hAnsi="Courier New"/>
          <w:sz w:val="20"/>
        </w:rPr>
        <w:t xml:space="preserve">subprocess</w:t>
      </w:r>
      <w:r>
        <w:t xml:space="preserve">). </w:t>
      </w:r>
      <w:r>
        <w:rPr>
          <w:b/>
        </w:rPr>
        <w:t xml:space="preserve">Worker bridge</w:t>
      </w:r>
      <w:r>
        <w:t xml:space="preserve">: the Unix-socket JSON-RPC channel, with a Parquet handoff for bulk data, connecting the platform to a module running in a separate process or a non-Python runtime. </w:t>
      </w:r>
      <w:r>
        <w:rPr>
          <w:b/>
        </w:rPr>
        <w:t xml:space="preserve">Sidecar</w:t>
      </w:r>
      <w:r>
        <w:t xml:space="preserve">: an optional service container, enabled by a compose profile, that a module connects to when it needs a whole server rather than a library.</w:t>
      </w:r>
    </w:p>
    <w:p>
      <w:pPr>
        <w:pStyle w:val="BasicText"/>
      </w:pPr>
      <w:r>
        <w:rPr>
          <w:b/>
        </w:rPr>
        <w:t xml:space="preserve">Job</w:t>
      </w:r>
      <w:r>
        <w:t xml:space="preserve">: a persisted, observable, cancellable unit of long-running work; the platform's only mechanism for anything that can outlast a request. </w:t>
      </w:r>
      <w:r>
        <w:rPr>
          <w:b/>
        </w:rPr>
        <w:t xml:space="preserve">Event bus</w:t>
      </w:r>
      <w:r>
        <w:t xml:space="preserve">: the in-process publish-and-subscribe channel carrying platform and module events; bounded per subscriber, dropping the oldest event when a queue is full. </w:t>
      </w:r>
      <w:r>
        <w:rPr>
          <w:b/>
        </w:rPr>
        <w:t xml:space="preserve">Capability registry</w:t>
      </w:r>
      <w:r>
        <w:t xml:space="preserve">: the typed request-and-response mechanism by which one module calls another. </w:t>
      </w:r>
      <w:r>
        <w:rPr>
          <w:b/>
        </w:rPr>
        <w:t xml:space="preserve">Precompute closure</w:t>
      </w:r>
      <w:r>
        <w:t xml:space="preserve">: the transitive set of modules a freshly imported log waits for, frozen at import time and derived from the declared graph of published and consumed topics. </w:t>
      </w:r>
      <w:r>
        <w:rPr>
          <w:b/>
        </w:rPr>
        <w:t xml:space="preserve">Readiness gate</w:t>
      </w:r>
      <w:r>
        <w:t xml:space="preserve">: the mechanism holding a log in </w:t>
      </w:r>
      <w:r>
        <w:rPr>
          <w:rFonts w:ascii="Courier New" w:hAnsi="Courier New"/>
          <w:sz w:val="20"/>
        </w:rPr>
        <w:t xml:space="preserve">processing</w:t>
      </w:r>
      <w:r>
        <w:t xml:space="preserve"> until every module in its precompute closure reaches a terminal state.</w:t>
      </w:r>
    </w:p>
    <w:p>
      <w:pPr>
        <w:pStyle w:val="BasicText"/>
      </w:pPr>
      <w:r>
        <w:rPr>
          <w:b/>
        </w:rPr>
        <w:t xml:space="preserve">Tenant isolation</w:t>
      </w:r>
      <w:r>
        <w:t xml:space="preserve">: the invariant that every artefact belonging to a user is keyed by that user's identity claim, at rest and in flight. </w:t>
      </w:r>
      <w:r>
        <w:rPr>
          <w:b/>
        </w:rPr>
        <w:t xml:space="preserve">Server-Sent Events (SSE)</w:t>
      </w:r>
      <w:r>
        <w:t xml:space="preserve">: the one-directional HTTP streaming transport carrying live updates to the browser, chosen because the production proxy chain does not carry WebSocket upgrades.</w:t>
      </w:r>
    </w:p>
    <w:p w14:paraId="5C1BD17F" w14:textId="77777777" w:rsidR="00B07CC5" w:rsidRPr="00EF35B9" w:rsidRDefault="00EF35B9" w:rsidP="00722BA2">
      <w:pPr>
        <w:pStyle w:val="BasicTextHeading1look-alike"/>
      </w:pPr>
      <w:r>
        <w:lastRenderedPageBreak/>
        <w:t>Declaration of Authorship</w:t>
      </w:r>
    </w:p>
    <w:p w14:paraId="3240D040" w14:textId="77777777" w:rsidR="00B07CC5" w:rsidRPr="006D4060" w:rsidRDefault="005431FF" w:rsidP="00D14DBB">
      <w:pPr>
        <w:pStyle w:val="BasicText"/>
      </w:pPr>
      <w:r>
        <w:t>I hereby declare that, to the best of my knowledge and belief, this Master/Bachelor/Seminar Thesis titled “YOUR TITLE HERE” is my own work. I confirm that each significant contribution to and quotation in this thesis that originates from the work or works of others is indicated by proper use of citation and references.</w:t>
      </w:r>
    </w:p>
    <w:p w14:paraId="7B81FC4A" w14:textId="64A22340" w:rsidR="00B07CC5" w:rsidRPr="006D4060" w:rsidRDefault="00B07CC5" w:rsidP="00B07CC5">
      <w:pPr>
        <w:pStyle w:val="BasicText"/>
      </w:pPr>
      <w:r>
        <w:t xml:space="preserve">Münster, </w:t>
      </w:r>
      <w:r>
        <w:fldChar w:fldCharType="begin"/>
      </w:r>
      <w:r>
        <w:rPr>
          <w:lang w:val="en-US"/>
        </w:rPr>
        <w:instrText xml:space="preserve"> TIME  \@ "dd MMMM yyyy" </w:instrText>
      </w:r>
      <w:r>
        <w:fldChar w:fldCharType="separate"/>
      </w:r>
      <w:r w:rsidR="00A12F57">
        <w:rPr>
          <w:noProof/>
          <w:lang w:val="en-US"/>
        </w:rPr>
        <w:t>01 August 2026</w:t>
      </w:r>
      <w:r>
        <w:fldChar w:fldCharType="end"/>
      </w:r>
    </w:p>
    <w:p w14:paraId="44B8A94E" w14:textId="77777777" w:rsidR="00B07CC5" w:rsidRPr="006D4060" w:rsidRDefault="00B07CC5" w:rsidP="00B07CC5">
      <w:pPr>
        <w:pStyle w:val="BasicText"/>
      </w:pPr>
    </w:p>
    <w:p w14:paraId="7B43EA14" w14:textId="77777777" w:rsidR="00722BA2" w:rsidRPr="006D4060" w:rsidRDefault="00AF48D3" w:rsidP="00B07CC5">
      <w:pPr>
        <w:pStyle w:val="BasicText"/>
      </w:pPr>
      <w:proofErr w:type="spellStart"/>
      <w:r>
        <w:t>Firstname</w:t>
      </w:r>
      <w:proofErr w:type="spellEnd"/>
      <w:r>
        <w:t xml:space="preserve"> </w:t>
      </w:r>
      <w:proofErr w:type="spellStart"/>
      <w:r>
        <w:t>Middlename</w:t>
      </w:r>
      <w:proofErr w:type="spellEnd"/>
      <w:r>
        <w:t xml:space="preserve"> Lastname</w:t>
      </w:r>
    </w:p>
    <w:p w14:paraId="7777EBD0" w14:textId="77777777" w:rsidR="00722BA2" w:rsidRPr="006D4060" w:rsidRDefault="00722BA2">
      <w:pPr>
        <w:spacing w:after="200" w:line="276" w:lineRule="auto"/>
        <w:rPr>
          <w:sz w:val="24"/>
          <w:lang w:val="en-GB"/>
        </w:rPr>
      </w:pPr>
      <w:r>
        <w:rPr>
          <w:lang w:val="en-GB"/>
        </w:rPr>
        <w:br w:type="page"/>
      </w:r>
    </w:p>
    <w:p w14:paraId="4E9E6FCA" w14:textId="77777777" w:rsidR="00722BA2" w:rsidRPr="008A15E2" w:rsidRDefault="00722BA2" w:rsidP="00722BA2">
      <w:pPr>
        <w:pStyle w:val="BasicTextHeading1look-alike"/>
      </w:pPr>
      <w:r>
        <w:lastRenderedPageBreak/>
        <w:t>Consent Form</w:t>
      </w:r>
    </w:p>
    <w:p w14:paraId="2F338182" w14:textId="77777777" w:rsidR="00722BA2" w:rsidRPr="00722BA2" w:rsidRDefault="00722BA2" w:rsidP="00722BA2">
      <w:pPr>
        <w:pStyle w:val="BasicText"/>
        <w:tabs>
          <w:tab w:val="left" w:pos="4253"/>
        </w:tabs>
        <w:jc w:val="left"/>
      </w:pPr>
      <w:r>
        <w:t>for the use of plagiarism detection software to check my thesis</w:t>
      </w:r>
    </w:p>
    <w:p w14:paraId="65FC2BFF" w14:textId="77777777" w:rsidR="00722BA2" w:rsidRPr="00722BA2" w:rsidRDefault="00722BA2" w:rsidP="00722BA2">
      <w:pPr>
        <w:pStyle w:val="BasicText"/>
        <w:tabs>
          <w:tab w:val="left" w:pos="4253"/>
        </w:tabs>
        <w:jc w:val="left"/>
      </w:pPr>
      <w:r>
        <w:rPr>
          <w:rStyle w:val="BasicCharBold"/>
        </w:rPr>
        <w:t>Name:</w:t>
      </w:r>
      <w:r>
        <w:t xml:space="preserve"> Lastname</w:t>
      </w:r>
      <w:r>
        <w:tab/>
      </w:r>
      <w:r>
        <w:rPr>
          <w:rStyle w:val="BasicCharBold"/>
        </w:rPr>
        <w:t>Given Name:</w:t>
      </w:r>
      <w:r>
        <w:t xml:space="preserve"> </w:t>
      </w:r>
      <w:proofErr w:type="spellStart"/>
      <w:r>
        <w:t>Firstname</w:t>
      </w:r>
      <w:proofErr w:type="spellEnd"/>
      <w:r>
        <w:t xml:space="preserve"> </w:t>
      </w:r>
      <w:proofErr w:type="spellStart"/>
      <w:r>
        <w:t>Middlename</w:t>
      </w:r>
      <w:proofErr w:type="spellEnd"/>
      <w:r>
        <w:br/>
      </w:r>
      <w:r>
        <w:rPr>
          <w:rStyle w:val="BasicCharBold"/>
        </w:rPr>
        <w:t>Student number:</w:t>
      </w:r>
      <w:r>
        <w:t xml:space="preserve"> 123456</w:t>
      </w:r>
      <w:r>
        <w:tab/>
      </w:r>
      <w:r>
        <w:rPr>
          <w:rStyle w:val="BasicCharBold"/>
        </w:rPr>
        <w:t>Course of Study:</w:t>
      </w:r>
      <w:r>
        <w:t xml:space="preserve"> Information Systems</w:t>
      </w:r>
      <w:r>
        <w:br/>
      </w:r>
      <w:r>
        <w:rPr>
          <w:rStyle w:val="BasicCharBold"/>
        </w:rPr>
        <w:t>Address:</w:t>
      </w:r>
      <w:r>
        <w:t xml:space="preserve"> </w:t>
      </w:r>
      <w:proofErr w:type="spellStart"/>
      <w:r>
        <w:t>Schlossplatz</w:t>
      </w:r>
      <w:proofErr w:type="spellEnd"/>
      <w:r>
        <w:t xml:space="preserve"> 2, 48149 Münster</w:t>
      </w:r>
      <w:r>
        <w:br/>
      </w:r>
      <w:r>
        <w:rPr>
          <w:rStyle w:val="BasicCharBold"/>
        </w:rPr>
        <w:t>Title of the thesis:</w:t>
      </w:r>
      <w:r>
        <w:t xml:space="preserve"> YOUR TITLE HERE</w:t>
      </w:r>
    </w:p>
    <w:p w14:paraId="1630B253" w14:textId="77777777" w:rsidR="00722BA2" w:rsidRPr="00722BA2" w:rsidRDefault="00722BA2" w:rsidP="00722BA2">
      <w:pPr>
        <w:pStyle w:val="BasicText"/>
        <w:spacing w:line="240" w:lineRule="auto"/>
      </w:pPr>
      <w:r>
        <w:rPr>
          <w:rStyle w:val="BasicCharBold"/>
        </w:rPr>
        <w:t>What is plagiarism?</w:t>
      </w:r>
      <w:r>
        <w:t xml:space="preserve"> Plagiarism is defined as submitting someone else’s work or ideas as your own without a complete indication of the source. It is hereby irrelevant whether the work of others is copied word by word without acknowledgment of the source, text structures (e.g. line of argumentation or outline) are borrowed or texts are translated from a foreign language.</w:t>
      </w:r>
    </w:p>
    <w:p w14:paraId="6535E813" w14:textId="77777777" w:rsidR="00722BA2" w:rsidRPr="00C10D24" w:rsidRDefault="00722BA2" w:rsidP="00722BA2">
      <w:pPr>
        <w:pStyle w:val="BasicText"/>
        <w:spacing w:line="240" w:lineRule="auto"/>
      </w:pPr>
      <w:r>
        <w:rPr>
          <w:rStyle w:val="BasicCharBold"/>
        </w:rPr>
        <w:t>Use of plagiarism detection software.</w:t>
      </w:r>
      <w:r>
        <w:t xml:space="preserve"> The examination office uses plagiarism software to check each submitted bachelor and master thesis for plagiarism. For that </w:t>
      </w:r>
      <w:proofErr w:type="gramStart"/>
      <w:r>
        <w:t>purpose</w:t>
      </w:r>
      <w:proofErr w:type="gramEnd"/>
      <w:r>
        <w:t xml:space="preserve"> the thesis is electronically forwarded to a software service provider where the software checks for potential matches between the submitted work and work from other sources. For future comparisons with other theses, your thesis will be permanently stored in a database. Only the School of Business and Economics</w:t>
      </w:r>
      <w:r>
        <w:rPr>
          <w:rFonts w:ascii="Courier New" w:eastAsia="Courier New" w:hAnsi="Courier New" w:cs="Courier New"/>
          <w:sz w:val="21"/>
        </w:rPr>
        <w:t xml:space="preserve"> </w:t>
      </w:r>
      <w:r>
        <w:t xml:space="preserve">of the University of Münster is allowed to access your stored thesis. The student agrees that his or her thesis may be stored and reproduced only for the purpose of plagiarism assessment. The first examiner of the thesis will be advised on the outcome of the plagiarism assessment. </w:t>
      </w:r>
    </w:p>
    <w:p w14:paraId="60151D82" w14:textId="77777777" w:rsidR="00722BA2" w:rsidRPr="00C10D24" w:rsidRDefault="00722BA2" w:rsidP="00722BA2">
      <w:pPr>
        <w:pStyle w:val="BasicText"/>
        <w:spacing w:line="240" w:lineRule="auto"/>
      </w:pPr>
      <w:r>
        <w:rPr>
          <w:rStyle w:val="BasicCharBold"/>
        </w:rPr>
        <w:t>Sanctions.</w:t>
      </w:r>
      <w:r>
        <w:t xml:space="preserve"> Each case of plagiarism constitutes an attempt to deceive in terms of the examination regulations and will lead to the thesis being graded as “failed”. This will be communicated to the examination office where your case will be documented. In the event of a serious case of deception the examinee can be generally excluded from any further examination. This can lead to the exmatriculation of the student. Even after completion of the examination procedure and graduation from university, plagiarism can result in a withdrawal of the awarded academic degree. </w:t>
      </w:r>
    </w:p>
    <w:p w14:paraId="2519E0B1" w14:textId="77777777" w:rsidR="00722BA2" w:rsidRPr="00C10D24" w:rsidRDefault="00722BA2" w:rsidP="00722BA2">
      <w:pPr>
        <w:pStyle w:val="BasicText"/>
        <w:spacing w:line="240" w:lineRule="auto"/>
      </w:pPr>
      <w:r>
        <w:t>I confirm that I have read and understood the information in this document. I agree to the outlined procedure for plagiarism assessment and potential sanctioning.</w:t>
      </w:r>
      <w:r>
        <w:rPr>
          <w:vertAlign w:val="subscript"/>
        </w:rPr>
        <w:t xml:space="preserve"> </w:t>
      </w:r>
    </w:p>
    <w:p w14:paraId="6CCD9F52" w14:textId="593EA788" w:rsidR="00722BA2" w:rsidRPr="006D4060" w:rsidRDefault="00722BA2" w:rsidP="00722BA2">
      <w:pPr>
        <w:pStyle w:val="BasicText"/>
      </w:pPr>
      <w:r>
        <w:t xml:space="preserve">Münster, </w:t>
      </w:r>
      <w:r>
        <w:fldChar w:fldCharType="begin"/>
      </w:r>
      <w:r>
        <w:rPr>
          <w:lang w:val="en-US"/>
        </w:rPr>
        <w:instrText xml:space="preserve"> TIME  \@ "dd MMMM yyyy" </w:instrText>
      </w:r>
      <w:r>
        <w:fldChar w:fldCharType="separate"/>
      </w:r>
      <w:r w:rsidR="00A12F57">
        <w:rPr>
          <w:noProof/>
          <w:lang w:val="en-US"/>
        </w:rPr>
        <w:t>01 August 2026</w:t>
      </w:r>
      <w:r>
        <w:fldChar w:fldCharType="end"/>
      </w:r>
    </w:p>
    <w:p w14:paraId="2765EF66" w14:textId="77777777" w:rsidR="00722BA2" w:rsidRPr="006D4060" w:rsidRDefault="00722BA2" w:rsidP="00722BA2">
      <w:pPr>
        <w:pStyle w:val="BasicText"/>
      </w:pPr>
    </w:p>
    <w:p w14:paraId="0C9DD108" w14:textId="77777777" w:rsidR="00AF48D3" w:rsidRPr="006D4060" w:rsidRDefault="00722BA2" w:rsidP="00722BA2">
      <w:pPr>
        <w:pStyle w:val="BasicText"/>
      </w:pPr>
      <w:proofErr w:type="spellStart"/>
      <w:r>
        <w:t>Firstname</w:t>
      </w:r>
      <w:proofErr w:type="spellEnd"/>
      <w:r>
        <w:t xml:space="preserve"> </w:t>
      </w:r>
      <w:proofErr w:type="spellStart"/>
      <w:r>
        <w:t>Middlename</w:t>
      </w:r>
      <w:proofErr w:type="spellEnd"/>
      <w:r>
        <w:t xml:space="preserve"> Lastname</w:t>
      </w:r>
    </w:p>
    <w:sectPr w:rsidR="00AF48D3" w:rsidRPr="006D4060" w:rsidSect="00C565B8">
      <w:headerReference w:type="default" r:id="rId14"/>
      <w:pgSz w:w="11906" w:h="16838"/>
      <w:pgMar w:top="1701" w:right="1701" w:bottom="1134"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C55A9" w14:textId="77777777" w:rsidR="00C34EC3" w:rsidRDefault="00C34EC3" w:rsidP="00297DC8">
      <w:r>
        <w:separator/>
      </w:r>
    </w:p>
  </w:endnote>
  <w:endnote w:type="continuationSeparator" w:id="0">
    <w:p w14:paraId="541C46D5" w14:textId="77777777" w:rsidR="00C34EC3" w:rsidRDefault="00C34EC3" w:rsidP="00297D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A3202" w14:textId="77777777" w:rsidR="00C34EC3" w:rsidRDefault="00C34EC3" w:rsidP="00297DC8">
      <w:r>
        <w:separator/>
      </w:r>
    </w:p>
  </w:footnote>
  <w:footnote w:type="continuationSeparator" w:id="0">
    <w:p w14:paraId="36C3486F" w14:textId="77777777" w:rsidR="00C34EC3" w:rsidRDefault="00C34EC3" w:rsidP="00297D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45059"/>
      <w:docPartObj>
        <w:docPartGallery w:val="Page Numbers (Top of Page)"/>
        <w:docPartUnique/>
      </w:docPartObj>
    </w:sdtPr>
    <w:sdtContent>
      <w:p w14:paraId="16702D27" w14:textId="77777777" w:rsidR="00887178" w:rsidRDefault="00BE1742">
        <w:pPr>
          <w:pStyle w:val="Header"/>
          <w:jc w:val="right"/>
        </w:pPr>
        <w:r>
          <w:fldChar w:fldCharType="begin"/>
        </w:r>
        <w:r>
          <w:instrText xml:space="preserve"> PAGE   \* MERGEFORMAT </w:instrText>
        </w:r>
        <w:r>
          <w:fldChar w:fldCharType="separate"/>
        </w:r>
        <w:r w:rsidR="00722BA2">
          <w:rPr>
            <w:noProof/>
          </w:rPr>
          <w:t>VI</w:t>
        </w:r>
        <w:r>
          <w:rPr>
            <w:noProof/>
          </w:rPr>
          <w:fldChar w:fldCharType="end"/>
        </w:r>
      </w:p>
    </w:sdtContent>
  </w:sdt>
  <w:p w14:paraId="688101F0" w14:textId="77777777" w:rsidR="00887178" w:rsidRDefault="008871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C9EAC" w14:textId="77777777" w:rsidR="00887178" w:rsidRDefault="00722BA2">
    <w:pPr>
      <w:pStyle w:val="Header"/>
    </w:pPr>
    <w:r>
      <w:rPr>
        <w:noProof/>
      </w:rPr>
      <w:drawing>
        <wp:anchor distT="0" distB="0" distL="114300" distR="114300" simplePos="0" relativeHeight="251658240" behindDoc="1" locked="0" layoutInCell="1" allowOverlap="1" wp14:anchorId="31201925" wp14:editId="37716860">
          <wp:simplePos x="0" y="0"/>
          <wp:positionH relativeFrom="margin">
            <wp:posOffset>-4445</wp:posOffset>
          </wp:positionH>
          <wp:positionV relativeFrom="paragraph">
            <wp:posOffset>-212090</wp:posOffset>
          </wp:positionV>
          <wp:extent cx="2274570" cy="629285"/>
          <wp:effectExtent l="0" t="0" r="0" b="0"/>
          <wp:wrapTight wrapText="bothSides">
            <wp:wrapPolygon edited="0">
              <wp:start x="0" y="0"/>
              <wp:lineTo x="0" y="20924"/>
              <wp:lineTo x="21347" y="20924"/>
              <wp:lineTo x="21347" y="0"/>
              <wp:lineTo x="0" y="0"/>
            </wp:wrapPolygon>
          </wp:wrapTight>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Y:\Claim_Logo\Veroeffentlichte_Versionen\WWU_Logo1_1c_100%schwarz.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74570" cy="62928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783BF4">
      <w:rPr>
        <w:noProof/>
      </w:rPr>
      <w:drawing>
        <wp:anchor distT="0" distB="0" distL="114300" distR="114300" simplePos="0" relativeHeight="251658241" behindDoc="0" locked="0" layoutInCell="1" allowOverlap="1" wp14:anchorId="1645C326" wp14:editId="0D5C3F22">
          <wp:simplePos x="0" y="0"/>
          <wp:positionH relativeFrom="column">
            <wp:posOffset>3643630</wp:posOffset>
          </wp:positionH>
          <wp:positionV relativeFrom="paragraph">
            <wp:posOffset>-14605</wp:posOffset>
          </wp:positionV>
          <wp:extent cx="2304096" cy="512022"/>
          <wp:effectExtent l="0" t="0" r="1270" b="2540"/>
          <wp:wrapNone/>
          <wp:docPr id="5" name="Grafik 5" descr="C:\Users\d_rieh01\Desktop\SBE_neu.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_rieh01\Desktop\SBE_neu.jpg.jpg"/>
                  <pic:cNvPicPr>
                    <a:picLocks noChangeAspect="1" noChangeArrowheads="1"/>
                  </pic:cNvPicPr>
                </pic:nvPicPr>
                <pic:blipFill>
                  <a:blip r:embed="rId2" cstate="print">
                    <a:extLst>
                      <a:ext uri="{BEBA8EAE-BF5A-486C-A8C5-ECC9F3942E4B}">
                        <a14:imgProps xmlns:a14="http://schemas.microsoft.com/office/drawing/2010/main">
                          <a14:imgLayer r:embed="rId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304096" cy="512022"/>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45066"/>
      <w:docPartObj>
        <w:docPartGallery w:val="Page Numbers (Top of Page)"/>
        <w:docPartUnique/>
      </w:docPartObj>
    </w:sdtPr>
    <w:sdtContent>
      <w:p w14:paraId="4C564DAF" w14:textId="77777777" w:rsidR="00887178" w:rsidRDefault="00BE1742">
        <w:pPr>
          <w:pStyle w:val="Header"/>
          <w:jc w:val="right"/>
        </w:pPr>
        <w:r>
          <w:fldChar w:fldCharType="begin"/>
        </w:r>
        <w:r>
          <w:instrText xml:space="preserve"> PAGE   \* MERGEFORMAT </w:instrText>
        </w:r>
        <w:r>
          <w:fldChar w:fldCharType="separate"/>
        </w:r>
        <w:r w:rsidR="00722BA2">
          <w:rPr>
            <w:noProof/>
          </w:rPr>
          <w:t>8</w:t>
        </w:r>
        <w:r>
          <w:rPr>
            <w:noProof/>
          </w:rPr>
          <w:fldChar w:fldCharType="end"/>
        </w:r>
      </w:p>
    </w:sdtContent>
  </w:sdt>
  <w:p w14:paraId="25EEFE2E" w14:textId="77777777" w:rsidR="00887178" w:rsidRDefault="008871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3BCE792"/>
    <w:lvl w:ilvl="0">
      <w:start w:val="1"/>
      <w:numFmt w:val="decimal"/>
      <w:lvlText w:val="%1."/>
      <w:lvlJc w:val="left"/>
      <w:pPr>
        <w:tabs>
          <w:tab w:val="num" w:pos="926"/>
        </w:tabs>
        <w:ind w:left="926" w:hanging="360"/>
      </w:pPr>
    </w:lvl>
  </w:abstractNum>
  <w:abstractNum w:abstractNumId="1" w15:restartNumberingAfterBreak="0">
    <w:nsid w:val="FFFFFFFB"/>
    <w:multiLevelType w:val="multilevel"/>
    <w:tmpl w:val="34F27DD2"/>
    <w:lvl w:ilvl="0">
      <w:start w:val="1"/>
      <w:numFmt w:val="decimal"/>
      <w:pStyle w:val="Heading1"/>
      <w:lvlText w:val="%1"/>
      <w:lvlJc w:val="left"/>
      <w:pPr>
        <w:tabs>
          <w:tab w:val="num" w:pos="851"/>
        </w:tabs>
        <w:ind w:left="851" w:hanging="851"/>
      </w:pPr>
      <w:rPr>
        <w:rFonts w:hint="default"/>
      </w:rPr>
    </w:lvl>
    <w:lvl w:ilvl="1">
      <w:start w:val="1"/>
      <w:numFmt w:val="decimal"/>
      <w:pStyle w:val="Heading2"/>
      <w:lvlText w:val="%1.%2"/>
      <w:lvlJc w:val="left"/>
      <w:pPr>
        <w:tabs>
          <w:tab w:val="num" w:pos="851"/>
        </w:tabs>
        <w:ind w:left="851" w:hanging="851"/>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851"/>
        </w:tabs>
        <w:ind w:left="851" w:hanging="851"/>
      </w:pPr>
      <w:rPr>
        <w:rFonts w:hint="default"/>
      </w:rPr>
    </w:lvl>
    <w:lvl w:ilvl="4">
      <w:start w:val="1"/>
      <w:numFmt w:val="decimal"/>
      <w:pStyle w:val="Heading5"/>
      <w:lvlText w:val="%1.%2.%3.%4.%5"/>
      <w:lvlJc w:val="left"/>
      <w:pPr>
        <w:tabs>
          <w:tab w:val="num" w:pos="1080"/>
        </w:tabs>
        <w:ind w:left="851" w:hanging="851"/>
      </w:pPr>
      <w:rPr>
        <w:rFonts w:hint="default"/>
      </w:rPr>
    </w:lvl>
    <w:lvl w:ilvl="5">
      <w:start w:val="1"/>
      <w:numFmt w:val="decimal"/>
      <w:pStyle w:val="Heading6"/>
      <w:lvlText w:val="%1.%2.%3.%4.%5.%6"/>
      <w:lvlJc w:val="left"/>
      <w:pPr>
        <w:tabs>
          <w:tab w:val="num" w:pos="1440"/>
        </w:tabs>
        <w:ind w:left="851" w:hanging="851"/>
      </w:pPr>
      <w:rPr>
        <w:rFonts w:hint="default"/>
      </w:rPr>
    </w:lvl>
    <w:lvl w:ilvl="6">
      <w:start w:val="1"/>
      <w:numFmt w:val="decimal"/>
      <w:pStyle w:val="Heading7"/>
      <w:lvlText w:val="%1.%2.%3.%4.%5.%6.%7"/>
      <w:lvlJc w:val="left"/>
      <w:pPr>
        <w:tabs>
          <w:tab w:val="num" w:pos="1440"/>
        </w:tabs>
        <w:ind w:left="851" w:hanging="851"/>
      </w:pPr>
      <w:rPr>
        <w:rFonts w:hint="default"/>
      </w:rPr>
    </w:lvl>
    <w:lvl w:ilvl="7">
      <w:start w:val="1"/>
      <w:numFmt w:val="upperLetter"/>
      <w:lvlRestart w:val="0"/>
      <w:pStyle w:val="Heading8"/>
      <w:lvlText w:val="%8"/>
      <w:lvlJc w:val="left"/>
      <w:pPr>
        <w:tabs>
          <w:tab w:val="num" w:pos="851"/>
        </w:tabs>
        <w:ind w:left="851" w:hanging="851"/>
      </w:pPr>
      <w:rPr>
        <w:rFonts w:hint="default"/>
      </w:rPr>
    </w:lvl>
    <w:lvl w:ilvl="8">
      <w:start w:val="1"/>
      <w:numFmt w:val="lowerLetter"/>
      <w:pStyle w:val="Heading9"/>
      <w:lvlText w:val="%8.%9"/>
      <w:lvlJc w:val="left"/>
      <w:pPr>
        <w:tabs>
          <w:tab w:val="num" w:pos="851"/>
        </w:tabs>
        <w:ind w:left="851" w:hanging="851"/>
      </w:pPr>
      <w:rPr>
        <w:rFonts w:hint="default"/>
      </w:rPr>
    </w:lvl>
  </w:abstractNum>
  <w:abstractNum w:abstractNumId="2" w15:restartNumberingAfterBreak="0">
    <w:nsid w:val="10605AA0"/>
    <w:multiLevelType w:val="multilevel"/>
    <w:tmpl w:val="D428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75A85"/>
    <w:multiLevelType w:val="singleLevel"/>
    <w:tmpl w:val="A30818D2"/>
    <w:lvl w:ilvl="0">
      <w:start w:val="1"/>
      <w:numFmt w:val="decimal"/>
      <w:lvlText w:val="%1."/>
      <w:legacy w:legacy="1" w:legacySpace="0" w:legacyIndent="283"/>
      <w:lvlJc w:val="left"/>
      <w:pPr>
        <w:ind w:left="283" w:hanging="283"/>
      </w:pPr>
    </w:lvl>
  </w:abstractNum>
  <w:abstractNum w:abstractNumId="4" w15:restartNumberingAfterBreak="0">
    <w:nsid w:val="2692612B"/>
    <w:multiLevelType w:val="multilevel"/>
    <w:tmpl w:val="D88A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07B33"/>
    <w:multiLevelType w:val="multilevel"/>
    <w:tmpl w:val="64A2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75FB2"/>
    <w:multiLevelType w:val="singleLevel"/>
    <w:tmpl w:val="A30818D2"/>
    <w:lvl w:ilvl="0">
      <w:start w:val="1"/>
      <w:numFmt w:val="decimal"/>
      <w:lvlText w:val="%1."/>
      <w:legacy w:legacy="1" w:legacySpace="0" w:legacyIndent="283"/>
      <w:lvlJc w:val="left"/>
      <w:pPr>
        <w:ind w:left="283" w:hanging="283"/>
      </w:pPr>
    </w:lvl>
  </w:abstractNum>
  <w:abstractNum w:abstractNumId="7" w15:restartNumberingAfterBreak="0">
    <w:nsid w:val="40605BB6"/>
    <w:multiLevelType w:val="multilevel"/>
    <w:tmpl w:val="4C6A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70260"/>
    <w:multiLevelType w:val="singleLevel"/>
    <w:tmpl w:val="A30818D2"/>
    <w:lvl w:ilvl="0">
      <w:start w:val="1"/>
      <w:numFmt w:val="decimal"/>
      <w:lvlText w:val="%1."/>
      <w:legacy w:legacy="1" w:legacySpace="0" w:legacyIndent="283"/>
      <w:lvlJc w:val="left"/>
      <w:pPr>
        <w:ind w:left="283" w:hanging="283"/>
      </w:pPr>
    </w:lvl>
  </w:abstractNum>
  <w:abstractNum w:abstractNumId="9" w15:restartNumberingAfterBreak="0">
    <w:nsid w:val="4685288F"/>
    <w:multiLevelType w:val="hybridMultilevel"/>
    <w:tmpl w:val="11F07D7E"/>
    <w:lvl w:ilvl="0" w:tplc="7FA201E2">
      <w:start w:val="1"/>
      <w:numFmt w:val="bullet"/>
      <w:pStyle w:val="Index1"/>
      <w:lvlText w:val=""/>
      <w:lvlJc w:val="left"/>
      <w:pPr>
        <w:tabs>
          <w:tab w:val="num" w:pos="360"/>
        </w:tabs>
        <w:ind w:left="357" w:hanging="357"/>
      </w:pPr>
      <w:rPr>
        <w:rFonts w:ascii="Symbol" w:hAnsi="Symbol" w:hint="default"/>
        <w:sz w:val="24"/>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01A3C74"/>
    <w:multiLevelType w:val="singleLevel"/>
    <w:tmpl w:val="A30818D2"/>
    <w:lvl w:ilvl="0">
      <w:start w:val="1"/>
      <w:numFmt w:val="decimal"/>
      <w:lvlText w:val="%1."/>
      <w:legacy w:legacy="1" w:legacySpace="0" w:legacyIndent="283"/>
      <w:lvlJc w:val="left"/>
      <w:pPr>
        <w:ind w:left="283" w:hanging="283"/>
      </w:pPr>
    </w:lvl>
  </w:abstractNum>
  <w:abstractNum w:abstractNumId="11" w15:restartNumberingAfterBreak="0">
    <w:nsid w:val="52C91FDC"/>
    <w:multiLevelType w:val="singleLevel"/>
    <w:tmpl w:val="A30818D2"/>
    <w:lvl w:ilvl="0">
      <w:start w:val="1"/>
      <w:numFmt w:val="decimal"/>
      <w:lvlText w:val="%1."/>
      <w:legacy w:legacy="1" w:legacySpace="0" w:legacyIndent="283"/>
      <w:lvlJc w:val="left"/>
      <w:pPr>
        <w:ind w:left="283" w:hanging="283"/>
      </w:pPr>
    </w:lvl>
  </w:abstractNum>
  <w:abstractNum w:abstractNumId="12" w15:restartNumberingAfterBreak="0">
    <w:nsid w:val="53EB2CC7"/>
    <w:multiLevelType w:val="multilevel"/>
    <w:tmpl w:val="F9CC8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387DFD"/>
    <w:multiLevelType w:val="singleLevel"/>
    <w:tmpl w:val="A30818D2"/>
    <w:lvl w:ilvl="0">
      <w:start w:val="1"/>
      <w:numFmt w:val="decimal"/>
      <w:lvlText w:val="%1."/>
      <w:legacy w:legacy="1" w:legacySpace="0" w:legacyIndent="283"/>
      <w:lvlJc w:val="left"/>
      <w:pPr>
        <w:ind w:left="283" w:hanging="283"/>
      </w:pPr>
    </w:lvl>
  </w:abstractNum>
  <w:abstractNum w:abstractNumId="14" w15:restartNumberingAfterBreak="0">
    <w:nsid w:val="5BA873AF"/>
    <w:multiLevelType w:val="hybridMultilevel"/>
    <w:tmpl w:val="F9D63F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EEA7354"/>
    <w:multiLevelType w:val="singleLevel"/>
    <w:tmpl w:val="A30818D2"/>
    <w:lvl w:ilvl="0">
      <w:start w:val="1"/>
      <w:numFmt w:val="decimal"/>
      <w:lvlText w:val="%1."/>
      <w:legacy w:legacy="1" w:legacySpace="0" w:legacyIndent="283"/>
      <w:lvlJc w:val="left"/>
      <w:pPr>
        <w:ind w:left="283" w:hanging="283"/>
      </w:pPr>
    </w:lvl>
  </w:abstractNum>
  <w:abstractNum w:abstractNumId="16" w15:restartNumberingAfterBreak="0">
    <w:nsid w:val="5FBB4E65"/>
    <w:multiLevelType w:val="hybridMultilevel"/>
    <w:tmpl w:val="937CA310"/>
    <w:lvl w:ilvl="0" w:tplc="878202E0">
      <w:start w:val="1"/>
      <w:numFmt w:val="decimal"/>
      <w:pStyle w:val="Index3"/>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62F108F6"/>
    <w:multiLevelType w:val="multilevel"/>
    <w:tmpl w:val="F36C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E3004E"/>
    <w:multiLevelType w:val="multilevel"/>
    <w:tmpl w:val="D946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DD555B"/>
    <w:multiLevelType w:val="multilevel"/>
    <w:tmpl w:val="BD38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AC583C"/>
    <w:multiLevelType w:val="hybridMultilevel"/>
    <w:tmpl w:val="A30818D2"/>
    <w:lvl w:ilvl="0" w:tplc="ACBC4DEC">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773B76C8"/>
    <w:multiLevelType w:val="multilevel"/>
    <w:tmpl w:val="2E6E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E5473E"/>
    <w:multiLevelType w:val="singleLevel"/>
    <w:tmpl w:val="A30818D2"/>
    <w:lvl w:ilvl="0">
      <w:start w:val="1"/>
      <w:numFmt w:val="decimal"/>
      <w:lvlText w:val="%1."/>
      <w:legacy w:legacy="1" w:legacySpace="0" w:legacyIndent="283"/>
      <w:lvlJc w:val="left"/>
      <w:pPr>
        <w:ind w:left="283" w:hanging="283"/>
      </w:pPr>
    </w:lvl>
  </w:abstractNum>
  <w:num w:numId="1" w16cid:durableId="1561356095">
    <w:abstractNumId w:val="9"/>
  </w:num>
  <w:num w:numId="2" w16cid:durableId="1673025848">
    <w:abstractNumId w:val="1"/>
  </w:num>
  <w:num w:numId="3" w16cid:durableId="319165502">
    <w:abstractNumId w:val="1"/>
  </w:num>
  <w:num w:numId="4" w16cid:durableId="912663904">
    <w:abstractNumId w:val="1"/>
  </w:num>
  <w:num w:numId="5" w16cid:durableId="1907647311">
    <w:abstractNumId w:val="1"/>
  </w:num>
  <w:num w:numId="6" w16cid:durableId="1570116585">
    <w:abstractNumId w:val="1"/>
  </w:num>
  <w:num w:numId="7" w16cid:durableId="2081974750">
    <w:abstractNumId w:val="1"/>
  </w:num>
  <w:num w:numId="8" w16cid:durableId="390274641">
    <w:abstractNumId w:val="1"/>
  </w:num>
  <w:num w:numId="9" w16cid:durableId="84812266">
    <w:abstractNumId w:val="1"/>
  </w:num>
  <w:num w:numId="10" w16cid:durableId="973025576">
    <w:abstractNumId w:val="1"/>
  </w:num>
  <w:num w:numId="11" w16cid:durableId="1370838539">
    <w:abstractNumId w:val="0"/>
  </w:num>
  <w:num w:numId="12" w16cid:durableId="859394361">
    <w:abstractNumId w:val="20"/>
  </w:num>
  <w:num w:numId="13" w16cid:durableId="1784152161">
    <w:abstractNumId w:val="8"/>
  </w:num>
  <w:num w:numId="14" w16cid:durableId="1209492106">
    <w:abstractNumId w:val="15"/>
  </w:num>
  <w:num w:numId="15" w16cid:durableId="1806773033">
    <w:abstractNumId w:val="6"/>
  </w:num>
  <w:num w:numId="16" w16cid:durableId="1030375161">
    <w:abstractNumId w:val="3"/>
  </w:num>
  <w:num w:numId="17" w16cid:durableId="95447339">
    <w:abstractNumId w:val="13"/>
  </w:num>
  <w:num w:numId="18" w16cid:durableId="989476384">
    <w:abstractNumId w:val="22"/>
  </w:num>
  <w:num w:numId="19" w16cid:durableId="704599490">
    <w:abstractNumId w:val="11"/>
  </w:num>
  <w:num w:numId="20" w16cid:durableId="1455977037">
    <w:abstractNumId w:val="10"/>
  </w:num>
  <w:num w:numId="21" w16cid:durableId="252858156">
    <w:abstractNumId w:val="16"/>
  </w:num>
  <w:num w:numId="22" w16cid:durableId="264316074">
    <w:abstractNumId w:val="2"/>
  </w:num>
  <w:num w:numId="23" w16cid:durableId="636302682">
    <w:abstractNumId w:val="5"/>
  </w:num>
  <w:num w:numId="24" w16cid:durableId="1089154264">
    <w:abstractNumId w:val="18"/>
  </w:num>
  <w:num w:numId="25" w16cid:durableId="1392383243">
    <w:abstractNumId w:val="21"/>
  </w:num>
  <w:num w:numId="26" w16cid:durableId="769735074">
    <w:abstractNumId w:val="12"/>
  </w:num>
  <w:num w:numId="27" w16cid:durableId="1824348473">
    <w:abstractNumId w:val="7"/>
  </w:num>
  <w:num w:numId="28" w16cid:durableId="1371495223">
    <w:abstractNumId w:val="17"/>
  </w:num>
  <w:num w:numId="29" w16cid:durableId="1840122965">
    <w:abstractNumId w:val="4"/>
  </w:num>
  <w:num w:numId="30" w16cid:durableId="1856653735">
    <w:abstractNumId w:val="19"/>
  </w:num>
  <w:num w:numId="31" w16cid:durableId="1835602867">
    <w:abstractNumId w:val="14"/>
  </w:num>
  <w:num w:numId="101">
    <w:abstractNumId w:val="16"/>
  </w:num>
  <w:num w:numId="1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attachedTemplate r:id="rId1"/>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wNDYxNjYwsDAzNzO2tDRT0lEKTi0uzszPAykwqgUAbK4IgSwAAAA="/>
  </w:docVars>
  <w:rsids>
    <w:rsidRoot w:val="00D94E85"/>
    <w:rsid w:val="0000172D"/>
    <w:rsid w:val="00003DF5"/>
    <w:rsid w:val="00005216"/>
    <w:rsid w:val="000102A1"/>
    <w:rsid w:val="000126E5"/>
    <w:rsid w:val="00015613"/>
    <w:rsid w:val="000218A3"/>
    <w:rsid w:val="00024C7F"/>
    <w:rsid w:val="00025147"/>
    <w:rsid w:val="00030BB2"/>
    <w:rsid w:val="00032B96"/>
    <w:rsid w:val="00043964"/>
    <w:rsid w:val="00045A4C"/>
    <w:rsid w:val="00056301"/>
    <w:rsid w:val="000563A3"/>
    <w:rsid w:val="000570F6"/>
    <w:rsid w:val="000721CA"/>
    <w:rsid w:val="00073046"/>
    <w:rsid w:val="000750F6"/>
    <w:rsid w:val="00076E01"/>
    <w:rsid w:val="00077D22"/>
    <w:rsid w:val="000815FD"/>
    <w:rsid w:val="0009027C"/>
    <w:rsid w:val="000A23B9"/>
    <w:rsid w:val="000A62D7"/>
    <w:rsid w:val="000A6BF5"/>
    <w:rsid w:val="000A7019"/>
    <w:rsid w:val="000B162F"/>
    <w:rsid w:val="000B3FD2"/>
    <w:rsid w:val="000B692C"/>
    <w:rsid w:val="000C4573"/>
    <w:rsid w:val="000C4F19"/>
    <w:rsid w:val="000C5860"/>
    <w:rsid w:val="000D5692"/>
    <w:rsid w:val="000D6138"/>
    <w:rsid w:val="000D7AE9"/>
    <w:rsid w:val="000E0818"/>
    <w:rsid w:val="000F1B40"/>
    <w:rsid w:val="000F40C7"/>
    <w:rsid w:val="000F5F71"/>
    <w:rsid w:val="000F7B4C"/>
    <w:rsid w:val="00100BF6"/>
    <w:rsid w:val="00104D4C"/>
    <w:rsid w:val="00106239"/>
    <w:rsid w:val="00112F64"/>
    <w:rsid w:val="0011376E"/>
    <w:rsid w:val="0011397F"/>
    <w:rsid w:val="0012016E"/>
    <w:rsid w:val="00121EF2"/>
    <w:rsid w:val="00123780"/>
    <w:rsid w:val="001238F6"/>
    <w:rsid w:val="00124902"/>
    <w:rsid w:val="00130C91"/>
    <w:rsid w:val="001320F1"/>
    <w:rsid w:val="00132F55"/>
    <w:rsid w:val="00135289"/>
    <w:rsid w:val="00140FC9"/>
    <w:rsid w:val="00144A2E"/>
    <w:rsid w:val="0015056D"/>
    <w:rsid w:val="00150627"/>
    <w:rsid w:val="00154414"/>
    <w:rsid w:val="001647BF"/>
    <w:rsid w:val="00165B5F"/>
    <w:rsid w:val="00176C08"/>
    <w:rsid w:val="001818B0"/>
    <w:rsid w:val="001910D2"/>
    <w:rsid w:val="00193511"/>
    <w:rsid w:val="001A1A0E"/>
    <w:rsid w:val="001A4E3A"/>
    <w:rsid w:val="001A5737"/>
    <w:rsid w:val="001A6CF1"/>
    <w:rsid w:val="001B3F57"/>
    <w:rsid w:val="001B7A5C"/>
    <w:rsid w:val="001C4E5A"/>
    <w:rsid w:val="001C5F91"/>
    <w:rsid w:val="001C7880"/>
    <w:rsid w:val="001D730C"/>
    <w:rsid w:val="001E0E39"/>
    <w:rsid w:val="001F6A80"/>
    <w:rsid w:val="00200B49"/>
    <w:rsid w:val="002044B5"/>
    <w:rsid w:val="0020666C"/>
    <w:rsid w:val="002132BF"/>
    <w:rsid w:val="0021392D"/>
    <w:rsid w:val="002212BC"/>
    <w:rsid w:val="002228D5"/>
    <w:rsid w:val="002303FF"/>
    <w:rsid w:val="00246AFC"/>
    <w:rsid w:val="00253530"/>
    <w:rsid w:val="002571BD"/>
    <w:rsid w:val="00260140"/>
    <w:rsid w:val="00272ED0"/>
    <w:rsid w:val="002763CA"/>
    <w:rsid w:val="002764F1"/>
    <w:rsid w:val="0027676C"/>
    <w:rsid w:val="00287E0E"/>
    <w:rsid w:val="00297416"/>
    <w:rsid w:val="00297DC8"/>
    <w:rsid w:val="002A0226"/>
    <w:rsid w:val="002A63F7"/>
    <w:rsid w:val="002A787D"/>
    <w:rsid w:val="002B0C3D"/>
    <w:rsid w:val="002B0C4A"/>
    <w:rsid w:val="002B1144"/>
    <w:rsid w:val="002C19EE"/>
    <w:rsid w:val="002C3101"/>
    <w:rsid w:val="002C3C97"/>
    <w:rsid w:val="002C6F8D"/>
    <w:rsid w:val="002D2005"/>
    <w:rsid w:val="002D507B"/>
    <w:rsid w:val="002E17E9"/>
    <w:rsid w:val="002E46A8"/>
    <w:rsid w:val="002E5501"/>
    <w:rsid w:val="002F16A2"/>
    <w:rsid w:val="002F2BAA"/>
    <w:rsid w:val="002F4760"/>
    <w:rsid w:val="002F4A2E"/>
    <w:rsid w:val="002F73AF"/>
    <w:rsid w:val="0030720B"/>
    <w:rsid w:val="003107D9"/>
    <w:rsid w:val="00311FD4"/>
    <w:rsid w:val="003144F3"/>
    <w:rsid w:val="003234DA"/>
    <w:rsid w:val="00324196"/>
    <w:rsid w:val="003263BD"/>
    <w:rsid w:val="00326C2A"/>
    <w:rsid w:val="0033469F"/>
    <w:rsid w:val="00335C96"/>
    <w:rsid w:val="00347E87"/>
    <w:rsid w:val="00352E8B"/>
    <w:rsid w:val="00353DA1"/>
    <w:rsid w:val="00355109"/>
    <w:rsid w:val="00356D73"/>
    <w:rsid w:val="00357EC6"/>
    <w:rsid w:val="0036163D"/>
    <w:rsid w:val="00362D90"/>
    <w:rsid w:val="0036634D"/>
    <w:rsid w:val="0036741B"/>
    <w:rsid w:val="00380FD6"/>
    <w:rsid w:val="00384391"/>
    <w:rsid w:val="003855F0"/>
    <w:rsid w:val="003864D0"/>
    <w:rsid w:val="00390832"/>
    <w:rsid w:val="003911C5"/>
    <w:rsid w:val="00392CC0"/>
    <w:rsid w:val="003948CB"/>
    <w:rsid w:val="003A21F0"/>
    <w:rsid w:val="003A2427"/>
    <w:rsid w:val="003A528B"/>
    <w:rsid w:val="003A7F98"/>
    <w:rsid w:val="003B06BD"/>
    <w:rsid w:val="003B1FDC"/>
    <w:rsid w:val="003B3CD3"/>
    <w:rsid w:val="003B3E06"/>
    <w:rsid w:val="003B6909"/>
    <w:rsid w:val="003B6A73"/>
    <w:rsid w:val="003C1C79"/>
    <w:rsid w:val="003C210F"/>
    <w:rsid w:val="003C2EAA"/>
    <w:rsid w:val="003D19D7"/>
    <w:rsid w:val="003E1547"/>
    <w:rsid w:val="003E4A05"/>
    <w:rsid w:val="003F1693"/>
    <w:rsid w:val="0040605F"/>
    <w:rsid w:val="00406970"/>
    <w:rsid w:val="00411A1F"/>
    <w:rsid w:val="00415D23"/>
    <w:rsid w:val="004219E7"/>
    <w:rsid w:val="00422501"/>
    <w:rsid w:val="00427A7D"/>
    <w:rsid w:val="004330B0"/>
    <w:rsid w:val="0043607E"/>
    <w:rsid w:val="00437167"/>
    <w:rsid w:val="004403FC"/>
    <w:rsid w:val="00446826"/>
    <w:rsid w:val="004504FF"/>
    <w:rsid w:val="00455278"/>
    <w:rsid w:val="0045799E"/>
    <w:rsid w:val="00460285"/>
    <w:rsid w:val="00463BC7"/>
    <w:rsid w:val="004676AA"/>
    <w:rsid w:val="00473CA6"/>
    <w:rsid w:val="00477F18"/>
    <w:rsid w:val="00480786"/>
    <w:rsid w:val="00482C3A"/>
    <w:rsid w:val="00483BB5"/>
    <w:rsid w:val="00490CEC"/>
    <w:rsid w:val="00496521"/>
    <w:rsid w:val="00496AA8"/>
    <w:rsid w:val="004A4CCF"/>
    <w:rsid w:val="004B660F"/>
    <w:rsid w:val="004B6EC6"/>
    <w:rsid w:val="004C220F"/>
    <w:rsid w:val="004C5484"/>
    <w:rsid w:val="004C7029"/>
    <w:rsid w:val="004D08D6"/>
    <w:rsid w:val="004D58BE"/>
    <w:rsid w:val="004E31AE"/>
    <w:rsid w:val="004E3933"/>
    <w:rsid w:val="004E4054"/>
    <w:rsid w:val="004E4F94"/>
    <w:rsid w:val="004F0BD2"/>
    <w:rsid w:val="004F242D"/>
    <w:rsid w:val="004F412C"/>
    <w:rsid w:val="004F4B5F"/>
    <w:rsid w:val="004F537E"/>
    <w:rsid w:val="004F7CB9"/>
    <w:rsid w:val="005020DA"/>
    <w:rsid w:val="0050405C"/>
    <w:rsid w:val="00504658"/>
    <w:rsid w:val="005067BB"/>
    <w:rsid w:val="005140DC"/>
    <w:rsid w:val="005176D2"/>
    <w:rsid w:val="00522784"/>
    <w:rsid w:val="00525E81"/>
    <w:rsid w:val="005338D9"/>
    <w:rsid w:val="00537061"/>
    <w:rsid w:val="005431FF"/>
    <w:rsid w:val="0054325E"/>
    <w:rsid w:val="00545526"/>
    <w:rsid w:val="00546401"/>
    <w:rsid w:val="00546E7B"/>
    <w:rsid w:val="00550526"/>
    <w:rsid w:val="00556321"/>
    <w:rsid w:val="00556C88"/>
    <w:rsid w:val="00562F35"/>
    <w:rsid w:val="00576D5B"/>
    <w:rsid w:val="00582A32"/>
    <w:rsid w:val="00582C47"/>
    <w:rsid w:val="00585E87"/>
    <w:rsid w:val="00590BFC"/>
    <w:rsid w:val="005943D1"/>
    <w:rsid w:val="0059473B"/>
    <w:rsid w:val="005A0D02"/>
    <w:rsid w:val="005A5C61"/>
    <w:rsid w:val="005A6A83"/>
    <w:rsid w:val="005B23AB"/>
    <w:rsid w:val="005B79A5"/>
    <w:rsid w:val="005C45CC"/>
    <w:rsid w:val="005C65CF"/>
    <w:rsid w:val="005D0D2A"/>
    <w:rsid w:val="005D0F7C"/>
    <w:rsid w:val="005D3209"/>
    <w:rsid w:val="005D3B4E"/>
    <w:rsid w:val="005D60AC"/>
    <w:rsid w:val="005D7F1A"/>
    <w:rsid w:val="005E13CF"/>
    <w:rsid w:val="005E5504"/>
    <w:rsid w:val="005F1D13"/>
    <w:rsid w:val="005F3D46"/>
    <w:rsid w:val="005F4086"/>
    <w:rsid w:val="005F532A"/>
    <w:rsid w:val="005F5527"/>
    <w:rsid w:val="00600336"/>
    <w:rsid w:val="00610329"/>
    <w:rsid w:val="00610430"/>
    <w:rsid w:val="0061051D"/>
    <w:rsid w:val="00613F5C"/>
    <w:rsid w:val="0061493C"/>
    <w:rsid w:val="006214BF"/>
    <w:rsid w:val="00622E36"/>
    <w:rsid w:val="006265B8"/>
    <w:rsid w:val="00627534"/>
    <w:rsid w:val="006312A4"/>
    <w:rsid w:val="00633019"/>
    <w:rsid w:val="00633092"/>
    <w:rsid w:val="0064330D"/>
    <w:rsid w:val="00644ECF"/>
    <w:rsid w:val="006543D2"/>
    <w:rsid w:val="0065491B"/>
    <w:rsid w:val="006560B1"/>
    <w:rsid w:val="006600F3"/>
    <w:rsid w:val="00660201"/>
    <w:rsid w:val="00661245"/>
    <w:rsid w:val="00661A30"/>
    <w:rsid w:val="00664C96"/>
    <w:rsid w:val="006650DE"/>
    <w:rsid w:val="00666A1A"/>
    <w:rsid w:val="006703F9"/>
    <w:rsid w:val="00670612"/>
    <w:rsid w:val="00673CFC"/>
    <w:rsid w:val="006778C8"/>
    <w:rsid w:val="0068210D"/>
    <w:rsid w:val="00693A00"/>
    <w:rsid w:val="00696563"/>
    <w:rsid w:val="006978C1"/>
    <w:rsid w:val="006A0E1C"/>
    <w:rsid w:val="006A138E"/>
    <w:rsid w:val="006A1766"/>
    <w:rsid w:val="006A78AF"/>
    <w:rsid w:val="006B2D01"/>
    <w:rsid w:val="006B2F3B"/>
    <w:rsid w:val="006B61EF"/>
    <w:rsid w:val="006C0589"/>
    <w:rsid w:val="006C2724"/>
    <w:rsid w:val="006D11A4"/>
    <w:rsid w:val="006D4060"/>
    <w:rsid w:val="006D63ED"/>
    <w:rsid w:val="006E1CFC"/>
    <w:rsid w:val="006F36D0"/>
    <w:rsid w:val="006F61A1"/>
    <w:rsid w:val="006F69B3"/>
    <w:rsid w:val="00705010"/>
    <w:rsid w:val="00705EB3"/>
    <w:rsid w:val="00713854"/>
    <w:rsid w:val="00715069"/>
    <w:rsid w:val="007201E9"/>
    <w:rsid w:val="00722BA2"/>
    <w:rsid w:val="007301B9"/>
    <w:rsid w:val="00737E44"/>
    <w:rsid w:val="00745CF8"/>
    <w:rsid w:val="00751A39"/>
    <w:rsid w:val="00753586"/>
    <w:rsid w:val="007647A1"/>
    <w:rsid w:val="00766477"/>
    <w:rsid w:val="00766EC0"/>
    <w:rsid w:val="00775C71"/>
    <w:rsid w:val="00780560"/>
    <w:rsid w:val="00781BA8"/>
    <w:rsid w:val="00783BF4"/>
    <w:rsid w:val="0079071E"/>
    <w:rsid w:val="007917DB"/>
    <w:rsid w:val="0079198E"/>
    <w:rsid w:val="007A1387"/>
    <w:rsid w:val="007A3460"/>
    <w:rsid w:val="007C0255"/>
    <w:rsid w:val="007C3A3C"/>
    <w:rsid w:val="007D282B"/>
    <w:rsid w:val="007D4D8C"/>
    <w:rsid w:val="007D516F"/>
    <w:rsid w:val="007E02A4"/>
    <w:rsid w:val="007E073C"/>
    <w:rsid w:val="007E6831"/>
    <w:rsid w:val="007E6E62"/>
    <w:rsid w:val="007F303A"/>
    <w:rsid w:val="007F36B9"/>
    <w:rsid w:val="007F4E24"/>
    <w:rsid w:val="007F55AD"/>
    <w:rsid w:val="007F577E"/>
    <w:rsid w:val="00804CBC"/>
    <w:rsid w:val="00810867"/>
    <w:rsid w:val="00810A11"/>
    <w:rsid w:val="00811075"/>
    <w:rsid w:val="008124EF"/>
    <w:rsid w:val="008160D6"/>
    <w:rsid w:val="00821C99"/>
    <w:rsid w:val="00825848"/>
    <w:rsid w:val="0082628B"/>
    <w:rsid w:val="00831F27"/>
    <w:rsid w:val="00833B4C"/>
    <w:rsid w:val="00836ACF"/>
    <w:rsid w:val="00840353"/>
    <w:rsid w:val="00841682"/>
    <w:rsid w:val="00842667"/>
    <w:rsid w:val="00844F69"/>
    <w:rsid w:val="00846ED0"/>
    <w:rsid w:val="00847948"/>
    <w:rsid w:val="00847E0C"/>
    <w:rsid w:val="00850C96"/>
    <w:rsid w:val="008513C9"/>
    <w:rsid w:val="00851FC3"/>
    <w:rsid w:val="00857710"/>
    <w:rsid w:val="00860673"/>
    <w:rsid w:val="00861A08"/>
    <w:rsid w:val="00865479"/>
    <w:rsid w:val="0086698F"/>
    <w:rsid w:val="0087566B"/>
    <w:rsid w:val="00881688"/>
    <w:rsid w:val="0088178E"/>
    <w:rsid w:val="00887178"/>
    <w:rsid w:val="00894159"/>
    <w:rsid w:val="008A0686"/>
    <w:rsid w:val="008A1E2B"/>
    <w:rsid w:val="008A2BCF"/>
    <w:rsid w:val="008A52D7"/>
    <w:rsid w:val="008B13DE"/>
    <w:rsid w:val="008B2A2A"/>
    <w:rsid w:val="008B7AEB"/>
    <w:rsid w:val="008C1C95"/>
    <w:rsid w:val="008C33B0"/>
    <w:rsid w:val="008D79B5"/>
    <w:rsid w:val="008D79B6"/>
    <w:rsid w:val="008E7D70"/>
    <w:rsid w:val="008F2666"/>
    <w:rsid w:val="008F284F"/>
    <w:rsid w:val="00903097"/>
    <w:rsid w:val="0091362C"/>
    <w:rsid w:val="00913C8F"/>
    <w:rsid w:val="00915287"/>
    <w:rsid w:val="0091677C"/>
    <w:rsid w:val="00917384"/>
    <w:rsid w:val="0092120A"/>
    <w:rsid w:val="0092355D"/>
    <w:rsid w:val="0092500B"/>
    <w:rsid w:val="009255A2"/>
    <w:rsid w:val="009317D5"/>
    <w:rsid w:val="0093372E"/>
    <w:rsid w:val="00935EE1"/>
    <w:rsid w:val="00936CA6"/>
    <w:rsid w:val="00941D1E"/>
    <w:rsid w:val="00942BED"/>
    <w:rsid w:val="009560E0"/>
    <w:rsid w:val="0097518D"/>
    <w:rsid w:val="009818C5"/>
    <w:rsid w:val="00987540"/>
    <w:rsid w:val="00987A1E"/>
    <w:rsid w:val="009A0D1B"/>
    <w:rsid w:val="009A27DC"/>
    <w:rsid w:val="009A2B05"/>
    <w:rsid w:val="009A2F71"/>
    <w:rsid w:val="009A5377"/>
    <w:rsid w:val="009A6994"/>
    <w:rsid w:val="009A73CF"/>
    <w:rsid w:val="009B15B6"/>
    <w:rsid w:val="009B2AA6"/>
    <w:rsid w:val="009B4E23"/>
    <w:rsid w:val="009B7469"/>
    <w:rsid w:val="009C50EC"/>
    <w:rsid w:val="009C5682"/>
    <w:rsid w:val="009D3A40"/>
    <w:rsid w:val="009D5872"/>
    <w:rsid w:val="009E1171"/>
    <w:rsid w:val="009E424B"/>
    <w:rsid w:val="009E7DE8"/>
    <w:rsid w:val="009F2797"/>
    <w:rsid w:val="009F7591"/>
    <w:rsid w:val="00A02347"/>
    <w:rsid w:val="00A05F0F"/>
    <w:rsid w:val="00A10342"/>
    <w:rsid w:val="00A12F57"/>
    <w:rsid w:val="00A140F3"/>
    <w:rsid w:val="00A152AF"/>
    <w:rsid w:val="00A20D89"/>
    <w:rsid w:val="00A25F2B"/>
    <w:rsid w:val="00A307BB"/>
    <w:rsid w:val="00A3154E"/>
    <w:rsid w:val="00A3305F"/>
    <w:rsid w:val="00A3451B"/>
    <w:rsid w:val="00A414DB"/>
    <w:rsid w:val="00A43606"/>
    <w:rsid w:val="00A5036E"/>
    <w:rsid w:val="00A53EFB"/>
    <w:rsid w:val="00A54EF7"/>
    <w:rsid w:val="00A57AB0"/>
    <w:rsid w:val="00A61866"/>
    <w:rsid w:val="00A6215E"/>
    <w:rsid w:val="00A6370A"/>
    <w:rsid w:val="00A709E6"/>
    <w:rsid w:val="00A726A3"/>
    <w:rsid w:val="00A84205"/>
    <w:rsid w:val="00A871DB"/>
    <w:rsid w:val="00A966D4"/>
    <w:rsid w:val="00A97F9D"/>
    <w:rsid w:val="00AA441C"/>
    <w:rsid w:val="00AA4C30"/>
    <w:rsid w:val="00AA64AC"/>
    <w:rsid w:val="00AA6DBC"/>
    <w:rsid w:val="00AB65BA"/>
    <w:rsid w:val="00AC6441"/>
    <w:rsid w:val="00AD3534"/>
    <w:rsid w:val="00AD404B"/>
    <w:rsid w:val="00AE1905"/>
    <w:rsid w:val="00AE50D5"/>
    <w:rsid w:val="00AE5A63"/>
    <w:rsid w:val="00AE73DB"/>
    <w:rsid w:val="00AF2173"/>
    <w:rsid w:val="00AF48D3"/>
    <w:rsid w:val="00AF4942"/>
    <w:rsid w:val="00AF4C64"/>
    <w:rsid w:val="00AF5EF5"/>
    <w:rsid w:val="00B007F3"/>
    <w:rsid w:val="00B020C5"/>
    <w:rsid w:val="00B07CC5"/>
    <w:rsid w:val="00B07E35"/>
    <w:rsid w:val="00B11908"/>
    <w:rsid w:val="00B12EAE"/>
    <w:rsid w:val="00B13665"/>
    <w:rsid w:val="00B14B27"/>
    <w:rsid w:val="00B17626"/>
    <w:rsid w:val="00B20A2A"/>
    <w:rsid w:val="00B3052C"/>
    <w:rsid w:val="00B3261F"/>
    <w:rsid w:val="00B36E60"/>
    <w:rsid w:val="00B41903"/>
    <w:rsid w:val="00B43658"/>
    <w:rsid w:val="00B55610"/>
    <w:rsid w:val="00B603D9"/>
    <w:rsid w:val="00B61ACD"/>
    <w:rsid w:val="00B624D9"/>
    <w:rsid w:val="00B6354B"/>
    <w:rsid w:val="00B65E97"/>
    <w:rsid w:val="00B72429"/>
    <w:rsid w:val="00B72BA9"/>
    <w:rsid w:val="00B85117"/>
    <w:rsid w:val="00B93D08"/>
    <w:rsid w:val="00B96B9A"/>
    <w:rsid w:val="00BA73ED"/>
    <w:rsid w:val="00BB0BB6"/>
    <w:rsid w:val="00BB3260"/>
    <w:rsid w:val="00BB70CD"/>
    <w:rsid w:val="00BB7149"/>
    <w:rsid w:val="00BC345A"/>
    <w:rsid w:val="00BC631B"/>
    <w:rsid w:val="00BD293E"/>
    <w:rsid w:val="00BD4319"/>
    <w:rsid w:val="00BD707E"/>
    <w:rsid w:val="00BE1742"/>
    <w:rsid w:val="00BE1B88"/>
    <w:rsid w:val="00BE313A"/>
    <w:rsid w:val="00BE335A"/>
    <w:rsid w:val="00BE7842"/>
    <w:rsid w:val="00BE790D"/>
    <w:rsid w:val="00BF01FA"/>
    <w:rsid w:val="00BF1F9D"/>
    <w:rsid w:val="00BF50A7"/>
    <w:rsid w:val="00C01AAD"/>
    <w:rsid w:val="00C035E0"/>
    <w:rsid w:val="00C0433F"/>
    <w:rsid w:val="00C0556C"/>
    <w:rsid w:val="00C06105"/>
    <w:rsid w:val="00C0739E"/>
    <w:rsid w:val="00C11052"/>
    <w:rsid w:val="00C13D5D"/>
    <w:rsid w:val="00C16D73"/>
    <w:rsid w:val="00C20238"/>
    <w:rsid w:val="00C21B26"/>
    <w:rsid w:val="00C21B32"/>
    <w:rsid w:val="00C23904"/>
    <w:rsid w:val="00C24F73"/>
    <w:rsid w:val="00C312B3"/>
    <w:rsid w:val="00C32B92"/>
    <w:rsid w:val="00C32C82"/>
    <w:rsid w:val="00C331F2"/>
    <w:rsid w:val="00C34481"/>
    <w:rsid w:val="00C34EC3"/>
    <w:rsid w:val="00C460BF"/>
    <w:rsid w:val="00C464E2"/>
    <w:rsid w:val="00C56590"/>
    <w:rsid w:val="00C565B8"/>
    <w:rsid w:val="00C60858"/>
    <w:rsid w:val="00C61D55"/>
    <w:rsid w:val="00C767AE"/>
    <w:rsid w:val="00C76CC2"/>
    <w:rsid w:val="00C77245"/>
    <w:rsid w:val="00C91267"/>
    <w:rsid w:val="00C9542B"/>
    <w:rsid w:val="00CA0F48"/>
    <w:rsid w:val="00CA0FD1"/>
    <w:rsid w:val="00CA1109"/>
    <w:rsid w:val="00CA24EC"/>
    <w:rsid w:val="00CA5C59"/>
    <w:rsid w:val="00CB2F64"/>
    <w:rsid w:val="00CC08CE"/>
    <w:rsid w:val="00CC1BE8"/>
    <w:rsid w:val="00CC2335"/>
    <w:rsid w:val="00CC7AD1"/>
    <w:rsid w:val="00CD269C"/>
    <w:rsid w:val="00CD3F4E"/>
    <w:rsid w:val="00CE0F93"/>
    <w:rsid w:val="00CE5F92"/>
    <w:rsid w:val="00CF3C5D"/>
    <w:rsid w:val="00CF7D83"/>
    <w:rsid w:val="00CF7F51"/>
    <w:rsid w:val="00D14DBB"/>
    <w:rsid w:val="00D15E43"/>
    <w:rsid w:val="00D223ED"/>
    <w:rsid w:val="00D26863"/>
    <w:rsid w:val="00D26BDB"/>
    <w:rsid w:val="00D329E9"/>
    <w:rsid w:val="00D36A50"/>
    <w:rsid w:val="00D43C27"/>
    <w:rsid w:val="00D47242"/>
    <w:rsid w:val="00D7297A"/>
    <w:rsid w:val="00D72C7E"/>
    <w:rsid w:val="00D73634"/>
    <w:rsid w:val="00D74DA8"/>
    <w:rsid w:val="00D84497"/>
    <w:rsid w:val="00D90D85"/>
    <w:rsid w:val="00D9406B"/>
    <w:rsid w:val="00D94E85"/>
    <w:rsid w:val="00DA2ECE"/>
    <w:rsid w:val="00DA53FA"/>
    <w:rsid w:val="00DB30A6"/>
    <w:rsid w:val="00DB5B17"/>
    <w:rsid w:val="00DD1B1F"/>
    <w:rsid w:val="00DD4335"/>
    <w:rsid w:val="00DD5BEF"/>
    <w:rsid w:val="00DE2DE8"/>
    <w:rsid w:val="00DE404B"/>
    <w:rsid w:val="00DE4393"/>
    <w:rsid w:val="00DF02E3"/>
    <w:rsid w:val="00DF0EE0"/>
    <w:rsid w:val="00DF4AF2"/>
    <w:rsid w:val="00DF75A0"/>
    <w:rsid w:val="00E002B7"/>
    <w:rsid w:val="00E127DD"/>
    <w:rsid w:val="00E12D93"/>
    <w:rsid w:val="00E345EA"/>
    <w:rsid w:val="00E37AF5"/>
    <w:rsid w:val="00E4564B"/>
    <w:rsid w:val="00E53B8A"/>
    <w:rsid w:val="00E54414"/>
    <w:rsid w:val="00E577D5"/>
    <w:rsid w:val="00E57EA0"/>
    <w:rsid w:val="00E6020C"/>
    <w:rsid w:val="00E63219"/>
    <w:rsid w:val="00E660F7"/>
    <w:rsid w:val="00E73916"/>
    <w:rsid w:val="00E7653D"/>
    <w:rsid w:val="00E77BED"/>
    <w:rsid w:val="00E80539"/>
    <w:rsid w:val="00E8643D"/>
    <w:rsid w:val="00E8682A"/>
    <w:rsid w:val="00E94A8F"/>
    <w:rsid w:val="00E9621D"/>
    <w:rsid w:val="00EB0DCF"/>
    <w:rsid w:val="00EC36BA"/>
    <w:rsid w:val="00EC6FC8"/>
    <w:rsid w:val="00ED5934"/>
    <w:rsid w:val="00EE097A"/>
    <w:rsid w:val="00EE17DF"/>
    <w:rsid w:val="00EE6EB3"/>
    <w:rsid w:val="00EE7A9A"/>
    <w:rsid w:val="00EF0D63"/>
    <w:rsid w:val="00EF1E10"/>
    <w:rsid w:val="00EF3474"/>
    <w:rsid w:val="00EF35B9"/>
    <w:rsid w:val="00EF6754"/>
    <w:rsid w:val="00F026A7"/>
    <w:rsid w:val="00F03168"/>
    <w:rsid w:val="00F10BCB"/>
    <w:rsid w:val="00F13FF9"/>
    <w:rsid w:val="00F21BCA"/>
    <w:rsid w:val="00F22393"/>
    <w:rsid w:val="00F262B1"/>
    <w:rsid w:val="00F27C8C"/>
    <w:rsid w:val="00F3397C"/>
    <w:rsid w:val="00F37CF5"/>
    <w:rsid w:val="00F43114"/>
    <w:rsid w:val="00F5721C"/>
    <w:rsid w:val="00F62460"/>
    <w:rsid w:val="00F625C3"/>
    <w:rsid w:val="00F62B73"/>
    <w:rsid w:val="00F659F4"/>
    <w:rsid w:val="00F65B24"/>
    <w:rsid w:val="00F75727"/>
    <w:rsid w:val="00F758F6"/>
    <w:rsid w:val="00F77F93"/>
    <w:rsid w:val="00F82B9B"/>
    <w:rsid w:val="00F86347"/>
    <w:rsid w:val="00F90790"/>
    <w:rsid w:val="00F915AC"/>
    <w:rsid w:val="00F95D0E"/>
    <w:rsid w:val="00FA0C6B"/>
    <w:rsid w:val="00FA1E51"/>
    <w:rsid w:val="00FA3847"/>
    <w:rsid w:val="00FA7A26"/>
    <w:rsid w:val="00FB5213"/>
    <w:rsid w:val="00FB5943"/>
    <w:rsid w:val="00FB7894"/>
    <w:rsid w:val="00FC38AB"/>
    <w:rsid w:val="00FC3B0B"/>
    <w:rsid w:val="00FC7E31"/>
    <w:rsid w:val="00FD2222"/>
    <w:rsid w:val="00FD29C1"/>
    <w:rsid w:val="00FE5675"/>
    <w:rsid w:val="00FE5B55"/>
    <w:rsid w:val="00FE6830"/>
    <w:rsid w:val="00FF086B"/>
    <w:rsid w:val="00FF1A9E"/>
    <w:rsid w:val="00FF2A05"/>
    <w:rsid w:val="00FF662C"/>
    <w:rsid w:val="00FF7506"/>
    <w:rsid w:val="0679462D"/>
    <w:rsid w:val="0E10F9F1"/>
    <w:rsid w:val="0E8BA0CB"/>
    <w:rsid w:val="0F693937"/>
    <w:rsid w:val="1353155D"/>
    <w:rsid w:val="18089987"/>
    <w:rsid w:val="1C121F24"/>
    <w:rsid w:val="214D8E50"/>
    <w:rsid w:val="2558A282"/>
    <w:rsid w:val="2958C878"/>
    <w:rsid w:val="2F28E482"/>
    <w:rsid w:val="2F5CCD8A"/>
    <w:rsid w:val="2FD5F945"/>
    <w:rsid w:val="35244A45"/>
    <w:rsid w:val="38327B66"/>
    <w:rsid w:val="3C086B9D"/>
    <w:rsid w:val="469829F6"/>
    <w:rsid w:val="46C36485"/>
    <w:rsid w:val="5E578C89"/>
    <w:rsid w:val="5F7D1F1A"/>
    <w:rsid w:val="648A2F60"/>
    <w:rsid w:val="67FC9B84"/>
    <w:rsid w:val="743F59DE"/>
    <w:rsid w:val="7E51F6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F33FB"/>
  <w15:docId w15:val="{481E10E0-CCAC-42DD-9959-5BF525D2F0B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D1B1F"/>
    <w:pPr>
      <w:spacing w:after="0" w:line="240" w:lineRule="auto"/>
    </w:pPr>
    <w:rPr>
      <w:rFonts w:ascii="Times New Roman" w:eastAsia="Times New Roman" w:hAnsi="Times New Roman" w:cs="Times New Roman"/>
      <w:sz w:val="20"/>
      <w:szCs w:val="20"/>
      <w:lang w:eastAsia="de-DE"/>
    </w:rPr>
  </w:style>
  <w:style w:type="paragraph" w:styleId="Heading1">
    <w:name w:val="heading 1"/>
    <w:next w:val="BasicText"/>
    <w:link w:val="Heading1Char"/>
    <w:qFormat/>
    <w:rsid w:val="00DD1B1F"/>
    <w:pPr>
      <w:keepNext/>
      <w:keepLines/>
      <w:pageBreakBefore/>
      <w:numPr>
        <w:numId w:val="10"/>
      </w:numPr>
      <w:spacing w:after="160" w:line="360" w:lineRule="auto"/>
      <w:outlineLvl w:val="0"/>
    </w:pPr>
    <w:rPr>
      <w:rFonts w:ascii="Times New Roman" w:eastAsia="Times New Roman" w:hAnsi="Times New Roman" w:cs="Times New Roman"/>
      <w:b/>
      <w:kern w:val="28"/>
      <w:sz w:val="28"/>
      <w:szCs w:val="20"/>
      <w:lang w:val="en-GB" w:eastAsia="de-DE"/>
    </w:rPr>
  </w:style>
  <w:style w:type="paragraph" w:styleId="Heading2">
    <w:name w:val="heading 2"/>
    <w:basedOn w:val="Heading1"/>
    <w:next w:val="BasicText"/>
    <w:link w:val="Heading2Char"/>
    <w:qFormat/>
    <w:rsid w:val="00670612"/>
    <w:pPr>
      <w:pageBreakBefore w:val="0"/>
      <w:numPr>
        <w:ilvl w:val="1"/>
      </w:numPr>
      <w:spacing w:before="320"/>
      <w:outlineLvl w:val="1"/>
    </w:pPr>
    <w:rPr>
      <w:sz w:val="24"/>
    </w:rPr>
  </w:style>
  <w:style w:type="paragraph" w:styleId="Heading3">
    <w:name w:val="heading 3"/>
    <w:basedOn w:val="Heading2"/>
    <w:next w:val="BasicText"/>
    <w:link w:val="Heading3Char"/>
    <w:qFormat/>
    <w:rsid w:val="00670612"/>
    <w:pPr>
      <w:numPr>
        <w:ilvl w:val="2"/>
      </w:numPr>
      <w:outlineLvl w:val="2"/>
    </w:pPr>
  </w:style>
  <w:style w:type="paragraph" w:styleId="Heading4">
    <w:name w:val="heading 4"/>
    <w:basedOn w:val="Heading3"/>
    <w:next w:val="BasicText"/>
    <w:link w:val="Heading4Char"/>
    <w:qFormat/>
    <w:rsid w:val="00670612"/>
    <w:pPr>
      <w:numPr>
        <w:ilvl w:val="3"/>
      </w:numPr>
      <w:outlineLvl w:val="3"/>
    </w:pPr>
    <w:rPr>
      <w:szCs w:val="24"/>
    </w:rPr>
  </w:style>
  <w:style w:type="paragraph" w:styleId="Heading5">
    <w:name w:val="heading 5"/>
    <w:basedOn w:val="Heading4"/>
    <w:next w:val="BasicText"/>
    <w:link w:val="Heading5Char"/>
    <w:qFormat/>
    <w:rsid w:val="00670612"/>
    <w:pPr>
      <w:numPr>
        <w:ilvl w:val="4"/>
      </w:numPr>
      <w:spacing w:before="160"/>
      <w:outlineLvl w:val="4"/>
    </w:pPr>
    <w:rPr>
      <w:b w:val="0"/>
    </w:rPr>
  </w:style>
  <w:style w:type="paragraph" w:styleId="Heading6">
    <w:name w:val="heading 6"/>
    <w:basedOn w:val="Normal"/>
    <w:next w:val="Normal"/>
    <w:link w:val="Heading6Char"/>
    <w:qFormat/>
    <w:rsid w:val="00670612"/>
    <w:pPr>
      <w:numPr>
        <w:ilvl w:val="5"/>
        <w:numId w:val="10"/>
      </w:numPr>
      <w:spacing w:before="240" w:after="60"/>
      <w:outlineLvl w:val="5"/>
    </w:pPr>
    <w:rPr>
      <w:i/>
      <w:sz w:val="22"/>
    </w:rPr>
  </w:style>
  <w:style w:type="paragraph" w:styleId="Heading7">
    <w:name w:val="heading 7"/>
    <w:basedOn w:val="Normal"/>
    <w:next w:val="Normal"/>
    <w:link w:val="Heading7Char"/>
    <w:qFormat/>
    <w:rsid w:val="00670612"/>
    <w:pPr>
      <w:numPr>
        <w:ilvl w:val="6"/>
        <w:numId w:val="10"/>
      </w:numPr>
      <w:spacing w:before="240" w:after="60"/>
      <w:outlineLvl w:val="6"/>
    </w:pPr>
    <w:rPr>
      <w:rFonts w:ascii="Arial" w:hAnsi="Arial"/>
    </w:rPr>
  </w:style>
  <w:style w:type="paragraph" w:styleId="Heading8">
    <w:name w:val="heading 8"/>
    <w:basedOn w:val="Heading2"/>
    <w:next w:val="BasicText"/>
    <w:link w:val="Heading8Char"/>
    <w:qFormat/>
    <w:rsid w:val="00670612"/>
    <w:pPr>
      <w:numPr>
        <w:ilvl w:val="7"/>
      </w:numPr>
      <w:outlineLvl w:val="7"/>
    </w:pPr>
  </w:style>
  <w:style w:type="paragraph" w:styleId="Heading9">
    <w:name w:val="heading 9"/>
    <w:basedOn w:val="Heading3"/>
    <w:next w:val="BasicText"/>
    <w:link w:val="Heading9Char"/>
    <w:qFormat/>
    <w:rsid w:val="0067061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next w:val="Normal"/>
    <w:semiHidden/>
    <w:rsid w:val="00670612"/>
    <w:pPr>
      <w:tabs>
        <w:tab w:val="right" w:leader="dot" w:pos="8505"/>
      </w:tabs>
      <w:spacing w:before="100" w:after="0" w:line="240" w:lineRule="auto"/>
      <w:ind w:left="1134" w:hanging="1134"/>
    </w:pPr>
    <w:rPr>
      <w:rFonts w:ascii="Times New Roman" w:eastAsia="Times New Roman" w:hAnsi="Times New Roman" w:cs="Times New Roman"/>
      <w:sz w:val="24"/>
      <w:szCs w:val="20"/>
      <w:lang w:eastAsia="de-DE"/>
    </w:rPr>
  </w:style>
  <w:style w:type="paragraph" w:styleId="Caption">
    <w:name w:val="caption"/>
    <w:next w:val="BasicText"/>
    <w:uiPriority w:val="1"/>
    <w:qFormat/>
    <w:rsid w:val="00670612"/>
    <w:pPr>
      <w:spacing w:before="120" w:after="120" w:line="360" w:lineRule="auto"/>
      <w:ind w:left="1418" w:hanging="1418"/>
    </w:pPr>
    <w:rPr>
      <w:rFonts w:ascii="Times New Roman" w:eastAsia="Times New Roman" w:hAnsi="Times New Roman" w:cs="Times New Roman"/>
      <w:b/>
      <w:sz w:val="24"/>
      <w:szCs w:val="20"/>
      <w:lang w:eastAsia="de-DE"/>
    </w:rPr>
  </w:style>
  <w:style w:type="paragraph" w:styleId="DocumentMap">
    <w:name w:val="Document Map"/>
    <w:basedOn w:val="Normal"/>
    <w:link w:val="DocumentMapChar"/>
    <w:semiHidden/>
    <w:rsid w:val="00670612"/>
    <w:pPr>
      <w:shd w:val="clear" w:color="auto" w:fill="000080"/>
    </w:pPr>
    <w:rPr>
      <w:rFonts w:ascii="Tahoma" w:hAnsi="Tahoma"/>
    </w:rPr>
  </w:style>
  <w:style w:type="character" w:customStyle="1" w:styleId="DocumentMapChar">
    <w:name w:val="Document Map Char"/>
    <w:basedOn w:val="DefaultParagraphFont"/>
    <w:link w:val="DocumentMap"/>
    <w:semiHidden/>
    <w:rsid w:val="00670612"/>
    <w:rPr>
      <w:rFonts w:ascii="Tahoma" w:eastAsia="Times New Roman" w:hAnsi="Tahoma" w:cs="Times New Roman"/>
      <w:sz w:val="20"/>
      <w:szCs w:val="20"/>
      <w:shd w:val="clear" w:color="auto" w:fill="000080"/>
      <w:lang w:eastAsia="de-DE"/>
    </w:rPr>
  </w:style>
  <w:style w:type="paragraph" w:styleId="FootnoteText">
    <w:name w:val="footnote text"/>
    <w:link w:val="FootnoteTextChar"/>
    <w:semiHidden/>
    <w:rsid w:val="00380FD6"/>
    <w:pPr>
      <w:keepLines/>
      <w:spacing w:after="0" w:line="240" w:lineRule="auto"/>
      <w:ind w:left="425" w:hanging="425"/>
      <w:jc w:val="both"/>
    </w:pPr>
    <w:rPr>
      <w:rFonts w:ascii="Times New Roman" w:eastAsia="Times New Roman" w:hAnsi="Times New Roman" w:cs="Times New Roman"/>
      <w:sz w:val="20"/>
      <w:szCs w:val="20"/>
      <w:lang w:val="en-GB" w:eastAsia="de-DE"/>
    </w:rPr>
  </w:style>
  <w:style w:type="character" w:customStyle="1" w:styleId="FootnoteTextChar">
    <w:name w:val="Footnote Text Char"/>
    <w:basedOn w:val="DefaultParagraphFont"/>
    <w:link w:val="FootnoteText"/>
    <w:semiHidden/>
    <w:rsid w:val="00380FD6"/>
    <w:rPr>
      <w:rFonts w:ascii="Times New Roman" w:eastAsia="Times New Roman" w:hAnsi="Times New Roman" w:cs="Times New Roman"/>
      <w:sz w:val="20"/>
      <w:szCs w:val="20"/>
      <w:lang w:val="en-GB" w:eastAsia="de-DE"/>
    </w:rPr>
  </w:style>
  <w:style w:type="character" w:styleId="FootnoteReference">
    <w:name w:val="footnote reference"/>
    <w:basedOn w:val="DefaultParagraphFont"/>
    <w:semiHidden/>
    <w:rsid w:val="00670612"/>
    <w:rPr>
      <w:sz w:val="20"/>
      <w:vertAlign w:val="superscript"/>
    </w:rPr>
  </w:style>
  <w:style w:type="paragraph" w:styleId="Footer">
    <w:name w:val="footer"/>
    <w:link w:val="FooterChar"/>
    <w:uiPriority w:val="1"/>
    <w:rsid w:val="00380FD6"/>
    <w:pPr>
      <w:tabs>
        <w:tab w:val="center" w:pos="4536"/>
        <w:tab w:val="right" w:pos="9072"/>
      </w:tabs>
      <w:spacing w:after="0" w:line="240" w:lineRule="auto"/>
    </w:pPr>
    <w:rPr>
      <w:rFonts w:ascii="Times New Roman" w:eastAsia="Times New Roman" w:hAnsi="Times New Roman" w:cs="Times New Roman"/>
      <w:sz w:val="20"/>
      <w:szCs w:val="20"/>
      <w:lang w:val="en-GB" w:eastAsia="de-DE"/>
    </w:rPr>
  </w:style>
  <w:style w:type="character" w:customStyle="1" w:styleId="FooterChar">
    <w:name w:val="Footer Char"/>
    <w:basedOn w:val="DefaultParagraphFont"/>
    <w:link w:val="Footer"/>
    <w:uiPriority w:val="1"/>
    <w:rsid w:val="00380FD6"/>
    <w:rPr>
      <w:rFonts w:ascii="Times New Roman" w:eastAsia="Times New Roman" w:hAnsi="Times New Roman" w:cs="Times New Roman"/>
      <w:sz w:val="20"/>
      <w:szCs w:val="20"/>
      <w:lang w:val="en-GB" w:eastAsia="de-DE"/>
    </w:rPr>
  </w:style>
  <w:style w:type="paragraph" w:customStyle="1" w:styleId="BasicText">
    <w:name w:val="Basic Text"/>
    <w:link w:val="BasicTextZchn"/>
    <w:rsid w:val="000126E5"/>
    <w:pPr>
      <w:spacing w:after="240" w:line="360" w:lineRule="atLeast"/>
      <w:jc w:val="both"/>
    </w:pPr>
    <w:rPr>
      <w:rFonts w:ascii="Times New Roman" w:eastAsia="Times New Roman" w:hAnsi="Times New Roman" w:cs="Times New Roman"/>
      <w:sz w:val="24"/>
      <w:szCs w:val="20"/>
      <w:lang w:val="en-GB" w:eastAsia="de-DE"/>
    </w:rPr>
  </w:style>
  <w:style w:type="paragraph" w:customStyle="1" w:styleId="Image">
    <w:name w:val="Image"/>
    <w:basedOn w:val="BasicText"/>
    <w:next w:val="ImageSource"/>
    <w:rsid w:val="00670612"/>
    <w:pPr>
      <w:keepNext/>
      <w:spacing w:after="60" w:line="240" w:lineRule="auto"/>
      <w:jc w:val="left"/>
    </w:pPr>
  </w:style>
  <w:style w:type="paragraph" w:customStyle="1" w:styleId="ImageSource">
    <w:name w:val="Image Source"/>
    <w:basedOn w:val="BasicText"/>
    <w:next w:val="Caption"/>
    <w:rsid w:val="00670612"/>
    <w:pPr>
      <w:keepNext/>
      <w:spacing w:after="0" w:line="240" w:lineRule="auto"/>
      <w:jc w:val="right"/>
    </w:pPr>
  </w:style>
  <w:style w:type="paragraph" w:customStyle="1" w:styleId="BasicTextList">
    <w:name w:val="Basic Text (List)"/>
    <w:basedOn w:val="BasicText"/>
    <w:rsid w:val="00670612"/>
    <w:pPr>
      <w:numPr>
        <w:numId w:val="1"/>
      </w:numPr>
    </w:pPr>
  </w:style>
  <w:style w:type="paragraph" w:customStyle="1" w:styleId="BasicTextIndentation">
    <w:name w:val="Basic Text (Indentation)"/>
    <w:basedOn w:val="BasicText"/>
    <w:rsid w:val="00670612"/>
    <w:pPr>
      <w:spacing w:after="0" w:line="240" w:lineRule="auto"/>
      <w:ind w:left="1701" w:hanging="1701"/>
      <w:jc w:val="left"/>
    </w:pPr>
  </w:style>
  <w:style w:type="paragraph" w:customStyle="1" w:styleId="BasicTextNumberedList">
    <w:name w:val="Basic Text (Numbered List)"/>
    <w:basedOn w:val="BasicTextList"/>
    <w:rsid w:val="00353DA1"/>
    <w:pPr>
      <w:numPr>
        <w:numId w:val="21"/>
      </w:numPr>
      <w:ind w:left="357" w:hanging="357"/>
    </w:pPr>
  </w:style>
  <w:style w:type="paragraph" w:customStyle="1" w:styleId="BasicTextSQL">
    <w:name w:val="Basic Text (SQL)"/>
    <w:basedOn w:val="BasicText"/>
    <w:rsid w:val="00670612"/>
    <w:pPr>
      <w:tabs>
        <w:tab w:val="left" w:pos="1134"/>
      </w:tabs>
      <w:spacing w:after="0"/>
      <w:ind w:left="1134" w:hanging="1134"/>
      <w:jc w:val="left"/>
    </w:pPr>
    <w:rPr>
      <w:rFonts w:ascii="Courier New" w:hAnsi="Courier New"/>
    </w:rPr>
  </w:style>
  <w:style w:type="paragraph" w:customStyle="1" w:styleId="BasicTextTable">
    <w:name w:val="Basic Text (Table)"/>
    <w:basedOn w:val="BasicText"/>
    <w:rsid w:val="00670612"/>
    <w:pPr>
      <w:keepNext/>
      <w:spacing w:after="0" w:line="240" w:lineRule="atLeast"/>
      <w:jc w:val="left"/>
    </w:pPr>
    <w:rPr>
      <w:sz w:val="20"/>
    </w:rPr>
  </w:style>
  <w:style w:type="character" w:customStyle="1" w:styleId="Heading1Char">
    <w:name w:val="Heading 1 Char"/>
    <w:basedOn w:val="DefaultParagraphFont"/>
    <w:link w:val="Heading1"/>
    <w:rsid w:val="00DD1B1F"/>
    <w:rPr>
      <w:rFonts w:ascii="Times New Roman" w:eastAsia="Times New Roman" w:hAnsi="Times New Roman" w:cs="Times New Roman"/>
      <w:b/>
      <w:kern w:val="28"/>
      <w:sz w:val="28"/>
      <w:szCs w:val="20"/>
      <w:lang w:val="en-GB" w:eastAsia="de-DE"/>
    </w:rPr>
  </w:style>
  <w:style w:type="paragraph" w:customStyle="1" w:styleId="BasicTextHeading1look-alike">
    <w:name w:val="Basic Text (Heading1 look-alike)"/>
    <w:basedOn w:val="Heading1"/>
    <w:next w:val="BasicText"/>
    <w:rsid w:val="00722BA2"/>
    <w:pPr>
      <w:numPr>
        <w:numId w:val="0"/>
      </w:numPr>
      <w:outlineLvl w:val="9"/>
    </w:pPr>
  </w:style>
  <w:style w:type="paragraph" w:customStyle="1" w:styleId="BasicTextCentered">
    <w:name w:val="Basic Text (Centered)"/>
    <w:basedOn w:val="BasicText"/>
    <w:rsid w:val="00670612"/>
    <w:pPr>
      <w:spacing w:after="0" w:line="320" w:lineRule="atLeast"/>
      <w:jc w:val="center"/>
    </w:pPr>
  </w:style>
  <w:style w:type="character" w:customStyle="1" w:styleId="BasicCharCourier">
    <w:name w:val="Basic Char. (Courier)"/>
    <w:rsid w:val="00670612"/>
    <w:rPr>
      <w:rFonts w:ascii="Courier New" w:hAnsi="Courier New"/>
      <w:sz w:val="24"/>
    </w:rPr>
  </w:style>
  <w:style w:type="character" w:customStyle="1" w:styleId="BasicCharEN">
    <w:name w:val="Basic Char. (EN)"/>
    <w:rsid w:val="00670612"/>
    <w:rPr>
      <w:noProof w:val="0"/>
      <w:lang w:val="en-GB"/>
    </w:rPr>
  </w:style>
  <w:style w:type="character" w:customStyle="1" w:styleId="BasicCharBold">
    <w:name w:val="Basic Char. (Bold)"/>
    <w:rsid w:val="00670612"/>
    <w:rPr>
      <w:b/>
    </w:rPr>
  </w:style>
  <w:style w:type="character" w:customStyle="1" w:styleId="BasicCharFR">
    <w:name w:val="Basic Char. (FR)"/>
    <w:rsid w:val="00670612"/>
    <w:rPr>
      <w:noProof w:val="0"/>
      <w:lang w:val="fr-FR"/>
    </w:rPr>
  </w:style>
  <w:style w:type="character" w:customStyle="1" w:styleId="BasicCharSuperscript">
    <w:name w:val="Basic Char. (Superscript)"/>
    <w:basedOn w:val="DefaultParagraphFont"/>
    <w:rsid w:val="00670612"/>
    <w:rPr>
      <w:vertAlign w:val="superscript"/>
    </w:rPr>
  </w:style>
  <w:style w:type="character" w:customStyle="1" w:styleId="BasicCharSmallCapitals">
    <w:name w:val="Basic Char. (Small Capitals)"/>
    <w:rsid w:val="00144A2E"/>
    <w:rPr>
      <w:smallCaps/>
      <w:noProof/>
      <w:lang w:val="en-GB"/>
    </w:rPr>
  </w:style>
  <w:style w:type="character" w:customStyle="1" w:styleId="BasicCharNoLanguage">
    <w:name w:val="Basic Char. (No Language)"/>
    <w:rsid w:val="00670612"/>
    <w:rPr>
      <w:noProof/>
    </w:rPr>
  </w:style>
  <w:style w:type="character" w:customStyle="1" w:styleId="BasicCharItalic">
    <w:name w:val="Basic Char. (Italic)"/>
    <w:rsid w:val="00670612"/>
    <w:rPr>
      <w:i/>
    </w:rPr>
  </w:style>
  <w:style w:type="character" w:customStyle="1" w:styleId="BasicCharSubscript">
    <w:name w:val="Basic Char. (Subscript)"/>
    <w:basedOn w:val="DefaultParagraphFont"/>
    <w:rsid w:val="00670612"/>
    <w:rPr>
      <w:vertAlign w:val="subscript"/>
    </w:rPr>
  </w:style>
  <w:style w:type="character" w:customStyle="1" w:styleId="BasicCharUnderlined">
    <w:name w:val="Basic Char. (Underlined)"/>
    <w:basedOn w:val="DefaultParagraphFont"/>
    <w:rsid w:val="00670612"/>
    <w:rPr>
      <w:u w:val="single"/>
    </w:rPr>
  </w:style>
  <w:style w:type="character" w:styleId="Hyperlink">
    <w:name w:val="Hyperlink"/>
    <w:basedOn w:val="DefaultParagraphFont"/>
    <w:uiPriority w:val="99"/>
    <w:rsid w:val="00670612"/>
    <w:rPr>
      <w:color w:val="0000FF"/>
      <w:u w:val="single"/>
    </w:rPr>
  </w:style>
  <w:style w:type="paragraph" w:styleId="Index1">
    <w:name w:val="index 1"/>
    <w:next w:val="Index2"/>
    <w:semiHidden/>
    <w:rsid w:val="00670612"/>
    <w:pPr>
      <w:tabs>
        <w:tab w:val="right" w:leader="dot" w:pos="4034"/>
      </w:tabs>
      <w:spacing w:after="0" w:line="240" w:lineRule="auto"/>
      <w:ind w:left="200" w:hanging="200"/>
    </w:pPr>
    <w:rPr>
      <w:rFonts w:ascii="Times New Roman" w:eastAsia="Times New Roman" w:hAnsi="Times New Roman" w:cs="Times New Roman"/>
      <w:sz w:val="20"/>
      <w:szCs w:val="20"/>
      <w:lang w:eastAsia="de-DE"/>
    </w:rPr>
  </w:style>
  <w:style w:type="paragraph" w:styleId="Index2">
    <w:name w:val="index 2"/>
    <w:basedOn w:val="Normal"/>
    <w:next w:val="Normal"/>
    <w:semiHidden/>
    <w:rsid w:val="00670612"/>
    <w:pPr>
      <w:tabs>
        <w:tab w:val="right" w:leader="dot" w:pos="4034"/>
      </w:tabs>
      <w:ind w:left="400" w:hanging="200"/>
    </w:pPr>
  </w:style>
  <w:style w:type="paragraph" w:styleId="Index3">
    <w:name w:val="index 3"/>
    <w:basedOn w:val="Normal"/>
    <w:next w:val="Normal"/>
    <w:semiHidden/>
    <w:rsid w:val="00670612"/>
    <w:pPr>
      <w:tabs>
        <w:tab w:val="right" w:leader="dot" w:pos="4034"/>
      </w:tabs>
      <w:ind w:left="600" w:hanging="200"/>
    </w:pPr>
  </w:style>
  <w:style w:type="paragraph" w:styleId="Index4">
    <w:name w:val="index 4"/>
    <w:basedOn w:val="Normal"/>
    <w:next w:val="Normal"/>
    <w:semiHidden/>
    <w:rsid w:val="00670612"/>
    <w:pPr>
      <w:tabs>
        <w:tab w:val="right" w:leader="dot" w:pos="4034"/>
      </w:tabs>
      <w:ind w:left="800" w:hanging="200"/>
    </w:pPr>
  </w:style>
  <w:style w:type="paragraph" w:styleId="Index5">
    <w:name w:val="index 5"/>
    <w:basedOn w:val="Normal"/>
    <w:next w:val="Normal"/>
    <w:semiHidden/>
    <w:rsid w:val="00670612"/>
    <w:pPr>
      <w:tabs>
        <w:tab w:val="right" w:leader="dot" w:pos="4034"/>
      </w:tabs>
      <w:ind w:left="1000" w:hanging="200"/>
    </w:pPr>
  </w:style>
  <w:style w:type="paragraph" w:styleId="Index6">
    <w:name w:val="index 6"/>
    <w:basedOn w:val="Normal"/>
    <w:next w:val="Normal"/>
    <w:semiHidden/>
    <w:rsid w:val="00670612"/>
    <w:pPr>
      <w:tabs>
        <w:tab w:val="right" w:leader="dot" w:pos="4034"/>
      </w:tabs>
      <w:ind w:left="1200" w:hanging="200"/>
    </w:pPr>
  </w:style>
  <w:style w:type="paragraph" w:styleId="Index7">
    <w:name w:val="index 7"/>
    <w:basedOn w:val="Normal"/>
    <w:next w:val="Normal"/>
    <w:semiHidden/>
    <w:rsid w:val="00670612"/>
    <w:pPr>
      <w:tabs>
        <w:tab w:val="right" w:leader="dot" w:pos="4034"/>
      </w:tabs>
      <w:ind w:left="1400" w:hanging="200"/>
    </w:pPr>
  </w:style>
  <w:style w:type="paragraph" w:styleId="Index8">
    <w:name w:val="index 8"/>
    <w:basedOn w:val="Normal"/>
    <w:next w:val="Normal"/>
    <w:semiHidden/>
    <w:rsid w:val="00670612"/>
    <w:pPr>
      <w:tabs>
        <w:tab w:val="right" w:leader="dot" w:pos="4034"/>
      </w:tabs>
      <w:ind w:left="1600" w:hanging="200"/>
    </w:pPr>
  </w:style>
  <w:style w:type="paragraph" w:styleId="Index9">
    <w:name w:val="index 9"/>
    <w:basedOn w:val="Normal"/>
    <w:next w:val="Normal"/>
    <w:semiHidden/>
    <w:rsid w:val="00670612"/>
    <w:pPr>
      <w:tabs>
        <w:tab w:val="right" w:leader="dot" w:pos="4034"/>
      </w:tabs>
      <w:ind w:left="1800" w:hanging="200"/>
    </w:pPr>
  </w:style>
  <w:style w:type="paragraph" w:styleId="IndexHeading">
    <w:name w:val="index heading"/>
    <w:basedOn w:val="Normal"/>
    <w:next w:val="Index1"/>
    <w:semiHidden/>
    <w:rsid w:val="00670612"/>
  </w:style>
  <w:style w:type="paragraph" w:styleId="Header">
    <w:name w:val="header"/>
    <w:link w:val="HeaderChar"/>
    <w:uiPriority w:val="99"/>
    <w:rsid w:val="00670612"/>
    <w:pPr>
      <w:tabs>
        <w:tab w:val="center" w:pos="4536"/>
        <w:tab w:val="right" w:pos="9072"/>
      </w:tabs>
      <w:spacing w:after="0" w:line="240" w:lineRule="auto"/>
    </w:pPr>
    <w:rPr>
      <w:rFonts w:ascii="Times New Roman" w:eastAsia="Times New Roman" w:hAnsi="Times New Roman" w:cs="Times New Roman"/>
      <w:sz w:val="20"/>
      <w:szCs w:val="20"/>
      <w:lang w:eastAsia="de-DE"/>
    </w:rPr>
  </w:style>
  <w:style w:type="character" w:customStyle="1" w:styleId="HeaderChar">
    <w:name w:val="Header Char"/>
    <w:basedOn w:val="DefaultParagraphFont"/>
    <w:link w:val="Header"/>
    <w:uiPriority w:val="99"/>
    <w:rsid w:val="00670612"/>
    <w:rPr>
      <w:rFonts w:ascii="Times New Roman" w:eastAsia="Times New Roman" w:hAnsi="Times New Roman" w:cs="Times New Roman"/>
      <w:sz w:val="20"/>
      <w:szCs w:val="20"/>
      <w:lang w:eastAsia="de-DE"/>
    </w:rPr>
  </w:style>
  <w:style w:type="paragraph" w:customStyle="1" w:styleId="LiteratureEntry">
    <w:name w:val="Literature Entry"/>
    <w:rsid w:val="00670612"/>
    <w:pPr>
      <w:spacing w:after="0" w:line="320" w:lineRule="atLeast"/>
      <w:ind w:left="851" w:hanging="851"/>
    </w:pPr>
    <w:rPr>
      <w:rFonts w:ascii="Times New Roman" w:eastAsia="Times New Roman" w:hAnsi="Times New Roman" w:cs="Times New Roman"/>
      <w:sz w:val="24"/>
      <w:szCs w:val="20"/>
      <w:lang w:eastAsia="de-DE"/>
    </w:rPr>
  </w:style>
  <w:style w:type="character" w:styleId="PageNumber">
    <w:name w:val="page number"/>
    <w:basedOn w:val="DefaultParagraphFont"/>
    <w:uiPriority w:val="1"/>
    <w:rsid w:val="00670612"/>
  </w:style>
  <w:style w:type="table" w:styleId="TableGrid">
    <w:name w:val="Table Grid"/>
    <w:basedOn w:val="TableNormal"/>
    <w:rsid w:val="00670612"/>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ource">
    <w:name w:val="Table Source"/>
    <w:basedOn w:val="ImageSource"/>
    <w:next w:val="Caption"/>
    <w:rsid w:val="00670612"/>
  </w:style>
  <w:style w:type="character" w:customStyle="1" w:styleId="Heading2Char">
    <w:name w:val="Heading 2 Char"/>
    <w:basedOn w:val="DefaultParagraphFont"/>
    <w:link w:val="Heading2"/>
    <w:rsid w:val="00670612"/>
    <w:rPr>
      <w:rFonts w:ascii="Times New Roman" w:eastAsia="Times New Roman" w:hAnsi="Times New Roman" w:cs="Times New Roman"/>
      <w:b/>
      <w:kern w:val="28"/>
      <w:sz w:val="24"/>
      <w:szCs w:val="20"/>
      <w:lang w:eastAsia="de-DE"/>
    </w:rPr>
  </w:style>
  <w:style w:type="character" w:customStyle="1" w:styleId="Heading3Char">
    <w:name w:val="Heading 3 Char"/>
    <w:basedOn w:val="DefaultParagraphFont"/>
    <w:link w:val="Heading3"/>
    <w:rsid w:val="00670612"/>
    <w:rPr>
      <w:rFonts w:ascii="Times New Roman" w:eastAsia="Times New Roman" w:hAnsi="Times New Roman" w:cs="Times New Roman"/>
      <w:b/>
      <w:kern w:val="28"/>
      <w:sz w:val="24"/>
      <w:szCs w:val="20"/>
      <w:lang w:eastAsia="de-DE"/>
    </w:rPr>
  </w:style>
  <w:style w:type="character" w:customStyle="1" w:styleId="Heading4Char">
    <w:name w:val="Heading 4 Char"/>
    <w:basedOn w:val="DefaultParagraphFont"/>
    <w:link w:val="Heading4"/>
    <w:rsid w:val="00670612"/>
    <w:rPr>
      <w:rFonts w:ascii="Times New Roman" w:eastAsia="Times New Roman" w:hAnsi="Times New Roman" w:cs="Times New Roman"/>
      <w:b/>
      <w:kern w:val="28"/>
      <w:sz w:val="24"/>
      <w:szCs w:val="24"/>
      <w:lang w:eastAsia="de-DE"/>
    </w:rPr>
  </w:style>
  <w:style w:type="character" w:customStyle="1" w:styleId="Heading5Char">
    <w:name w:val="Heading 5 Char"/>
    <w:basedOn w:val="DefaultParagraphFont"/>
    <w:link w:val="Heading5"/>
    <w:rsid w:val="00670612"/>
    <w:rPr>
      <w:rFonts w:ascii="Times New Roman" w:eastAsia="Times New Roman" w:hAnsi="Times New Roman" w:cs="Times New Roman"/>
      <w:kern w:val="28"/>
      <w:sz w:val="24"/>
      <w:szCs w:val="24"/>
      <w:lang w:eastAsia="de-DE"/>
    </w:rPr>
  </w:style>
  <w:style w:type="character" w:customStyle="1" w:styleId="Heading6Char">
    <w:name w:val="Heading 6 Char"/>
    <w:basedOn w:val="DefaultParagraphFont"/>
    <w:link w:val="Heading6"/>
    <w:rsid w:val="00670612"/>
    <w:rPr>
      <w:rFonts w:ascii="Times New Roman" w:eastAsia="Times New Roman" w:hAnsi="Times New Roman" w:cs="Times New Roman"/>
      <w:i/>
      <w:szCs w:val="20"/>
      <w:lang w:eastAsia="de-DE"/>
    </w:rPr>
  </w:style>
  <w:style w:type="character" w:customStyle="1" w:styleId="Heading7Char">
    <w:name w:val="Heading 7 Char"/>
    <w:basedOn w:val="DefaultParagraphFont"/>
    <w:link w:val="Heading7"/>
    <w:rsid w:val="00670612"/>
    <w:rPr>
      <w:rFonts w:ascii="Arial" w:eastAsia="Times New Roman" w:hAnsi="Arial" w:cs="Times New Roman"/>
      <w:sz w:val="20"/>
      <w:szCs w:val="20"/>
      <w:lang w:eastAsia="de-DE"/>
    </w:rPr>
  </w:style>
  <w:style w:type="character" w:customStyle="1" w:styleId="Heading8Char">
    <w:name w:val="Heading 8 Char"/>
    <w:basedOn w:val="DefaultParagraphFont"/>
    <w:link w:val="Heading8"/>
    <w:rsid w:val="00670612"/>
    <w:rPr>
      <w:rFonts w:ascii="Times New Roman" w:eastAsia="Times New Roman" w:hAnsi="Times New Roman" w:cs="Times New Roman"/>
      <w:b/>
      <w:kern w:val="28"/>
      <w:sz w:val="24"/>
      <w:szCs w:val="20"/>
      <w:lang w:eastAsia="de-DE"/>
    </w:rPr>
  </w:style>
  <w:style w:type="character" w:customStyle="1" w:styleId="Heading9Char">
    <w:name w:val="Heading 9 Char"/>
    <w:basedOn w:val="DefaultParagraphFont"/>
    <w:link w:val="Heading9"/>
    <w:rsid w:val="00670612"/>
    <w:rPr>
      <w:rFonts w:ascii="Times New Roman" w:eastAsia="Times New Roman" w:hAnsi="Times New Roman" w:cs="Times New Roman"/>
      <w:b/>
      <w:kern w:val="28"/>
      <w:sz w:val="24"/>
      <w:szCs w:val="20"/>
      <w:lang w:eastAsia="de-DE"/>
    </w:rPr>
  </w:style>
  <w:style w:type="paragraph" w:styleId="TOC1">
    <w:name w:val="toc 1"/>
    <w:next w:val="TOC2"/>
    <w:uiPriority w:val="39"/>
    <w:rsid w:val="00670612"/>
    <w:pPr>
      <w:keepNext/>
      <w:tabs>
        <w:tab w:val="right" w:leader="dot" w:pos="8505"/>
      </w:tabs>
      <w:spacing w:before="100" w:after="0" w:line="240" w:lineRule="auto"/>
      <w:ind w:left="284" w:hanging="284"/>
    </w:pPr>
    <w:rPr>
      <w:rFonts w:ascii="Times New Roman" w:eastAsia="Times New Roman" w:hAnsi="Times New Roman" w:cs="Times New Roman"/>
      <w:noProof/>
      <w:sz w:val="24"/>
      <w:szCs w:val="20"/>
      <w:lang w:eastAsia="de-DE"/>
    </w:rPr>
  </w:style>
  <w:style w:type="paragraph" w:styleId="TOC2">
    <w:name w:val="toc 2"/>
    <w:basedOn w:val="TOC1"/>
    <w:next w:val="TOC3"/>
    <w:uiPriority w:val="39"/>
    <w:rsid w:val="00670612"/>
    <w:pPr>
      <w:keepNext w:val="0"/>
      <w:spacing w:before="40"/>
      <w:ind w:left="709" w:hanging="425"/>
    </w:pPr>
  </w:style>
  <w:style w:type="paragraph" w:styleId="TOC3">
    <w:name w:val="toc 3"/>
    <w:basedOn w:val="TOC2"/>
    <w:next w:val="TOC4"/>
    <w:uiPriority w:val="39"/>
    <w:rsid w:val="00670612"/>
    <w:pPr>
      <w:spacing w:before="0"/>
      <w:ind w:left="1276" w:hanging="567"/>
    </w:pPr>
  </w:style>
  <w:style w:type="paragraph" w:styleId="TOC4">
    <w:name w:val="toc 4"/>
    <w:basedOn w:val="TOC3"/>
    <w:next w:val="TOC5"/>
    <w:uiPriority w:val="39"/>
    <w:rsid w:val="00670612"/>
    <w:pPr>
      <w:ind w:left="1985" w:hanging="709"/>
    </w:pPr>
  </w:style>
  <w:style w:type="paragraph" w:styleId="TOC5">
    <w:name w:val="toc 5"/>
    <w:basedOn w:val="TOC4"/>
    <w:next w:val="TOC6"/>
    <w:uiPriority w:val="39"/>
    <w:rsid w:val="00670612"/>
  </w:style>
  <w:style w:type="paragraph" w:styleId="TOC6">
    <w:name w:val="toc 6"/>
    <w:basedOn w:val="Normal"/>
    <w:next w:val="Normal"/>
    <w:uiPriority w:val="39"/>
    <w:rsid w:val="00670612"/>
    <w:pPr>
      <w:tabs>
        <w:tab w:val="right" w:leader="dot" w:pos="8505"/>
      </w:tabs>
      <w:ind w:left="1000"/>
    </w:pPr>
  </w:style>
  <w:style w:type="paragraph" w:styleId="TOC7">
    <w:name w:val="toc 7"/>
    <w:basedOn w:val="Normal"/>
    <w:next w:val="Normal"/>
    <w:uiPriority w:val="39"/>
    <w:rsid w:val="00670612"/>
    <w:pPr>
      <w:tabs>
        <w:tab w:val="right" w:leader="dot" w:pos="8505"/>
      </w:tabs>
      <w:ind w:left="1200"/>
    </w:pPr>
  </w:style>
  <w:style w:type="paragraph" w:styleId="TOC8">
    <w:name w:val="toc 8"/>
    <w:basedOn w:val="TOC2"/>
    <w:next w:val="Normal"/>
    <w:uiPriority w:val="39"/>
    <w:rsid w:val="00670612"/>
  </w:style>
  <w:style w:type="paragraph" w:styleId="TOC9">
    <w:name w:val="toc 9"/>
    <w:basedOn w:val="TOC3"/>
    <w:next w:val="Normal"/>
    <w:uiPriority w:val="39"/>
    <w:rsid w:val="00670612"/>
    <w:pPr>
      <w:ind w:left="567"/>
    </w:pPr>
  </w:style>
  <w:style w:type="paragraph" w:customStyle="1" w:styleId="Subheading1">
    <w:name w:val="Subheading 1"/>
    <w:next w:val="BasicText"/>
    <w:rsid w:val="00DD1B1F"/>
    <w:pPr>
      <w:keepNext/>
      <w:spacing w:before="360" w:after="60" w:line="360" w:lineRule="auto"/>
    </w:pPr>
    <w:rPr>
      <w:rFonts w:ascii="Times New Roman" w:eastAsia="Times New Roman" w:hAnsi="Times New Roman" w:cs="Times New Roman"/>
      <w:i/>
      <w:sz w:val="24"/>
      <w:szCs w:val="20"/>
      <w:lang w:val="en-GB" w:eastAsia="de-DE"/>
    </w:rPr>
  </w:style>
  <w:style w:type="paragraph" w:customStyle="1" w:styleId="Subheading2">
    <w:name w:val="Subheading 2"/>
    <w:basedOn w:val="Subheading1"/>
    <w:next w:val="BasicText"/>
    <w:rsid w:val="00670612"/>
    <w:pPr>
      <w:spacing w:before="240"/>
    </w:pPr>
    <w:rPr>
      <w:i w:val="0"/>
    </w:rPr>
  </w:style>
  <w:style w:type="character" w:customStyle="1" w:styleId="BasicTextZchn">
    <w:name w:val="Basic Text Zchn"/>
    <w:basedOn w:val="DefaultParagraphFont"/>
    <w:link w:val="BasicText"/>
    <w:rsid w:val="000126E5"/>
    <w:rPr>
      <w:rFonts w:ascii="Times New Roman" w:eastAsia="Times New Roman" w:hAnsi="Times New Roman" w:cs="Times New Roman"/>
      <w:sz w:val="24"/>
      <w:szCs w:val="20"/>
      <w:lang w:val="en-GB" w:eastAsia="de-DE"/>
    </w:rPr>
  </w:style>
  <w:style w:type="paragraph" w:styleId="BalloonText">
    <w:name w:val="Balloon Text"/>
    <w:basedOn w:val="Normal"/>
    <w:link w:val="BalloonTextChar"/>
    <w:uiPriority w:val="99"/>
    <w:semiHidden/>
    <w:unhideWhenUsed/>
    <w:rsid w:val="009B15B6"/>
    <w:rPr>
      <w:rFonts w:ascii="Tahoma" w:hAnsi="Tahoma" w:cs="Tahoma"/>
      <w:sz w:val="16"/>
      <w:szCs w:val="16"/>
    </w:rPr>
  </w:style>
  <w:style w:type="character" w:customStyle="1" w:styleId="BalloonTextChar">
    <w:name w:val="Balloon Text Char"/>
    <w:basedOn w:val="DefaultParagraphFont"/>
    <w:link w:val="BalloonText"/>
    <w:uiPriority w:val="99"/>
    <w:semiHidden/>
    <w:rsid w:val="009B15B6"/>
    <w:rPr>
      <w:rFonts w:ascii="Tahoma" w:eastAsia="Times New Roman" w:hAnsi="Tahoma" w:cs="Tahoma"/>
      <w:sz w:val="16"/>
      <w:szCs w:val="16"/>
      <w:lang w:eastAsia="de-DE"/>
    </w:rPr>
  </w:style>
  <w:style w:type="paragraph" w:styleId="NoSpacing">
    <w:name w:val="No Spacing"/>
    <w:link w:val="NoSpacingChar"/>
    <w:uiPriority w:val="1"/>
    <w:qFormat/>
    <w:rsid w:val="00F86347"/>
    <w:pPr>
      <w:spacing w:after="0" w:line="240" w:lineRule="auto"/>
    </w:pPr>
    <w:rPr>
      <w:rFonts w:eastAsiaTheme="minorEastAsia"/>
    </w:rPr>
  </w:style>
  <w:style w:type="character" w:customStyle="1" w:styleId="NoSpacingChar">
    <w:name w:val="No Spacing Char"/>
    <w:basedOn w:val="DefaultParagraphFont"/>
    <w:link w:val="NoSpacing"/>
    <w:uiPriority w:val="1"/>
    <w:rsid w:val="00F86347"/>
    <w:rPr>
      <w:rFonts w:eastAsiaTheme="minorEastAsia"/>
    </w:rPr>
  </w:style>
  <w:style w:type="character" w:customStyle="1" w:styleId="BasicCharDE">
    <w:name w:val="Basic Char. (DE)"/>
    <w:qFormat/>
    <w:rsid w:val="00DD1B1F"/>
    <w:rPr>
      <w:lang w:val="de-DE"/>
    </w:rPr>
  </w:style>
  <w:style w:type="paragraph" w:customStyle="1" w:styleId="font-claude-response-body">
    <w:name w:val="font-claude-response-body"/>
    <w:basedOn w:val="Normal"/>
    <w:rsid w:val="0000172D"/>
    <w:pPr>
      <w:spacing w:before="100" w:beforeAutospacing="1" w:after="100" w:afterAutospacing="1"/>
    </w:pPr>
    <w:rPr>
      <w:sz w:val="24"/>
      <w:szCs w:val="24"/>
    </w:rPr>
  </w:style>
  <w:style w:type="character" w:styleId="Emphasis">
    <w:name w:val="Emphasis"/>
    <w:basedOn w:val="DefaultParagraphFont"/>
    <w:uiPriority w:val="20"/>
    <w:qFormat/>
    <w:rsid w:val="0000172D"/>
    <w:rPr>
      <w:i/>
      <w:iCs/>
    </w:rPr>
  </w:style>
  <w:style w:type="character" w:customStyle="1" w:styleId="apple-converted-space">
    <w:name w:val="apple-converted-space"/>
    <w:basedOn w:val="DefaultParagraphFont"/>
    <w:rsid w:val="0000172D"/>
  </w:style>
  <w:style w:type="character" w:styleId="Strong">
    <w:name w:val="Strong"/>
    <w:basedOn w:val="DefaultParagraphFont"/>
    <w:uiPriority w:val="22"/>
    <w:qFormat/>
    <w:rsid w:val="0000172D"/>
    <w:rPr>
      <w:b/>
      <w:bCs/>
    </w:rPr>
  </w:style>
  <w:style w:type="paragraph" w:styleId="Bibliography">
    <w:name w:val="Bibliography"/>
    <w:basedOn w:val="Normal"/>
    <w:next w:val="Normal"/>
    <w:uiPriority w:val="37"/>
    <w:unhideWhenUsed/>
    <w:rsid w:val="0000172D"/>
    <w:pPr>
      <w:spacing w:line="480" w:lineRule="auto"/>
      <w:ind w:left="720" w:hanging="720"/>
    </w:pPr>
  </w:style>
  <w:style w:type="character" w:styleId="CommentReference">
    <w:name w:val="annotation reference"/>
    <w:basedOn w:val="DefaultParagraphFont"/>
    <w:uiPriority w:val="99"/>
    <w:semiHidden/>
    <w:unhideWhenUsed/>
    <w:rsid w:val="0000172D"/>
    <w:rPr>
      <w:sz w:val="16"/>
      <w:szCs w:val="16"/>
    </w:rPr>
  </w:style>
  <w:style w:type="paragraph" w:styleId="CommentText">
    <w:name w:val="annotation text"/>
    <w:basedOn w:val="Normal"/>
    <w:link w:val="CommentTextChar"/>
    <w:uiPriority w:val="99"/>
    <w:unhideWhenUsed/>
    <w:rsid w:val="0000172D"/>
  </w:style>
  <w:style w:type="character" w:customStyle="1" w:styleId="CommentTextChar">
    <w:name w:val="Comment Text Char"/>
    <w:basedOn w:val="DefaultParagraphFont"/>
    <w:link w:val="CommentText"/>
    <w:uiPriority w:val="99"/>
    <w:rsid w:val="0000172D"/>
    <w:rPr>
      <w:rFonts w:ascii="Times New Roman" w:eastAsia="Times New Roman" w:hAnsi="Times New Roman" w:cs="Times New Roman"/>
      <w:sz w:val="20"/>
      <w:szCs w:val="20"/>
      <w:lang w:eastAsia="de-DE"/>
    </w:rPr>
  </w:style>
  <w:style w:type="paragraph" w:styleId="CommentSubject">
    <w:name w:val="annotation subject"/>
    <w:basedOn w:val="CommentText"/>
    <w:next w:val="CommentText"/>
    <w:link w:val="CommentSubjectChar"/>
    <w:uiPriority w:val="99"/>
    <w:semiHidden/>
    <w:unhideWhenUsed/>
    <w:rsid w:val="0000172D"/>
    <w:rPr>
      <w:b/>
      <w:bCs/>
    </w:rPr>
  </w:style>
  <w:style w:type="character" w:customStyle="1" w:styleId="CommentSubjectChar">
    <w:name w:val="Comment Subject Char"/>
    <w:basedOn w:val="CommentTextChar"/>
    <w:link w:val="CommentSubject"/>
    <w:uiPriority w:val="99"/>
    <w:semiHidden/>
    <w:rsid w:val="0000172D"/>
    <w:rPr>
      <w:rFonts w:ascii="Times New Roman" w:eastAsia="Times New Roman" w:hAnsi="Times New Roman" w:cs="Times New Roman"/>
      <w:b/>
      <w:bCs/>
      <w:sz w:val="20"/>
      <w:szCs w:val="20"/>
      <w:lang w:eastAsia="de-DE"/>
    </w:rPr>
  </w:style>
  <w:style w:type="character" w:styleId="UnresolvedMention">
    <w:name w:val="Unresolved Mention"/>
    <w:basedOn w:val="DefaultParagraphFont"/>
    <w:uiPriority w:val="99"/>
    <w:semiHidden/>
    <w:unhideWhenUsed/>
    <w:rsid w:val="00A12F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deoksanglee/BackboneLayoutIP"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o\AppData\Local\Temp\4704bad3-5978-4c42-a6a0-09db3533fdef_isthesis-word-master.zip.def\isthesis-word-master\wiss_arb_EN.dot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8707DC336A996442AE144D1DB668D2CD" ma:contentTypeVersion="3" ma:contentTypeDescription="Ein neues Dokument erstellen." ma:contentTypeScope="" ma:versionID="4d78ec081b2fd8d21d3bcf973bf0bea0">
  <xsd:schema xmlns:xsd="http://www.w3.org/2001/XMLSchema" xmlns:xs="http://www.w3.org/2001/XMLSchema" xmlns:p="http://schemas.microsoft.com/office/2006/metadata/properties" xmlns:ns2="6111dd16-61bc-4a39-b368-bfe1759ca07f" targetNamespace="http://schemas.microsoft.com/office/2006/metadata/properties" ma:root="true" ma:fieldsID="5371582b8c837a86a09ee70833af22ce" ns2:_="">
    <xsd:import namespace="6111dd16-61bc-4a39-b368-bfe1759ca07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11dd16-61bc-4a39-b368-bfe1759ca0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252A46-7655-45D2-A527-7363F149D6B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B990120-05F2-4A44-BE2A-43A8E3D02E98}">
  <ds:schemaRefs>
    <ds:schemaRef ds:uri="http://schemas.microsoft.com/sharepoint/v3/contenttype/forms"/>
  </ds:schemaRefs>
</ds:datastoreItem>
</file>

<file path=customXml/itemProps3.xml><?xml version="1.0" encoding="utf-8"?>
<ds:datastoreItem xmlns:ds="http://schemas.openxmlformats.org/officeDocument/2006/customXml" ds:itemID="{F059D6B4-651F-45B7-8C27-285A0B9797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11dd16-61bc-4a39-b368-bfe1759ca0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826AEA-3134-4F00-B170-643297D89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C:\Users\Nico\AppData\Local\Temp\4704bad3-5978-4c42-a6a0-09db3533fdef_isthesis-word-master.zip.def\isthesis-word-master\wiss_arb_EN.dotm</Template>
  <TotalTime>725</TotalTime>
  <Pages>39</Pages>
  <Words>9034</Words>
  <Characters>51496</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dc:creator>
  <cp:lastModifiedBy>Yannick Brusa</cp:lastModifiedBy>
  <cp:revision>118</cp:revision>
  <dcterms:created xsi:type="dcterms:W3CDTF">2026-06-03T08:28:00Z</dcterms:created>
  <dcterms:modified xsi:type="dcterms:W3CDTF">2026-08-03T13:06:00Z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0x0101008707DC336A996442AE144D1DB668D2CD</vt:lpwstr>
  </property>
  <property fmtid="{D5CDD505-2E9C-101B-9397-08002B2CF9AE}" pid="3" name="ZOTERO_PREF_2">
    <vt:lpwstr>lAbbreviations" value="true"/&gt;&lt;/prefs&gt;&lt;/data&gt;</vt:lpwstr>
  </property>
  <property fmtid="{D5CDD505-2E9C-101B-9397-08002B2CF9AE}" pid="4" name="ZOTERO_PREF_1">
    <vt:lpwstr>&lt;data data-version="3" zotero-version="9.0.5"&gt;&lt;session id="ppIgQ9Kc"/&gt;&lt;style id="http://www.zotero.org/styles/apa" locale="en-GB" hasBibliography="1" bibliographyStyleHasBeenSet="1"/&gt;&lt;prefs&gt;&lt;pref name="fieldType" value="Field"/&gt;&lt;pref name="automaticJourna</vt:lpwstr>
  </property>
</Properties>
</file>