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ind w:firstLine="720"/>
        <w:contextualSpacing w:val="0"/>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We, the members of the KVM [Khondker’s Vehicle Mechanics], in recognition of the importance of our personal and professional growth, its members and the communities we serve, do hereby commit ourselves to the highest ethical and professional conduct and agree:</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accept responsibility in making decisions consistent with the safety, health, and welfare of the classroom and all of its occupants, and to disclose promptly factors that might endanger the them or the environment;</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avoid real or perceived conflicts of interest whenever possible, and to disclose them to affected parties when they do exist;</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be honest and realistic in stating claims or estimates based on available data;  </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reject bribery in all of its forms;</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improve the understanding of technology; its appropriate application, and potential consequences;  </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maintain and improve our technical competence and to undertake technological tasks for others only if qualified by training or experience, or after full disclosure of pertinent limitations;  </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seek, accept, and offer honest criticism of technical work, to acknowledge and correct errors, and to credit properly the contributions of others;  </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treat fairly all persons and to not engage in acts of discrimination based on race, religion, gender, disability, age, national origin, sexual orientation, gender identity, or gender expression;</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avoid injuring others, their property, reputation, or employment by false or malicious action;  </w:t>
      </w:r>
    </w:p>
    <w:p w:rsidR="00000000" w:rsidDel="00000000" w:rsidP="00000000" w:rsidRDefault="00000000" w:rsidRPr="00000000">
      <w:pPr>
        <w:numPr>
          <w:ilvl w:val="0"/>
          <w:numId w:val="1"/>
        </w:numPr>
        <w:pBdr>
          <w:top w:color="auto" w:space="2" w:sz="0" w:val="none"/>
          <w:bottom w:color="auto" w:space="3" w:sz="0" w:val="none"/>
          <w:right w:color="auto" w:space="0" w:sz="0" w:val="none"/>
        </w:pBdr>
        <w:spacing w:line="240" w:lineRule="auto"/>
        <w:ind w:left="1200" w:hanging="360"/>
        <w:contextualSpacing w:val="1"/>
        <w:jc w:val="both"/>
        <w:rPr>
          <w:rFonts w:ascii="Courier New" w:cs="Courier New" w:eastAsia="Courier New" w:hAnsi="Courier New"/>
          <w:sz w:val="22"/>
          <w:szCs w:val="22"/>
        </w:rPr>
      </w:pPr>
      <w:r w:rsidDel="00000000" w:rsidR="00000000" w:rsidRPr="00000000">
        <w:rPr>
          <w:rFonts w:ascii="Courier New" w:cs="Courier New" w:eastAsia="Courier New" w:hAnsi="Courier New"/>
          <w:color w:val="333333"/>
          <w:rtl w:val="0"/>
        </w:rPr>
        <w:t xml:space="preserve">to assist colleagues and co-workers in their professional development and to support them in following this code of ethics.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Changes to the KVM Code of Ethics will be made only after they have been agreed upon unanimously by all members of the team working under the name Khondker’s Vehicle Mechanics.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both"/>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both"/>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Member acknowledgements: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Signed  :_________________________                   Date:____________</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after="20" w:line="240" w:lineRule="auto"/>
      <w:contextualSpacing w:val="0"/>
      <w:jc w:val="both"/>
      <w:rPr/>
    </w:pPr>
    <w:r w:rsidDel="00000000" w:rsidR="00000000" w:rsidRPr="00000000">
      <w:rPr>
        <w:rFonts w:ascii="Courier New" w:cs="Courier New" w:eastAsia="Courier New" w:hAnsi="Courier New"/>
        <w:color w:val="333333"/>
        <w:rtl w:val="0"/>
      </w:rPr>
      <w:t xml:space="preserve">Adapted from IEEE 7.8; Code of Ethics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Khondker’s Vehicle Mechanics Individual Code of Ethics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