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n82kbeq196d5" w:id="0"/>
    <w:bookmarkEnd w:id="0"/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7rv8tbxr3h8" w:id="1"/>
      <w:bookmarkEnd w:id="1"/>
      <w:r w:rsidDel="00000000" w:rsidR="00000000" w:rsidRPr="00000000">
        <w:rPr>
          <w:rtl w:val="0"/>
        </w:rPr>
        <w:t xml:space="preserve">Architektúra siete 5. generácie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Predmet: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B-UMKS – Úvod do mobilných komunikačných systémov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Fakulta elektrotechniky a informatiky, STU v Bratislave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tbl>
      <w:tblPr>
        <w:tblStyle w:val="Table1"/>
        <w:tblpPr w:leftFromText="180" w:rightFromText="180" w:topFromText="180" w:bottomFromText="180" w:vertAnchor="text" w:horzAnchor="text" w:tblpX="698.0000000000005" w:tblpY="27.375000000000682"/>
        <w:tblW w:w="792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Vypracoval: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Yehor Brusniak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Vedúci predmetu: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doc. Ing. Miloš Orgoň, PhD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Akademický rok: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2025/2026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Dátum odovzdania: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3. marca 2026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Referát č. 36 – téma zadaná v rámci predmetu B-UMKS</w:t>
      </w:r>
      <w:r w:rsidDel="00000000" w:rsidR="00000000" w:rsidRPr="00000000">
        <w:rPr>
          <w:rtl w:val="0"/>
        </w:rPr>
      </w:r>
    </w:p>
    <w:bookmarkStart w:colFirst="0" w:colLast="0" w:name="lalxcbqbiwh6" w:id="2"/>
    <w:bookmarkEnd w:id="2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1 Úvod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Mobilné komunikačné systémy prešli za posledné 10 rokov dynamickým vývojom. Od analógových systémov prvej generácie (1G), cez digitalizáciu v podobe 2G (GSM), nástup mobilného internetu v 3G (UMTS) až po paketovo orientovanú vysokorýchlostnú architektúru 4G LTE, každá generácia reagovala na aktuálne technologické možnosti a potreby používateľov.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Medzinárodná telekomunikačná únia (ITU) v dokumente IMT-2020 definuje tri kľúčové aplikačné scenáre: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eMBB (enhanced Mobile Broadband):</w:t>
      </w:r>
      <w:r w:rsidDel="00000000" w:rsidR="00000000" w:rsidRPr="00000000">
        <w:rPr>
          <w:rtl w:val="0"/>
        </w:rPr>
        <w:t xml:space="preserve"> Extrémne vysoké rýchlosti (až 20 Gbit/s DL), pre 8K streaming, VR/AR a cloudové hry.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URLLC (Ultra-Reliable Low Latency Communications):</w:t>
      </w:r>
      <w:r w:rsidDel="00000000" w:rsidR="00000000" w:rsidRPr="00000000">
        <w:rPr>
          <w:rtl w:val="0"/>
        </w:rPr>
        <w:t xml:space="preserve"> Latencia pod 1 ms a spoľahlivosť 99,9999 % pre autonómne vozidlá, priemyselnú automatizáciu a vzdialenú medicínu.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mMTC (massive Machine Type Communications):</w:t>
      </w:r>
      <w:r w:rsidDel="00000000" w:rsidR="00000000" w:rsidRPr="00000000">
        <w:rPr>
          <w:rtl w:val="0"/>
        </w:rPr>
        <w:t xml:space="preserve"> Hustota až 1 milión zariadení/km² pre masívny IoT s dlhou výdržou batérie.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Tieto tri scenáre majú protichodné požiadavky, čo si vyžiadalo úplné prepracovanie architektúry. Na rozdiel od relatívne centralizovaného jadra EPC v LTE (MME, SGW, PGW) je 5G Core navrhnuté ako modulárny, cloudovo orientovaný systém založený na princípe Service-Based Architecture (SBA).</w:t>
      </w:r>
    </w:p>
    <w:bookmarkStart w:colFirst="0" w:colLast="0" w:name="jqgc82qqfzn8" w:id="3"/>
    <w:bookmarkEnd w:id="3"/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2 Prístupová sieť: NG-RAN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Prístupová sieť NG-RAN (Next Generation Radio Access Network) zabezpečuje rádiové prepojenie medzi koncovým zariadením (UE – User Equipment) a jadrom siete 5G Core. Jej architektúra je definovaná v špecifikácii 3GPP TS 38.401 a predstavuje významný posun oproti koncepcii eNodeB známej z LTE.</w:t>
        <w:br w:type="textWrapping"/>
        <w:br w:type="textWrapping"/>
        <w:br w:type="textWrapping"/>
        <w:br w:type="textWrapping"/>
      </w:r>
    </w:p>
    <w:bookmarkStart w:colFirst="0" w:colLast="0" w:name="9e6o0ed4v9bi" w:id="4"/>
    <w:bookmarkEnd w:id="4"/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2.1 Uzol gNB a rozdelenie CU/DU/RU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Základným prvkom NG-RAN je uzol </w:t>
      </w:r>
      <w:r w:rsidDel="00000000" w:rsidR="00000000" w:rsidRPr="00000000">
        <w:rPr>
          <w:b w:val="1"/>
          <w:bCs w:val="1"/>
          <w:rtl w:val="0"/>
        </w:rPr>
        <w:t xml:space="preserve">gNB</w:t>
      </w:r>
      <w:r w:rsidDel="00000000" w:rsidR="00000000" w:rsidRPr="00000000">
        <w:rPr>
          <w:rtl w:val="0"/>
        </w:rPr>
        <w:t xml:space="preserve"> (Next Generation NodeB), ktorý je možné rozdeliť na tri fyzicky oddeliteľné jednotky: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 (Radio Unit):</w:t>
      </w:r>
      <w:r w:rsidDel="00000000" w:rsidR="00000000" w:rsidRPr="00000000">
        <w:rPr>
          <w:rtl w:val="0"/>
        </w:rPr>
        <w:t xml:space="preserve"> RF komponenty, antény, spodná časť fyzickej vrstvy (PHY). Umiestnená priamo na stožiari.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-611575</wp:posOffset>
            </wp:positionH>
            <wp:positionV relativeFrom="paragraph">
              <wp:posOffset>2752725</wp:posOffset>
            </wp:positionV>
            <wp:extent cx="7353512" cy="4381626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3512" cy="43816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 (Distributed Unit):</w:t>
      </w:r>
      <w:r w:rsidDel="00000000" w:rsidR="00000000" w:rsidRPr="00000000">
        <w:rPr>
          <w:rtl w:val="0"/>
        </w:rPr>
        <w:t xml:space="preserve"> Horná PHY, vrstvy MAC a RLC. Rieši plánovanie rádiových zdrojov a HARQ procesy.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 (Central Unit):</w:t>
      </w:r>
      <w:r w:rsidDel="00000000" w:rsidR="00000000" w:rsidRPr="00000000">
        <w:rPr>
          <w:rtl w:val="0"/>
        </w:rPr>
        <w:t xml:space="preserve"> Vrstvy PDCP, SDAP a RRC. Môže byť ďalej rozdelená na </w:t>
      </w:r>
      <w:r w:rsidDel="00000000" w:rsidR="00000000" w:rsidRPr="00000000">
        <w:rPr>
          <w:b w:val="1"/>
          <w:bCs w:val="1"/>
          <w:rtl w:val="0"/>
        </w:rPr>
        <w:t xml:space="preserve">CU-CP</w:t>
      </w:r>
      <w:r w:rsidDel="00000000" w:rsidR="00000000" w:rsidRPr="00000000">
        <w:rPr>
          <w:rtl w:val="0"/>
        </w:rPr>
        <w:t xml:space="preserve"> (riadiaca rovina) a </w:t>
      </w:r>
      <w:r w:rsidDel="00000000" w:rsidR="00000000" w:rsidRPr="00000000">
        <w:rPr>
          <w:b w:val="1"/>
          <w:bCs w:val="1"/>
          <w:rtl w:val="0"/>
        </w:rPr>
        <w:t xml:space="preserve">CU-UP</w:t>
      </w:r>
      <w:r w:rsidDel="00000000" w:rsidR="00000000" w:rsidRPr="00000000">
        <w:rPr>
          <w:rtl w:val="0"/>
        </w:rPr>
        <w:t xml:space="preserve"> (používateľská rovina).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Rozhranie medzi CU a DU je </w:t>
      </w:r>
      <w:r w:rsidDel="00000000" w:rsidR="00000000" w:rsidRPr="00000000">
        <w:rPr>
          <w:b w:val="1"/>
          <w:bCs w:val="1"/>
          <w:rtl w:val="0"/>
        </w:rPr>
        <w:t xml:space="preserve">F1</w:t>
      </w:r>
      <w:r w:rsidDel="00000000" w:rsidR="00000000" w:rsidRPr="00000000">
        <w:rPr>
          <w:rtl w:val="0"/>
        </w:rPr>
        <w:t xml:space="preserve"> (F1-C / F1-U). Toto rozdelenie tvorí základ architektúry </w:t>
      </w:r>
      <w:r w:rsidDel="00000000" w:rsidR="00000000" w:rsidRPr="00000000">
        <w:rPr>
          <w:b w:val="1"/>
          <w:bCs w:val="1"/>
          <w:rtl w:val="0"/>
        </w:rPr>
        <w:t xml:space="preserve">Cloud RAN</w:t>
      </w:r>
      <w:r w:rsidDel="00000000" w:rsidR="00000000" w:rsidRPr="00000000">
        <w:rPr>
          <w:rtl w:val="0"/>
        </w:rPr>
        <w:t xml:space="preserve">: CU je centralizovaná v dátovom centre a obsluhuje desiatky DU v teréne.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dohl86bhbt63" w:id="5"/>
    <w:bookmarkEnd w:id="5"/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2.2 Rozhrania voči jadru siete (5GC)</w:t>
      </w:r>
    </w:p>
    <w:tbl>
      <w:tblPr>
        <w:tblStyle w:val="Table2"/>
        <w:tblW w:w="9303.333333333336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980"/>
        <w:gridCol w:w="1980"/>
        <w:gridCol w:w="3363.3333333333344"/>
        <w:tblGridChange w:id="0">
          <w:tblGrid>
            <w:gridCol w:w="1980"/>
            <w:gridCol w:w="1980"/>
            <w:gridCol w:w="1980"/>
            <w:gridCol w:w="3363.333333333334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Rozhranie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Rovina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Funkcia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N2 (NG-C)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gNB ↔ AMF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NAS signalizácia, handover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N3 (NG-U)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gNB ↔ UPF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GTP-U tunely, dáta 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Xn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CP+UP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gNB ↔ gNB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Priama komunikácia, X2-handover</w:t>
            </w:r>
          </w:p>
        </w:tc>
      </w:tr>
    </w:tbl>
    <w:bookmarkStart w:colFirst="0" w:colLast="0" w:name="lllxsxorvy1u" w:id="6"/>
    <w:bookmarkEnd w:id="6"/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3 5G Core (5GC) a Service-Based Architecture</w:t>
      </w:r>
    </w:p>
    <w:bookmarkStart w:colFirst="0" w:colLast="0" w:name="x4fxbryzpgwj" w:id="7"/>
    <w:bookmarkEnd w:id="7"/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3.1 Princíp SBA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5GC je súbor softvérových sieťových funkcií (NF), ktoré si navzájom ponúkajú služby cez </w:t>
      </w:r>
      <w:r w:rsidDel="00000000" w:rsidR="00000000" w:rsidRPr="00000000">
        <w:rPr>
          <w:b w:val="1"/>
          <w:bCs w:val="1"/>
          <w:rtl w:val="0"/>
        </w:rPr>
        <w:t xml:space="preserve">Service-Based Interfaces (SBI)</w:t>
      </w:r>
      <w:r w:rsidDel="00000000" w:rsidR="00000000" w:rsidRPr="00000000">
        <w:rPr>
          <w:rtl w:val="0"/>
        </w:rPr>
        <w:t xml:space="preserve"> na báze HTTP/2 a JSON (REST API). Na rozdiel od LTE, kde boli uzly prepojené pevne definovanými binárnym rozhraniami (S11, S5/S8), v 5G NF komunikujú cez spoločné cloudové prostredie. Každá NF môže bežať v kontajneroch (Kubernetes), byť horizontálne škálovaná a aktualizovaná nezávisle.</w:t>
      </w:r>
      <w:r w:rsidDel="00000000" w:rsidR="00000000" w:rsidRPr="00000000">
        <w:rPr/>
        <w:drawing>
          <wp:inline distB="114300" distT="114300" distL="114300" distR="114300">
            <wp:extent cx="5972810" cy="3365500"/>
            <wp:effectExtent b="0" l="0" r="0" t="0"/>
            <wp:docPr descr="What is 5G? Differences between 5G and 4G Core Network | Teppei Log" id="5" name="image5.png"/>
            <a:graphic>
              <a:graphicData uri="http://schemas.openxmlformats.org/drawingml/2006/picture">
                <pic:pic>
                  <pic:nvPicPr>
                    <pic:cNvPr descr="What is 5G? Differences between 5G and 4G Core Network | Teppei Log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eqmggzsx3wbr" w:id="8"/>
    <w:bookmarkEnd w:id="8"/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3.2 Oddelenie riadiacej a používateľskej roviny (CUPS)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Architektúra 5GC striktne separuje: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 Plane (CP):</w:t>
      </w:r>
      <w:r w:rsidDel="00000000" w:rsidR="00000000" w:rsidRPr="00000000">
        <w:rPr>
          <w:rtl w:val="0"/>
        </w:rPr>
        <w:t xml:space="preserve"> AMF, SMF, PCF, AUSF, UDM, NRF, NSSF – signalizácia a rozhodovanie.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Plane (UP):</w:t>
      </w:r>
      <w:r w:rsidDel="00000000" w:rsidR="00000000" w:rsidRPr="00000000">
        <w:rPr>
          <w:rtl w:val="0"/>
        </w:rPr>
        <w:t xml:space="preserve"> výhradne UPF – fyzický prenos paketov s vysokou priepustnosťou.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Táto separácia umožňuje umiestniť UPF blízko k používateľom (edge computing) pre zníženie latencie, zatiaľ čo riadiace funkcie ostávajú centralizované.</w:t>
      </w:r>
    </w:p>
    <w:bookmarkStart w:colFirst="0" w:colLast="0" w:name="fdzzjhnxoxh1" w:id="9"/>
    <w:bookmarkEnd w:id="9"/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4 Kľúčové sieťové funkcie (NF)</w:t>
      </w:r>
    </w:p>
    <w:bookmarkStart w:colFirst="0" w:colLast="0" w:name="g4rctxv8wlo8" w:id="10"/>
    <w:bookmarkEnd w:id="10"/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4.1 AMF – Access and Mobility Management Function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Centrálny bod kontaktu pre UE. Spravuje registráciu, stav pripojenia (CM-IDLE / CM-CONNECTED), mobilitu a paginovanie. Funguje ako bezpečnostná kotva (SEAF): koordinuje autentifikáciu s AUSF a distribuuje kryptografické kľúče pre šifrovanie NAS a AS správ.</w:t>
      </w:r>
    </w:p>
    <w:bookmarkStart w:colFirst="0" w:colLast="0" w:name="29zvfgl8a8fs" w:id="11"/>
    <w:bookmarkEnd w:id="11"/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4.2 SMF – Session Management Function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Riadi životný cyklus PDU relácií: nadviazanie, modifikáciu a uvoľnenie. Prideľuje IP adresy (IPv4/IPv6/dual-stack), vyberá UPF, nastavuje QoS profily a cez N4 (PFCP) inštaluje do UPF pravidlá pre preposielanie a reportovanie.</w:t>
      </w:r>
    </w:p>
    <w:bookmarkStart w:colFirst="0" w:colLast="0" w:name="xtlt3cx3aiq5" w:id="12"/>
    <w:bookmarkEnd w:id="12"/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4.3 UPF – User Plane Function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Jediná funkcia v 5GC, ktorá fyzicky prenáša dáta. Smeruje pakety medzi gNB a externou sieťou (DN), vynucuje QoS, pôsobí ako mobilná kotva (mení len N3 tunel pri handoveri, N6 zostáva stabilné) a podporuje zákonné odpočúvanie (LI).</w:t>
      </w:r>
    </w:p>
    <w:bookmarkStart w:colFirst="0" w:colLast="0" w:name="vvrzcl870z5q" w:id="13"/>
    <w:bookmarkEnd w:id="13"/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4.4 AUSF a UDM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AUSF (Authentication Server Function):</w:t>
      </w:r>
      <w:r w:rsidDel="00000000" w:rsidR="00000000" w:rsidRPr="00000000">
        <w:rPr>
          <w:rtl w:val="0"/>
        </w:rPr>
        <w:t xml:space="preserve"> Rozhoduje o autentifikácii UE metódami 5G-AKA alebo EAP-AKA’. Komunikuje s UDM, získa autentifikačné vektory a vygeneruje kľúč KAUSF.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UDM (Unified Data Management):</w:t>
      </w:r>
      <w:r w:rsidDel="00000000" w:rsidR="00000000" w:rsidRPr="00000000">
        <w:rPr>
          <w:rtl w:val="0"/>
        </w:rPr>
        <w:t xml:space="preserve"> Centrálne úložisko predplatiteľských dát (SUPI, profil, povolené typy prístupu, NSSAI). Generuje autentifikačné vektory, spravuje registration kontexty NF.</w:t>
      </w:r>
    </w:p>
    <w:bookmarkStart w:colFirst="0" w:colLast="0" w:name="31gfkpmspfc3" w:id="14"/>
    <w:bookmarkEnd w:id="14"/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4.5 PCF, NRF a NSSF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PCF (Policy Control Function):</w:t>
      </w:r>
      <w:r w:rsidDel="00000000" w:rsidR="00000000" w:rsidRPr="00000000">
        <w:rPr>
          <w:rtl w:val="0"/>
        </w:rPr>
        <w:t xml:space="preserve"> Riadi politiky QoS (5QI, AMBR), mobility a UE smerovanie (URSP). Prijíma vstupy od aplikačnej vrstvy (AF) cez N5.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NRF (NF Repository Function):</w:t>
      </w:r>
      <w:r w:rsidDel="00000000" w:rsidR="00000000" w:rsidRPr="00000000">
        <w:rPr>
          <w:rtl w:val="0"/>
        </w:rPr>
        <w:t xml:space="preserve"> Centrálny register NF. Poskytuje NF Discovery a NF Registration – každá NF sa pri štarte zaregistruje a ostatné ju cez NRF dynamicky vyhľadávajú.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NSSF (Network Slice Selection Function):</w:t>
      </w:r>
      <w:r w:rsidDel="00000000" w:rsidR="00000000" w:rsidRPr="00000000">
        <w:rPr>
          <w:rtl w:val="0"/>
        </w:rPr>
        <w:t xml:space="preserve"> Na základe požadovaného S-NSSAI (SST + SD) rozhoduje, ku ktorému Network Slice Instance (NSI) bude UE priradené.</w:t>
      </w:r>
    </w:p>
    <w:bookmarkStart w:colFirst="0" w:colLast="0" w:name="7dyzg04fxvj9" w:id="15"/>
    <w:bookmarkEnd w:id="15"/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5 Signalizačné toky</w:t>
      </w:r>
    </w:p>
    <w:bookmarkStart w:colFirst="0" w:colLast="0" w:name="eoobtgxtg0i0" w:id="16"/>
    <w:bookmarkEnd w:id="16"/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5.1 Registrácia 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Postup zahŕňa výber AMF, autentifikáciu (5G-AKA), nastavenie NAS bezpečnosti a odoslanie profilu predplatiteľa z UDM. AMF záverom odošle Registration Accept so 5G-GUTI a Allowed NSSAI.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854363" cy="3295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187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3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uob2twoiwgjt" w:id="17"/>
    <w:bookmarkEnd w:id="17"/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5.2 Nadviazanie PDU relácie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UE požiada AMF o dátovú reláciu. AMF vyberie SMF, ktorá stiahne profil z UDM a politiky z PCF, zvolí vhodný UPF a cez N4 (PFCP) nainštaluje pravidlá. gNB nastaví N3 GTP-U tunel a UE dostane IP adresu.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969000" cy="299349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993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7plhv7hnwhiq" w:id="18"/>
    <w:bookmarkEnd w:id="18"/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6 SA vs. NSA a Network Slicing</w:t>
      </w:r>
    </w:p>
    <w:bookmarkStart w:colFirst="0" w:colLast="0" w:name="1gwjsnj3v70e" w:id="19"/>
    <w:bookmarkEnd w:id="19"/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6.1 Standalone (SA) vs. Non-Standalone (NSA)</w:t>
      </w:r>
    </w:p>
    <w:tbl>
      <w:tblPr>
        <w:tblStyle w:val="Table3"/>
        <w:tblpPr w:leftFromText="180" w:rightFromText="180" w:topFromText="180" w:bottomFromText="180" w:vertAnchor="text" w:horzAnchor="text" w:tblpX="-676.9999999999982" w:tblpY="0"/>
        <w:tblW w:w="1093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5343.333333333332"/>
        <w:gridCol w:w="4211.666666666668"/>
        <w:tblGridChange w:id="0">
          <w:tblGrid>
            <w:gridCol w:w="1380"/>
            <w:gridCol w:w="5343.333333333332"/>
            <w:gridCol w:w="4211.6666666666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NSA (Option 3x)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SA (Option 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LTE EPC (MME)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5G Core (5GC)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LTE + NR (Dual Connectivity)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NG-RAN (gNB)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Výhody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Rýchly deployment, zachovanie LTE infraštruktúry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Plné 5G funkcie: slicing, URLLC, SBA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Nevýhody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Bez slicingu a 5GC funkcií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Vyžaduje nové jadro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Väčšina operátorov štartovala s NSA pre rýchlejší time-to-market a postupne migruje na SA.</w:t>
      </w:r>
    </w:p>
    <w:bookmarkStart w:colFirst="0" w:colLast="0" w:name="w8sgh7kev2ug" w:id="20"/>
    <w:bookmarkEnd w:id="20"/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6.2 Network Slicing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Network Slicing umožňuje vytvoriť na jednej fyzickej infraštruktúre viacero logicky izolovaných virtuálnych sietí (sliceov), každý s vlastnými garantovanými SLA parametrami.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Slice identifikuje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S-NSSAI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(SST + SD):</w:t>
      </w:r>
    </w:p>
    <w:tbl>
      <w:tblPr>
        <w:tblStyle w:val="Table4"/>
        <w:tblW w:w="917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40"/>
        <w:gridCol w:w="2640"/>
        <w:gridCol w:w="3890.0000000000005"/>
        <w:tblGridChange w:id="0">
          <w:tblGrid>
            <w:gridCol w:w="2640"/>
            <w:gridCol w:w="2640"/>
            <w:gridCol w:w="3890.00000000000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SST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Typ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Prípad použitia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eMBB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Mobilný broadband, streaming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URLLC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Priemyselná automatizácia, V2X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MIoT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Masívny IoT, senzory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Každý slice má vlastné inštancie NF (minimálne SMF a UPF) a garantované QoS. NSSF rozhoduje, ku ktorému slicu bude UE priradené.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301625</wp:posOffset>
            </wp:positionH>
            <wp:positionV relativeFrom="page">
              <wp:posOffset>903605</wp:posOffset>
            </wp:positionV>
            <wp:extent cx="7008616" cy="3521075"/>
            <wp:effectExtent b="0" l="0" r="0" t="0"/>
            <wp:wrapTopAndBottom distB="0" dist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8616" cy="352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bookmarkStart w:colFirst="0" w:colLast="0" w:name="mwcs42wakpwc" w:id="21"/>
    <w:bookmarkEnd w:id="21"/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7 Záver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Architektúra 5G predstavuje fundamentálnu zmenu v dizajne mobilných sietí. </w:t>
      </w:r>
      <w:r w:rsidDel="00000000" w:rsidR="00000000" w:rsidRPr="00000000">
        <w:rPr>
          <w:b w:val="1"/>
          <w:bCs w:val="1"/>
          <w:rtl w:val="0"/>
        </w:rPr>
        <w:t xml:space="preserve">NG-RAN</w:t>
      </w:r>
      <w:r w:rsidDel="00000000" w:rsidR="00000000" w:rsidRPr="00000000">
        <w:rPr>
          <w:rtl w:val="0"/>
        </w:rPr>
        <w:t xml:space="preserve"> s flexibilným rozdelením gNB (CU/DU/RU) prináša centralizáciu výpočtového výkonu a základ pre Edge Computing. </w:t>
      </w:r>
      <w:r w:rsidDel="00000000" w:rsidR="00000000" w:rsidRPr="00000000">
        <w:rPr>
          <w:b w:val="1"/>
          <w:bCs w:val="1"/>
          <w:rtl w:val="0"/>
        </w:rPr>
        <w:t xml:space="preserve">5G Core</w:t>
      </w:r>
      <w:r w:rsidDel="00000000" w:rsidR="00000000" w:rsidRPr="00000000">
        <w:rPr>
          <w:rtl w:val="0"/>
        </w:rPr>
        <w:t xml:space="preserve"> na princípe Service-Based Architecture nahrádza monolitické uzly sieťovými funkciami (AMF, SMF, UPF, AUSF, UDM, PCF, NRF, NSSF), ktoré spolupracujú cez HTTP/2 rozhrania v cloude.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Striktné oddelenie riadiacej a používateľskej roviny (CUPS) umožňuje nezávislé škálovanie a optimalizáciu topológie. Network Slicing otvára nový obchodný model, kde operátori poskytujú garantované virtuálne siete na mieru pre rôzne vertikálne odvetvia.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Systém 5G naďalej evolvuje: 3GPP Release 17/18 (5G Advanced) prináša RedCap UE, satelitné siete (NTN) a sieťovú inteligenciu (O-RAN), čím architektúra opísaná v tomto referáte tvorí pevný základ pre budúci vývoj.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bookmarkStart w:colFirst="0" w:colLast="0" w:name="yro3qx41wga" w:id="22"/>
    <w:bookmarkEnd w:id="22"/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Literatúra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3GPP. </w:t>
      </w:r>
      <w:r w:rsidDel="00000000" w:rsidR="00000000" w:rsidRPr="00000000">
        <w:rPr>
          <w:i w:val="1"/>
          <w:iCs w:val="1"/>
          <w:rtl w:val="0"/>
        </w:rPr>
        <w:t xml:space="preserve">TS 23.501 V18.9.0: System architecture for the 5G System (5GS); Stage 2</w:t>
      </w:r>
      <w:r w:rsidDel="00000000" w:rsidR="00000000" w:rsidRPr="00000000">
        <w:rPr>
          <w:rtl w:val="0"/>
        </w:rPr>
        <w:t xml:space="preserve">. 2025. Dostupné na: </w:t>
      </w:r>
      <w:hyperlink r:id="rId11">
        <w:r w:rsidDel="00000000" w:rsidR="00000000" w:rsidRPr="00000000">
          <w:rPr>
            <w:rtl w:val="0"/>
          </w:rPr>
          <w:t xml:space="preserve">https://www.3gpp.org/ftp/Specs/archive/23_series/23.501/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3GPP. </w:t>
      </w:r>
      <w:r w:rsidDel="00000000" w:rsidR="00000000" w:rsidRPr="00000000">
        <w:rPr>
          <w:i w:val="1"/>
          <w:iCs w:val="1"/>
          <w:rtl w:val="0"/>
        </w:rPr>
        <w:t xml:space="preserve">TS 23.502 V18.7.0: Procedures for the 5G System (5GS); Stage 2</w:t>
      </w:r>
      <w:r w:rsidDel="00000000" w:rsidR="00000000" w:rsidRPr="00000000">
        <w:rPr>
          <w:rtl w:val="0"/>
        </w:rPr>
        <w:t xml:space="preserve">. 2025. Dostupné na: </w:t>
      </w:r>
      <w:hyperlink r:id="rId12">
        <w:r w:rsidDel="00000000" w:rsidR="00000000" w:rsidRPr="00000000">
          <w:rPr>
            <w:rtl w:val="0"/>
          </w:rPr>
          <w:t xml:space="preserve">https://www.3gpp.org/ftp/Specs/archive/23_series/23.502/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3GPP. </w:t>
      </w:r>
      <w:r w:rsidDel="00000000" w:rsidR="00000000" w:rsidRPr="00000000">
        <w:rPr>
          <w:i w:val="1"/>
          <w:iCs w:val="1"/>
          <w:rtl w:val="0"/>
        </w:rPr>
        <w:t xml:space="preserve">TS 38.401 V18.3.0: NG-RAN; Architecture description</w:t>
      </w:r>
      <w:r w:rsidDel="00000000" w:rsidR="00000000" w:rsidRPr="00000000">
        <w:rPr>
          <w:rtl w:val="0"/>
        </w:rPr>
        <w:t xml:space="preserve">. 2024. Dostupné na: </w:t>
      </w:r>
      <w:hyperlink r:id="rId13">
        <w:r w:rsidDel="00000000" w:rsidR="00000000" w:rsidRPr="00000000">
          <w:rPr>
            <w:rtl w:val="0"/>
          </w:rPr>
          <w:t xml:space="preserve">https://www.3gpp.org/ftp/Specs/archive/38_series/38.401/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DAHLMAN, Erik; PARKVALL, Stefan; SKÖLD, Johan. </w:t>
      </w:r>
      <w:r w:rsidDel="00000000" w:rsidR="00000000" w:rsidRPr="00000000">
        <w:rPr>
          <w:i w:val="1"/>
          <w:iCs w:val="1"/>
          <w:rtl w:val="0"/>
        </w:rPr>
        <w:t xml:space="preserve">5G NR: The next generation wireless access technology</w:t>
      </w:r>
      <w:r w:rsidDel="00000000" w:rsidR="00000000" w:rsidRPr="00000000">
        <w:rPr>
          <w:rtl w:val="0"/>
        </w:rPr>
        <w:t xml:space="preserve">. 2. vyd. London: Academic Press, 2020. ISBN 978-0-12-822320-7.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ERICSSON. </w:t>
      </w:r>
      <w:r w:rsidDel="00000000" w:rsidR="00000000" w:rsidRPr="00000000">
        <w:rPr>
          <w:i w:val="1"/>
          <w:iCs w:val="1"/>
          <w:rtl w:val="0"/>
        </w:rPr>
        <w:t xml:space="preserve">5G System Overview – White Paper</w:t>
      </w:r>
      <w:r w:rsidDel="00000000" w:rsidR="00000000" w:rsidRPr="00000000">
        <w:rPr>
          <w:rtl w:val="0"/>
        </w:rPr>
        <w:t xml:space="preserve">. 2021. Dostupné na: </w:t>
      </w:r>
      <w:hyperlink r:id="rId14">
        <w:r w:rsidDel="00000000" w:rsidR="00000000" w:rsidRPr="00000000">
          <w:rPr>
            <w:rtl w:val="0"/>
          </w:rPr>
          <w:t xml:space="preserve">https://www.ericsson.com/en/reports-and-papers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SHARETECHNOTE. </w:t>
      </w:r>
      <w:r w:rsidDel="00000000" w:rsidR="00000000" w:rsidRPr="00000000">
        <w:rPr>
          <w:i w:val="1"/>
          <w:iCs w:val="1"/>
          <w:rtl w:val="0"/>
        </w:rPr>
        <w:t xml:space="preserve">5G/NR – Core Network</w:t>
      </w:r>
      <w:r w:rsidDel="00000000" w:rsidR="00000000" w:rsidRPr="00000000">
        <w:rPr>
          <w:rtl w:val="0"/>
        </w:rPr>
        <w:t xml:space="preserve">. Dostupné na: </w:t>
      </w:r>
      <w:hyperlink r:id="rId15">
        <w:r w:rsidDel="00000000" w:rsidR="00000000" w:rsidRPr="00000000">
          <w:rPr>
            <w:rtl w:val="0"/>
          </w:rPr>
          <w:t xml:space="preserve">https://www.sharetechnote.com/html/5G/5G_CoreNetwork.html</w:t>
        </w:r>
      </w:hyperlink>
      <w:r w:rsidDel="00000000" w:rsidR="00000000" w:rsidRPr="00000000">
        <w:rPr>
          <w:rtl w:val="0"/>
        </w:rPr>
        <w:t xml:space="preserve"> [cit. 2026-02-24]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NOKIA. </w:t>
      </w:r>
      <w:r w:rsidDel="00000000" w:rsidR="00000000" w:rsidRPr="00000000">
        <w:rPr>
          <w:i w:val="1"/>
          <w:iCs w:val="1"/>
          <w:rtl w:val="0"/>
        </w:rPr>
        <w:t xml:space="preserve">5G Core Network – Technology fundamentals</w:t>
      </w:r>
      <w:r w:rsidDel="00000000" w:rsidR="00000000" w:rsidRPr="00000000">
        <w:rPr>
          <w:rtl w:val="0"/>
        </w:rPr>
        <w:t xml:space="preserve">. White Paper. 2022. Dostupné na: </w:t>
      </w:r>
      <w:hyperlink r:id="rId16">
        <w:r w:rsidDel="00000000" w:rsidR="00000000" w:rsidRPr="00000000">
          <w:rPr>
            <w:rtl w:val="0"/>
          </w:rPr>
          <w:t xml:space="preserve">https://www.nokia.com/networks/mobile-networks/5g-core/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GSMA. </w:t>
      </w:r>
      <w:r w:rsidDel="00000000" w:rsidR="00000000" w:rsidRPr="00000000">
        <w:rPr>
          <w:i w:val="1"/>
          <w:iCs w:val="1"/>
          <w:rtl w:val="0"/>
        </w:rPr>
        <w:t xml:space="preserve">An Introduction to Network Slicing</w:t>
      </w:r>
      <w:r w:rsidDel="00000000" w:rsidR="00000000" w:rsidRPr="00000000">
        <w:rPr>
          <w:rtl w:val="0"/>
        </w:rPr>
        <w:t xml:space="preserve">. GSMA Intelligence Report. 2017. Dostupné na: </w:t>
      </w:r>
      <w:hyperlink r:id="rId17">
        <w:r w:rsidDel="00000000" w:rsidR="00000000" w:rsidRPr="00000000">
          <w:rPr>
            <w:rtl w:val="0"/>
          </w:rPr>
          <w:t xml:space="preserve">https://www.gsma.com/futurenetworks/wiki/network-slicing/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360" w:lineRule="auto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="360" w:lineRule="auto"/>
    </w:pPr>
    <w:rPr>
      <w:rFonts w:ascii="Times New Roman" w:cs="Times New Roman" w:eastAsia="Times New Roman" w:hAnsi="Times New Roman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="36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3gpp.org/ftp/Specs/archive/23_series/23.501/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www.3gpp.org/ftp/Specs/archive/38_series/38.401/" TargetMode="External"/><Relationship Id="rId12" Type="http://schemas.openxmlformats.org/officeDocument/2006/relationships/hyperlink" Target="https://www.3gpp.org/ftp/Specs/archive/23_series/23.502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sharetechnote.com/html/5G/5G_CoreNetwork.html" TargetMode="External"/><Relationship Id="rId14" Type="http://schemas.openxmlformats.org/officeDocument/2006/relationships/hyperlink" Target="https://www.ericsson.com/en/reports-and-papers" TargetMode="External"/><Relationship Id="rId17" Type="http://schemas.openxmlformats.org/officeDocument/2006/relationships/hyperlink" Target="https://www.gsma.com/futurenetworks/wiki/network-slicing/" TargetMode="External"/><Relationship Id="rId16" Type="http://schemas.openxmlformats.org/officeDocument/2006/relationships/hyperlink" Target="https://www.nokia.com/networks/mobile-networks/5g-core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