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executive-summary"/>
    <w:p>
      <w:pPr>
        <w:pStyle w:val="Heading1"/>
      </w:pPr>
      <w:r>
        <w:t xml:space="preserve">Executive Summary</w:t>
      </w:r>
    </w:p>
    <w:bookmarkStart w:id="20" w:name="key-findings"/>
    <w:p>
      <w:pPr>
        <w:pStyle w:val="Heading2"/>
      </w:pPr>
      <w:r>
        <w:t xml:space="preserve">Key Findings</w:t>
      </w:r>
    </w:p>
    <w:p>
      <w:pPr>
        <w:pStyle w:val="FirstParagraph"/>
      </w:pPr>
      <w:r>
        <w:t xml:space="preserve">SRC Advisory occupies a vacant competitive position at the intersection of three forces no rival has combined: Swiss neutrality as a trust anchor, AI-augmented delivery at production-ready cost, and tiered membership architecture validated across the intelligence subscription market. The geopolitical risk analytics market reached $4.02 billion in 2025 and is projected to grow at 14.3% CAGR to $15.26 billion by 2035</w:t>
      </w:r>
      <w:r>
        <w:rPr>
          <w:vertAlign w:val="superscript"/>
        </w:rPr>
        <w:t xml:space="preserve">1</w:t>
      </w:r>
      <w:r>
        <w:t xml:space="preserve">. Europe holds 27.5% of that market, yet incumbents — RANE WorldView, Oxford Analytica, POLITICO Pro, and Chatham House — remain overwhelmingly Anglo-American in framing. No major think tank has deployed AI avatar video briefings at scale, despite technology from Synthesia and HeyGen cutting video production costs by 70–99% versus traditional studio production</w:t>
      </w:r>
      <w:r>
        <w:rPr>
          <w:vertAlign w:val="superscript"/>
        </w:rPr>
        <w:t xml:space="preserve">2</w:t>
      </w:r>
      <w:r>
        <w:t xml:space="preserve"> </w:t>
      </w:r>
      <w:r>
        <w:rPr>
          <w:vertAlign w:val="superscript"/>
        </w:rPr>
        <w:t xml:space="preserve">3</w:t>
      </w:r>
      <w:r>
        <w:t xml:space="preserve">. This is not a capability gap; it is a first-mover window measured in months, not years.</w:t>
      </w:r>
    </w:p>
    <w:p>
      <w:pPr>
        <w:pStyle w:val="BodyText"/>
      </w:pPr>
      <w:r>
        <w:t xml:space="preserve">The competitive audit reveals a structural opening. RANE charges $28–80 per month for individual subscriptions and reserves direct analyst access for enterprise tiers</w:t>
      </w:r>
      <w:r>
        <w:rPr>
          <w:vertAlign w:val="superscript"/>
        </w:rPr>
        <w:t xml:space="preserve">4</w:t>
      </w:r>
      <w:r>
        <w:t xml:space="preserve"> </w:t>
      </w:r>
      <w:r>
        <w:rPr>
          <w:vertAlign w:val="superscript"/>
        </w:rPr>
        <w:t xml:space="preserve">5</w:t>
      </w:r>
      <w:r>
        <w:t xml:space="preserve">. POLITICO Pro commands $35,000–85,000 annually for institutional clients and sustains a 90% renewal rate by embedding intelligence into legislative workflows</w:t>
      </w:r>
      <w:r>
        <w:rPr>
          <w:vertAlign w:val="superscript"/>
        </w:rPr>
        <w:t xml:space="preserve">6</w:t>
      </w:r>
      <w:r>
        <w:t xml:space="preserve"> </w:t>
      </w:r>
      <w:r>
        <w:rPr>
          <w:vertAlign w:val="superscript"/>
        </w:rPr>
        <w:t xml:space="preserve">7</w:t>
      </w:r>
      <w:r>
        <w:t xml:space="preserve">. Expert networks such as GLG charge $900–1,500 per hour for analyst consultations</w:t>
      </w:r>
      <w:r>
        <w:rPr>
          <w:vertAlign w:val="superscript"/>
        </w:rPr>
        <w:t xml:space="preserve">8</w:t>
      </w:r>
      <w:r>
        <w:t xml:space="preserve">. None offers tiered access that graduates an individual from free discovery to live analyst engagement within one architecture. SRC’s model treats membership as a progression of relationship depth rather than a binary paywall.</w:t>
      </w:r>
    </w:p>
    <w:p>
      <w:pPr>
        <w:pStyle w:val="BodyText"/>
      </w:pPr>
      <w:r>
        <w:t xml:space="preserve">The revenue psychology is equally compelling. Registration walls convert at 16 times the rate of passive newsletter forms, with 20% of registered users eventually upgrading to paid. Value-based tier naming outperforms generic labels by 15–30% in conversion</w:t>
      </w:r>
      <w:r>
        <w:rPr>
          <w:vertAlign w:val="superscript"/>
        </w:rPr>
        <w:t xml:space="preserve">9</w:t>
      </w:r>
      <w:r>
        <w:t xml:space="preserve">. Annual billing at a 17% discount delivers 92% twelve-month retention versus 68% for monthly plans, while generating 40–71% higher lifetime value</w:t>
      </w:r>
      <w:r>
        <w:rPr>
          <w:vertAlign w:val="superscript"/>
        </w:rPr>
        <w:t xml:space="preserve">10</w:t>
      </w:r>
      <w:r>
        <w:t xml:space="preserve">. These mechanics compound: a registered user who converts to annual Essential and upgrades to Professional within six months delivers roughly 8 times the revenue of a direct monthly purchaser.</w:t>
      </w:r>
    </w:p>
    <w:p>
      <w:pPr>
        <w:pStyle w:val="BodyText"/>
      </w:pPr>
      <w:r>
        <w:t xml:space="preserve">The vAvatar video briefing system is the single most distinctive element. At 90–120 seconds for daily briefings, AI avatar video achieves approximately 70% viewer retention — substantially above text-based alternatives</w:t>
      </w:r>
      <w:r>
        <w:rPr>
          <w:vertAlign w:val="superscript"/>
        </w:rPr>
        <w:t xml:space="preserve">11</w:t>
      </w:r>
      <w:r>
        <w:t xml:space="preserve">. Synthesia’s European-language lip-sync quality (4.1/5 for French and German) makes it the platform of choice for SRC’s quadrilingual market</w:t>
      </w:r>
      <w:r>
        <w:rPr>
          <w:vertAlign w:val="superscript"/>
        </w:rPr>
        <w:t xml:space="preserve">12</w:t>
      </w:r>
      <w:r>
        <w:t xml:space="preserve">. The same script delivered in German, French, Italian, and English at marginal cost turns Switzerland’s linguistic diversity from operational burden into competitive moat. Framing output as</w:t>
      </w:r>
      <w:r>
        <w:t xml:space="preserve"> </w:t>
      </w:r>
      <w:r>
        <w:t xml:space="preserve">“</w:t>
      </w:r>
      <w:r>
        <w:t xml:space="preserve">AI-delivered, expert-curated</w:t>
      </w:r>
      <w:r>
        <w:t xml:space="preserve">”</w:t>
      </w:r>
      <w:r>
        <w:t xml:space="preserve"> </w:t>
      </w:r>
      <w:r>
        <w:t xml:space="preserve">mitigates the documented trust penalty of AI-generated content while preserving scale</w:t>
      </w:r>
      <w:r>
        <w:rPr>
          <w:vertAlign w:val="superscript"/>
        </w:rPr>
        <w:t xml:space="preserve">13</w:t>
      </w:r>
      <w:r>
        <w:t xml:space="preserve">.</w:t>
      </w:r>
    </w:p>
    <w:bookmarkEnd w:id="20"/>
    <w:bookmarkStart w:id="63" w:name="the-4-tier-model-at-a-glance"/>
    <w:p>
      <w:pPr>
        <w:pStyle w:val="Heading2"/>
      </w:pPr>
      <w:r>
        <w:t xml:space="preserve">The 4-Tier Model at a Glance</w:t>
      </w:r>
    </w:p>
    <w:p>
      <w:pPr>
        <w:pStyle w:val="FirstParagraph"/>
      </w:pPr>
      <w:r>
        <w:t xml:space="preserve">Each tier is designed around a specific relationship depth, with content format — not merely volume — as the primary differentiator.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Observer (Free)</w:t>
            </w:r>
          </w:p>
        </w:tc>
        <w:tc>
          <w:tcPr/>
          <w:p>
            <w:pPr>
              <w:pStyle w:val="Compact"/>
              <w:jc w:val="left"/>
            </w:pPr>
            <w:r>
              <w:t xml:space="preserve">Essential (CHF 29/mo)</w:t>
            </w:r>
          </w:p>
        </w:tc>
        <w:tc>
          <w:tcPr/>
          <w:p>
            <w:pPr>
              <w:pStyle w:val="Compact"/>
              <w:jc w:val="left"/>
            </w:pPr>
            <w:r>
              <w:t xml:space="preserve">Professional (CHF 79/mo)</w:t>
            </w:r>
          </w:p>
        </w:tc>
        <w:tc>
          <w:tcPr/>
          <w:p>
            <w:pPr>
              <w:pStyle w:val="Compact"/>
              <w:jc w:val="left"/>
            </w:pPr>
            <w:r>
              <w:t xml:space="preserve">Executive (CHF 149/mo)</w:t>
            </w:r>
          </w:p>
        </w:tc>
      </w:tr>
      <w:tr>
        <w:tc>
          <w:tcPr/>
          <w:p>
            <w:pPr>
              <w:pStyle w:val="Compact"/>
              <w:jc w:val="left"/>
            </w:pPr>
            <w:r>
              <w:rPr>
                <w:bCs/>
                <w:b/>
              </w:rPr>
              <w:t xml:space="preserve">Relationship depth</w:t>
            </w:r>
          </w:p>
        </w:tc>
        <w:tc>
          <w:tcPr/>
          <w:p>
            <w:pPr>
              <w:pStyle w:val="Compact"/>
              <w:jc w:val="left"/>
            </w:pPr>
            <w:r>
              <w:t xml:space="preserve">Discovery</w:t>
            </w:r>
          </w:p>
        </w:tc>
        <w:tc>
          <w:tcPr/>
          <w:p>
            <w:pPr>
              <w:pStyle w:val="Compact"/>
              <w:jc w:val="left"/>
            </w:pPr>
            <w:r>
              <w:t xml:space="preserve">Routine consumer</w:t>
            </w:r>
          </w:p>
        </w:tc>
        <w:tc>
          <w:tcPr/>
          <w:p>
            <w:pPr>
              <w:pStyle w:val="Compact"/>
              <w:jc w:val="left"/>
            </w:pPr>
            <w:r>
              <w:t xml:space="preserve">Serious practitioner</w:t>
            </w:r>
          </w:p>
        </w:tc>
        <w:tc>
          <w:tcPr/>
          <w:p>
            <w:pPr>
              <w:pStyle w:val="Compact"/>
              <w:jc w:val="left"/>
            </w:pPr>
            <w:r>
              <w:t xml:space="preserve">Institutional decision-maker</w:t>
            </w:r>
          </w:p>
        </w:tc>
      </w:tr>
      <w:tr>
        <w:tc>
          <w:tcPr/>
          <w:p>
            <w:pPr>
              <w:pStyle w:val="Compact"/>
              <w:jc w:val="left"/>
            </w:pPr>
            <w:r>
              <w:rPr>
                <w:bCs/>
                <w:b/>
              </w:rPr>
              <w:t xml:space="preserve">Core content</w:t>
            </w:r>
          </w:p>
        </w:tc>
        <w:tc>
          <w:tcPr/>
          <w:p>
            <w:pPr>
              <w:pStyle w:val="Compact"/>
              <w:jc w:val="left"/>
            </w:pPr>
            <w:r>
              <w:t xml:space="preserve">Opinions, briefs, newsletters, podcasts</w:t>
            </w:r>
          </w:p>
        </w:tc>
        <w:tc>
          <w:tcPr/>
          <w:p>
            <w:pPr>
              <w:pStyle w:val="Compact"/>
              <w:jc w:val="left"/>
            </w:pPr>
            <w:r>
              <w:t xml:space="preserve">Unlimited reports, PDF downloads, daily brief, 12-month archive</w:t>
            </w:r>
          </w:p>
        </w:tc>
        <w:tc>
          <w:tcPr/>
          <w:p>
            <w:pPr>
              <w:pStyle w:val="Compact"/>
              <w:jc w:val="left"/>
            </w:pPr>
            <w:r>
              <w:t xml:space="preserve">Exclusive studies, vAvatar videos, early access (24h), weekly briefing</w:t>
            </w:r>
          </w:p>
        </w:tc>
        <w:tc>
          <w:tcPr/>
          <w:p>
            <w:pPr>
              <w:pStyle w:val="Compact"/>
              <w:jc w:val="left"/>
            </w:pPr>
            <w:r>
              <w:t xml:space="preserve">Live analyst calls, breaking news alerts, annual Switzerland summit, bespoke research</w:t>
            </w:r>
          </w:p>
        </w:tc>
      </w:tr>
      <w:tr>
        <w:tc>
          <w:tcPr/>
          <w:p>
            <w:pPr>
              <w:pStyle w:val="Compact"/>
              <w:jc w:val="left"/>
            </w:pPr>
            <w:r>
              <w:rPr>
                <w:bCs/>
                <w:b/>
              </w:rPr>
              <w:t xml:space="preserve">Video access</w:t>
            </w:r>
          </w:p>
        </w:tc>
        <w:tc>
          <w:tcPr/>
          <w:p>
            <w:pPr>
              <w:pStyle w:val="Compact"/>
              <w:jc w:val="left"/>
            </w:pPr>
            <w:r>
              <w:t xml:space="preserve">60–90 second public clips</w:t>
            </w:r>
          </w:p>
        </w:tc>
        <w:tc>
          <w:tcPr/>
          <w:p>
            <w:pPr>
              <w:pStyle w:val="Compact"/>
              <w:jc w:val="left"/>
            </w:pPr>
            <w:r>
              <w:t xml:space="preserve">Full 2-minute daily briefings</w:t>
            </w:r>
          </w:p>
        </w:tc>
        <w:tc>
          <w:tcPr/>
          <w:p>
            <w:pPr>
              <w:pStyle w:val="Compact"/>
              <w:jc w:val="left"/>
            </w:pPr>
            <w:r>
              <w:t xml:space="preserve">Full briefings + expert commentary, 15-minute deep dives</w:t>
            </w:r>
          </w:p>
        </w:tc>
        <w:tc>
          <w:tcPr/>
          <w:p>
            <w:pPr>
              <w:pStyle w:val="Compact"/>
              <w:jc w:val="left"/>
            </w:pPr>
            <w:r>
              <w:t xml:space="preserve">All premium content + live briefings + on-demand analyst Q&amp;A</w:t>
            </w:r>
          </w:p>
        </w:tc>
      </w:tr>
      <w:tr>
        <w:tc>
          <w:tcPr/>
          <w:p>
            <w:pPr>
              <w:pStyle w:val="Compact"/>
              <w:jc w:val="left"/>
            </w:pPr>
            <w:r>
              <w:rPr>
                <w:bCs/>
                <w:b/>
              </w:rPr>
              <w:t xml:space="preserve">Speed of delivery</w:t>
            </w:r>
          </w:p>
        </w:tc>
        <w:tc>
          <w:tcPr/>
          <w:p>
            <w:pPr>
              <w:pStyle w:val="Compact"/>
              <w:jc w:val="left"/>
            </w:pPr>
            <w:r>
              <w:t xml:space="preserve">Weekly digest</w:t>
            </w:r>
          </w:p>
        </w:tc>
        <w:tc>
          <w:tcPr/>
          <w:p>
            <w:pPr>
              <w:pStyle w:val="Compact"/>
              <w:jc w:val="left"/>
            </w:pPr>
            <w:r>
              <w:t xml:space="preserve">Next-day analysis</w:t>
            </w:r>
          </w:p>
        </w:tc>
        <w:tc>
          <w:tcPr/>
          <w:p>
            <w:pPr>
              <w:pStyle w:val="Compact"/>
              <w:jc w:val="left"/>
            </w:pPr>
            <w:r>
              <w:t xml:space="preserve">Same-day briefing</w:t>
            </w:r>
          </w:p>
        </w:tc>
        <w:tc>
          <w:tcPr/>
          <w:p>
            <w:pPr>
              <w:pStyle w:val="Compact"/>
              <w:jc w:val="left"/>
            </w:pPr>
            <w:r>
              <w:t xml:space="preserve">Real-time flash alert + analyst response within 4 hours</w:t>
            </w:r>
          </w:p>
        </w:tc>
      </w:tr>
      <w:tr>
        <w:tc>
          <w:tcPr/>
          <w:p>
            <w:pPr>
              <w:pStyle w:val="Compact"/>
              <w:jc w:val="left"/>
            </w:pPr>
            <w:r>
              <w:rPr>
                <w:bCs/>
                <w:b/>
              </w:rPr>
              <w:t xml:space="preserve">Event access</w:t>
            </w:r>
          </w:p>
        </w:tc>
        <w:tc>
          <w:tcPr/>
          <w:p>
            <w:pPr>
              <w:pStyle w:val="Compact"/>
              <w:jc w:val="left"/>
            </w:pPr>
            <w:r>
              <w:t xml:space="preserve">Public events only</w:t>
            </w:r>
          </w:p>
        </w:tc>
        <w:tc>
          <w:tcPr/>
          <w:p>
            <w:pPr>
              <w:pStyle w:val="Compact"/>
              <w:jc w:val="left"/>
            </w:pPr>
            <w:r>
              <w:t xml:space="preserve">Monthly virtual briefing</w:t>
            </w:r>
          </w:p>
        </w:tc>
        <w:tc>
          <w:tcPr/>
          <w:p>
            <w:pPr>
              <w:pStyle w:val="Compact"/>
              <w:jc w:val="left"/>
            </w:pPr>
            <w:r>
              <w:t xml:space="preserve">Weekly virtual + quarterly private roundtable</w:t>
            </w:r>
          </w:p>
        </w:tc>
        <w:tc>
          <w:tcPr/>
          <w:p>
            <w:pPr>
              <w:pStyle w:val="Compact"/>
              <w:jc w:val="left"/>
            </w:pPr>
            <w:r>
              <w:t xml:space="preserve">Weekly live calls + annual invitation-only summit</w:t>
            </w:r>
          </w:p>
        </w:tc>
      </w:tr>
      <w:tr>
        <w:tc>
          <w:tcPr/>
          <w:p>
            <w:pPr>
              <w:pStyle w:val="Compact"/>
              <w:jc w:val="left"/>
            </w:pPr>
            <w:r>
              <w:rPr>
                <w:bCs/>
                <w:b/>
              </w:rPr>
              <w:t xml:space="preserve">Archive depth</w:t>
            </w:r>
          </w:p>
        </w:tc>
        <w:tc>
          <w:tcPr/>
          <w:p>
            <w:pPr>
              <w:pStyle w:val="Compact"/>
              <w:jc w:val="left"/>
            </w:pPr>
            <w:r>
              <w:t xml:space="preserve">Last 6 months</w:t>
            </w:r>
          </w:p>
        </w:tc>
        <w:tc>
          <w:tcPr/>
          <w:p>
            <w:pPr>
              <w:pStyle w:val="Compact"/>
              <w:jc w:val="left"/>
            </w:pPr>
            <w:r>
              <w:t xml:space="preserve">12 months</w:t>
            </w:r>
          </w:p>
        </w:tc>
        <w:tc>
          <w:tcPr/>
          <w:p>
            <w:pPr>
              <w:pStyle w:val="Compact"/>
              <w:jc w:val="left"/>
            </w:pPr>
            <w:r>
              <w:t xml:space="preserve">24 months</w:t>
            </w:r>
          </w:p>
        </w:tc>
        <w:tc>
          <w:tcPr/>
          <w:p>
            <w:pPr>
              <w:pStyle w:val="Compact"/>
              <w:jc w:val="left"/>
            </w:pPr>
            <w:r>
              <w:t xml:space="preserve">Full archive + custom research</w:t>
            </w:r>
          </w:p>
        </w:tc>
      </w:tr>
      <w:tr>
        <w:tc>
          <w:tcPr/>
          <w:p>
            <w:pPr>
              <w:pStyle w:val="Compact"/>
              <w:jc w:val="left"/>
            </w:pPr>
            <w:r>
              <w:rPr>
                <w:bCs/>
                <w:b/>
              </w:rPr>
              <w:t xml:space="preserve">Audio layer</w:t>
            </w:r>
          </w:p>
        </w:tc>
        <w:tc>
          <w:tcPr/>
          <w:p>
            <w:pPr>
              <w:pStyle w:val="Compact"/>
              <w:jc w:val="left"/>
            </w:pPr>
            <w:r>
              <w:t xml:space="preserve">Selected articles</w:t>
            </w:r>
          </w:p>
        </w:tc>
        <w:tc>
          <w:tcPr/>
          <w:p>
            <w:pPr>
              <w:pStyle w:val="Compact"/>
              <w:jc w:val="left"/>
            </w:pPr>
            <w:r>
              <w:t xml:space="preserve">Audio newsletters</w:t>
            </w:r>
          </w:p>
        </w:tc>
        <w:tc>
          <w:tcPr/>
          <w:p>
            <w:pPr>
              <w:pStyle w:val="Compact"/>
              <w:jc w:val="left"/>
            </w:pPr>
            <w:r>
              <w:t xml:space="preserve">Narrated full reports</w:t>
            </w:r>
          </w:p>
        </w:tc>
        <w:tc>
          <w:tcPr/>
          <w:p>
            <w:pPr>
              <w:pStyle w:val="Compact"/>
              <w:jc w:val="left"/>
            </w:pPr>
            <w:r>
              <w:t xml:space="preserve">Podcast-style analyst interviews, ad-free</w:t>
            </w:r>
          </w:p>
        </w:tc>
      </w:tr>
      <w:tr>
        <w:tc>
          <w:tcPr/>
          <w:p>
            <w:pPr>
              <w:pStyle w:val="Compact"/>
              <w:jc w:val="left"/>
            </w:pPr>
            <w:r>
              <w:rPr>
                <w:bCs/>
                <w:b/>
              </w:rPr>
              <w:t xml:space="preserve">Billing</w:t>
            </w:r>
          </w:p>
        </w:tc>
        <w:tc>
          <w:tcPr/>
          <w:p>
            <w:pPr>
              <w:pStyle w:val="Compact"/>
              <w:jc w:val="left"/>
            </w:pPr>
            <w:r>
              <w:t xml:space="preserve">Registration-gated</w:t>
            </w:r>
          </w:p>
        </w:tc>
        <w:tc>
          <w:tcPr/>
          <w:p>
            <w:pPr>
              <w:pStyle w:val="Compact"/>
              <w:jc w:val="left"/>
            </w:pPr>
            <w:r>
              <w:t xml:space="preserve">Monthly or annual (17% discount)</w:t>
            </w:r>
          </w:p>
        </w:tc>
        <w:tc>
          <w:tcPr/>
          <w:p>
            <w:pPr>
              <w:pStyle w:val="Compact"/>
              <w:jc w:val="left"/>
            </w:pPr>
            <w:r>
              <w:t xml:space="preserve">Monthly or annual (17% discount)</w:t>
            </w:r>
          </w:p>
        </w:tc>
        <w:tc>
          <w:tcPr/>
          <w:p>
            <w:pPr>
              <w:pStyle w:val="Compact"/>
              <w:jc w:val="left"/>
            </w:pPr>
            <w:r>
              <w:t xml:space="preserve">Annual-only; corporate CHF 5,000–25,000/year</w:t>
            </w:r>
          </w:p>
        </w:tc>
      </w:tr>
    </w:tbl>
    <w:p>
      <w:pPr>
        <w:pStyle w:val="BodyText"/>
      </w:pPr>
      <w:r>
        <w:t xml:space="preserve">The pricing architecture exploits the compromise effect: the second-paid tier (Professional at CHF 79) captures the majority of serious subscribers by sitting between a limited entry point (Essential) and an anchor tier (Executive) that makes the mid-tier appear exceptional in value</w:t>
      </w:r>
      <w:r>
        <w:rPr>
          <w:vertAlign w:val="superscript"/>
        </w:rPr>
        <w:t xml:space="preserve">14</w:t>
      </w:r>
      <w:r>
        <w:t xml:space="preserve">. This price point sits within the validated market band — RANE’s equivalent costs approximately $80 per month; GCTI’s professional platform commands $99 per month</w:t>
      </w:r>
      <w:r>
        <w:rPr>
          <w:vertAlign w:val="superscript"/>
        </w:rPr>
        <w:t xml:space="preserve">5</w:t>
      </w:r>
      <w:r>
        <w:t xml:space="preserve"> </w:t>
      </w:r>
      <w:r>
        <w:rPr>
          <w:vertAlign w:val="superscript"/>
        </w:rPr>
        <w:t xml:space="preserve">9</w:t>
      </w:r>
      <w:r>
        <w:t xml:space="preserve">.</w:t>
      </w:r>
    </w:p>
    <w:p>
      <w:pPr>
        <w:pStyle w:val="BodyText"/>
      </w:pPr>
      <w:r>
        <w:t xml:space="preserve">The conversion funnel is deliberately inverted. Anonymous visitors hit a registration wall after 2–3 articles, not a paywall, capturing email for nurture while preserving content discovery. A 10-day free trial on paid tiers — no credit card required — maintains the urgency that drives conversion; users who complete key activation actions during trial convert at 3–5 times the rate of non-activated users</w:t>
      </w:r>
      <w:r>
        <w:rPr>
          <w:vertAlign w:val="superscript"/>
        </w:rPr>
        <w:t xml:space="preserve">15</w:t>
      </w:r>
      <w:r>
        <w:t xml:space="preserve">. Every paid tier carries a 30-day money-back guarantee, shown to lift conversion 10–20% with minimal refund rate increase</w:t>
      </w:r>
      <w:r>
        <w:rPr>
          <w:vertAlign w:val="superscript"/>
        </w:rPr>
        <w:t xml:space="preserve">16</w:t>
      </w:r>
      <w:r>
        <w:t xml:space="preserve">.</w:t>
      </w:r>
    </w:p>
    <w:p>
      <w:pPr>
        <w:pStyle w:val="BodyText"/>
      </w:pPr>
      <w:r>
        <w:t xml:space="preserve">The Executive tier is anchored by an annual invitation-only summit in Switzerland, modelled on Chatham House Rule gatherings that justify premium memberships at Atlantic Council ($5,000–25,000/year) and Chatham House (£345/year)</w:t>
      </w:r>
      <w:r>
        <w:rPr>
          <w:vertAlign w:val="superscript"/>
        </w:rPr>
        <w:t xml:space="preserve">17</w:t>
      </w:r>
      <w:r>
        <w:t xml:space="preserve"> </w:t>
      </w:r>
      <w:r>
        <w:rPr>
          <w:vertAlign w:val="superscript"/>
        </w:rPr>
        <w:t xml:space="preserve">18</w:t>
      </w:r>
      <w:r>
        <w:t xml:space="preserve">. Corporate licences at CHF 5,000–25,000 annually provide 5–50 nominated individual accounts, making the corporate sale about</w:t>
      </w:r>
      <w:r>
        <w:t xml:space="preserve"> </w:t>
      </w:r>
      <w:r>
        <w:t xml:space="preserve">“</w:t>
      </w:r>
      <w:r>
        <w:t xml:space="preserve">seats at the table</w:t>
      </w:r>
      <w:r>
        <w:t xml:space="preserve">”</w:t>
      </w:r>
      <w:r>
        <w:t xml:space="preserve"> </w:t>
      </w:r>
      <w:r>
        <w:t xml:space="preserve">rather than content access. Churn becomes costly in institutional relationships, not merely subscription fees.</w:t>
      </w:r>
    </w:p>
    <w:p>
      <w:pPr>
        <w:pStyle w:val="BodyText"/>
      </w:pPr>
      <w:r>
        <w:t xml:space="preserve">The chapters that follow unpack each dimension: competitive positioning against RANE, Oxford Analytica, and European think tanks; the</w:t>
      </w:r>
      <w:r>
        <w:t xml:space="preserve"> </w:t>
      </w:r>
      <w:r>
        <w:t xml:space="preserve">“</w:t>
      </w:r>
      <w:r>
        <w:t xml:space="preserve">reverse timewall</w:t>
      </w:r>
      <w:r>
        <w:t xml:space="preserve">”</w:t>
      </w:r>
      <w:r>
        <w:t xml:space="preserve"> </w:t>
      </w:r>
      <w:r>
        <w:t xml:space="preserve">content cascade; pricing psychology and Swiss market specifics; newsletter strategy as the primary conversion vehicle; vAvatar technical implementation; and the complete conversion funnel from anonymous visitor to Executive member.</w:t>
      </w:r>
      <w:r>
        <w:t xml:space="preserve"> </w:t>
      </w:r>
      <w:r>
        <w:t xml:space="preserve">## 1. Competitive Landscape &amp; Strategic Positioning</w:t>
      </w:r>
    </w:p>
    <w:p>
      <w:pPr>
        <w:pStyle w:val="BodyText"/>
      </w:pPr>
      <w:r>
        <w:t xml:space="preserve">The geopolitical intelligence market is accelerating toward a $15 billion inflection point by 2035, growing at 14.3% annually</w:t>
      </w:r>
      <w:r>
        <w:rPr>
          <w:vertAlign w:val="superscript"/>
        </w:rPr>
        <w:t xml:space="preserve">1</w:t>
      </w:r>
      <w:r>
        <w:t xml:space="preserve">. Three forces are reshaping the terrain: legacy think tanks are retreating behind event-heavy paywalls, intelligence platforms are consolidating through aggressive M&amp;A, and premium media companies are embedding AI tools that raise subscriber expectations. For SRC, this convergence creates a rare opening — no incumbent has combined Swiss-governed neutrality, AI-augmented delivery speed, and multilingual video intelligence into a single membership architecture. Mapping exactly where each competitor sits, what they charge, and where their models strain reveals the white space SRC must occupy before someone else does.</w:t>
      </w:r>
    </w:p>
    <w:bookmarkStart w:id="21" w:name="think-tank-membership-models"/>
    <w:p>
      <w:pPr>
        <w:pStyle w:val="Heading3"/>
      </w:pPr>
      <w:r>
        <w:t xml:space="preserve">1.1 Think Tank Membership Models</w:t>
      </w:r>
    </w:p>
    <w:p>
      <w:pPr>
        <w:pStyle w:val="FirstParagraph"/>
      </w:pPr>
      <w:r>
        <w:t xml:space="preserve">Think tanks worldwide have converged on a shared monetization logic: core research remains open by default, while paid tiers differentiate through experience, access, and governance participation rather than content gatekeeping. The battleground is not who can lock the most articles behind a paywall, but who can deliver the most consequential interactions.</w:t>
      </w:r>
    </w:p>
    <w:p>
      <w:pPr>
        <w:pStyle w:val="BodyText"/>
      </w:pPr>
      <w:r>
        <w:rPr>
          <w:bCs/>
          <w:b/>
        </w:rPr>
        <w:t xml:space="preserve">Chatham House</w:t>
      </w:r>
      <w:r>
        <w:t xml:space="preserve"> </w:t>
      </w:r>
      <w:r>
        <w:t xml:space="preserve">anchors the event-heavy model. Individual memberships range from £195 (Associate, digital-only) to £345 (Full, with event access), but the real revenue lies in corporate tiers: Standard corporate membership begins at £4,500 per year and scales to Major Corporate, where members gain access to</w:t>
      </w:r>
      <w:r>
        <w:t xml:space="preserve"> </w:t>
      </w:r>
      <w:r>
        <w:t xml:space="preserve">“</w:t>
      </w:r>
      <w:r>
        <w:t xml:space="preserve">regular briefings on emerging geopolitical risk, held under the Chatham House Rule</w:t>
      </w:r>
      <w:r>
        <w:t xml:space="preserve">”</w:t>
      </w:r>
      <w:r>
        <w:rPr>
          <w:vertAlign w:val="superscript"/>
        </w:rPr>
        <w:t xml:space="preserve">17</w:t>
      </w:r>
      <w:r>
        <w:t xml:space="preserve"> </w:t>
      </w:r>
      <w:r>
        <w:rPr>
          <w:vertAlign w:val="superscript"/>
        </w:rPr>
        <w:t xml:space="preserve">19</w:t>
      </w:r>
      <w:r>
        <w:t xml:space="preserve">. The Rule — a non-attribution protocol that encourages candor — is itself a monetizable asset no competitor can replicate. Standard corporate members receive 120+ on-record events and 5 individual nominees; Major Corporate adds exclusive dinners, VIP receptions, early access to research, and up to 25 nominees</w:t>
      </w:r>
      <w:r>
        <w:rPr>
          <w:vertAlign w:val="superscript"/>
        </w:rPr>
        <w:t xml:space="preserve">20</w:t>
      </w:r>
      <w:r>
        <w:t xml:space="preserve">. The strategic takeaway: scarcity of candid conversation, not scarcity of written analysis, commands the premium.</w:t>
      </w:r>
    </w:p>
    <w:p>
      <w:pPr>
        <w:pStyle w:val="BodyText"/>
      </w:pPr>
      <w:r>
        <w:rPr>
          <w:bCs/>
          <w:b/>
        </w:rPr>
        <w:t xml:space="preserve">The Council on Foreign Relations (CFR)</w:t>
      </w:r>
      <w:r>
        <w:t xml:space="preserve"> </w:t>
      </w:r>
      <w:r>
        <w:t xml:space="preserve">pushes exclusivity into stratospheric pricing. Corporate tiers are structured at $50,000, $75,000, and $100,000+ (Founders), each adding layers of private access: fellow briefings for boards and executive committees, the Term Member Program for rising executives, and off-the-record dinners with world leaders</w:t>
      </w:r>
      <w:r>
        <w:rPr>
          <w:vertAlign w:val="superscript"/>
        </w:rPr>
        <w:t xml:space="preserve">21</w:t>
      </w:r>
      <w:r>
        <w:t xml:space="preserve"> </w:t>
      </w:r>
      <w:r>
        <w:rPr>
          <w:vertAlign w:val="superscript"/>
        </w:rPr>
        <w:t xml:space="preserve">22</w:t>
      </w:r>
      <w:r>
        <w:t xml:space="preserve">. CFR demonstrates that for the right audience — Fortune 500 C-suites and institutional investors — price itself functions as a filter for cohort quality.</w:t>
      </w:r>
    </w:p>
    <w:p>
      <w:pPr>
        <w:pStyle w:val="BodyText"/>
      </w:pPr>
      <w:r>
        <w:rPr>
          <w:bCs/>
          <w:b/>
        </w:rPr>
        <w:t xml:space="preserve">CSIS</w:t>
      </w:r>
      <w:r>
        <w:t xml:space="preserve"> </w:t>
      </w:r>
      <w:r>
        <w:t xml:space="preserve">organizes its highest tiers around research embedment rather than social access. The International Councillors, established by Henry Kissinger in 1979, represents</w:t>
      </w:r>
      <w:r>
        <w:t xml:space="preserve"> </w:t>
      </w:r>
      <w:r>
        <w:t xml:space="preserve">“</w:t>
      </w:r>
      <w:r>
        <w:t xml:space="preserve">one of the Center’s highest-level Membership Groups</w:t>
      </w:r>
      <w:r>
        <w:t xml:space="preserve">”</w:t>
      </w:r>
      <w:r>
        <w:t xml:space="preserve"> </w:t>
      </w:r>
      <w:r>
        <w:t xml:space="preserve">where members</w:t>
      </w:r>
      <w:r>
        <w:t xml:space="preserve"> </w:t>
      </w:r>
      <w:r>
        <w:t xml:space="preserve">“</w:t>
      </w:r>
      <w:r>
        <w:t xml:space="preserve">participate actively in the substantive projects of the Center</w:t>
      </w:r>
      <w:r>
        <w:t xml:space="preserve">”</w:t>
      </w:r>
      <w:r>
        <w:rPr>
          <w:vertAlign w:val="superscript"/>
        </w:rPr>
        <w:t xml:space="preserve">23</w:t>
      </w:r>
      <w:r>
        <w:t xml:space="preserve">. Below this sit the Advisory Board and Roundtables, creating a three-tier invitation-only pyramid. CSIS’s insight is that the deepest engagement comes from contributing to the research itself — a model SRC can adapt by allowing Expert-tier members to vote on research priorities.</w:t>
      </w:r>
    </w:p>
    <w:p>
      <w:pPr>
        <w:pStyle w:val="BodyText"/>
      </w:pPr>
      <w:r>
        <w:rPr>
          <w:bCs/>
          <w:b/>
        </w:rPr>
        <w:t xml:space="preserve">The Atlantic Council</w:t>
      </w:r>
      <w:r>
        <w:t xml:space="preserve"> </w:t>
      </w:r>
      <w:r>
        <w:t xml:space="preserve">offers the most accessible high-tier model among US think tanks. Individual membership runs from Councilor ($5,000) through Senior Councilor ($10,000) to Global Councilor ($25,000), the latter including</w:t>
      </w:r>
      <w:r>
        <w:t xml:space="preserve"> </w:t>
      </w:r>
      <w:r>
        <w:t xml:space="preserve">“</w:t>
      </w:r>
      <w:r>
        <w:t xml:space="preserve">up to one private meeting per year with Atlantic Council program and center directors</w:t>
      </w:r>
      <w:r>
        <w:t xml:space="preserve">”</w:t>
      </w:r>
      <w:r>
        <w:rPr>
          <w:vertAlign w:val="superscript"/>
        </w:rPr>
        <w:t xml:space="preserve">18</w:t>
      </w:r>
      <w:r>
        <w:t xml:space="preserve">. Selection is through a</w:t>
      </w:r>
      <w:r>
        <w:t xml:space="preserve"> </w:t>
      </w:r>
      <w:r>
        <w:t xml:space="preserve">“</w:t>
      </w:r>
      <w:r>
        <w:t xml:space="preserve">competitive nomination process</w:t>
      </w:r>
      <w:r>
        <w:t xml:space="preserve">”</w:t>
      </w:r>
      <w:r>
        <w:t xml:space="preserve"> </w:t>
      </w:r>
      <w:r>
        <w:t xml:space="preserve">that creates perceived scarcity. The Atlantic Council’s pricing confirms a consistent pattern: the jump from content access to personal interaction roughly triples the price.</w:t>
      </w:r>
    </w:p>
    <w:p>
      <w:pPr>
        <w:pStyle w:val="BodyText"/>
      </w:pPr>
      <w:r>
        <w:rPr>
          <w:bCs/>
          <w:b/>
        </w:rPr>
        <w:t xml:space="preserve">European think tanks</w:t>
      </w:r>
      <w:r>
        <w:t xml:space="preserve"> </w:t>
      </w:r>
      <w:r>
        <w:t xml:space="preserve">cluster at lower price points but compensate with governance participation. EPC charges corporate members EUR 3,000-12,500 per year</w:t>
      </w:r>
      <w:r>
        <w:rPr>
          <w:vertAlign w:val="superscript"/>
        </w:rPr>
        <w:t xml:space="preserve">24</w:t>
      </w:r>
      <w:r>
        <w:t xml:space="preserve">; CEPS ranges from EUR 6,000-18,000, with its</w:t>
      </w:r>
      <w:r>
        <w:t xml:space="preserve"> </w:t>
      </w:r>
      <w:r>
        <w:t xml:space="preserve">“</w:t>
      </w:r>
      <w:r>
        <w:t xml:space="preserve">Inner Circle</w:t>
      </w:r>
      <w:r>
        <w:t xml:space="preserve">”</w:t>
      </w:r>
      <w:r>
        <w:t xml:space="preserve"> </w:t>
      </w:r>
      <w:r>
        <w:t xml:space="preserve">tier at EUR 30,000 attracting approximately 150 corporate members</w:t>
      </w:r>
      <w:r>
        <w:rPr>
          <w:vertAlign w:val="superscript"/>
        </w:rPr>
        <w:t xml:space="preserve">25</w:t>
      </w:r>
      <w:r>
        <w:t xml:space="preserve"> </w:t>
      </w:r>
      <w:r>
        <w:rPr>
          <w:vertAlign w:val="superscript"/>
        </w:rPr>
        <w:t xml:space="preserve">26</w:t>
      </w:r>
      <w:r>
        <w:t xml:space="preserve">. CEPS caps any single member’s contribution at 2.5% of annual income to preserve independence</w:t>
      </w:r>
      <w:r>
        <w:rPr>
          <w:vertAlign w:val="superscript"/>
        </w:rPr>
        <w:t xml:space="preserve">26</w:t>
      </w:r>
      <w:r>
        <w:t xml:space="preserve">— a governance feature SRC’s Swiss positioning can credibly exceed. Bruegel counts BlackRock, McKinsey, Google, Meta, and Microsoft among its members, who collectively elect the Board and have direct voice in the research programme</w:t>
      </w:r>
      <w:r>
        <w:rPr>
          <w:vertAlign w:val="superscript"/>
        </w:rPr>
        <w:t xml:space="preserve">27</w:t>
      </w:r>
      <w:r>
        <w:t xml:space="preserve">. DGAP offers exchange with political decision-makers, exclusive dinners, and leadership programs through its Sponsorship Association</w:t>
      </w:r>
      <w:r>
        <w:rPr>
          <w:vertAlign w:val="superscript"/>
        </w:rPr>
        <w:t xml:space="preserve">28</w:t>
      </w:r>
      <w:r>
        <w:t xml:space="preserve">.</w:t>
      </w:r>
    </w:p>
    <w:p>
      <w:pPr>
        <w:pStyle w:val="BodyText"/>
      </w:pPr>
      <w:r>
        <w:rPr>
          <w:bCs/>
          <w:b/>
        </w:rPr>
        <w:t xml:space="preserve">Table 1: Global Think Tank Membership Models — Comparative Overview</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Organization</w:t>
            </w:r>
          </w:p>
        </w:tc>
        <w:tc>
          <w:tcPr/>
          <w:p>
            <w:pPr>
              <w:pStyle w:val="Compact"/>
              <w:jc w:val="left"/>
            </w:pPr>
            <w:r>
              <w:t xml:space="preserve">Location</w:t>
            </w:r>
          </w:p>
        </w:tc>
        <w:tc>
          <w:tcPr/>
          <w:p>
            <w:pPr>
              <w:pStyle w:val="Compact"/>
              <w:jc w:val="left"/>
            </w:pPr>
            <w:r>
              <w:t xml:space="preserve">Tier Structure</w:t>
            </w:r>
          </w:p>
        </w:tc>
        <w:tc>
          <w:tcPr/>
          <w:p>
            <w:pPr>
              <w:pStyle w:val="Compact"/>
              <w:jc w:val="left"/>
            </w:pPr>
            <w:r>
              <w:t xml:space="preserve">Annual Pricing</w:t>
            </w:r>
          </w:p>
        </w:tc>
        <w:tc>
          <w:tcPr/>
          <w:p>
            <w:pPr>
              <w:pStyle w:val="Compact"/>
              <w:jc w:val="left"/>
            </w:pPr>
            <w:r>
              <w:t xml:space="preserve">Core Value Anchor</w:t>
            </w:r>
          </w:p>
        </w:tc>
        <w:tc>
          <w:tcPr/>
          <w:p>
            <w:pPr>
              <w:pStyle w:val="Compact"/>
              <w:jc w:val="left"/>
            </w:pPr>
            <w:r>
              <w:t xml:space="preserve">Selection Model</w:t>
            </w:r>
          </w:p>
        </w:tc>
      </w:tr>
      <w:tr>
        <w:tc>
          <w:tcPr/>
          <w:p>
            <w:pPr>
              <w:pStyle w:val="Compact"/>
              <w:jc w:val="left"/>
            </w:pPr>
            <w:r>
              <w:t xml:space="preserve">Chatham House</w:t>
            </w:r>
          </w:p>
        </w:tc>
        <w:tc>
          <w:tcPr/>
          <w:p>
            <w:pPr>
              <w:pStyle w:val="Compact"/>
              <w:jc w:val="left"/>
            </w:pPr>
            <w:r>
              <w:t xml:space="preserve">London, UK</w:t>
            </w:r>
          </w:p>
        </w:tc>
        <w:tc>
          <w:tcPr/>
          <w:p>
            <w:pPr>
              <w:pStyle w:val="Compact"/>
              <w:jc w:val="left"/>
            </w:pPr>
            <w:r>
              <w:t xml:space="preserve">Individual (2 tiers) + Corporate (3 tiers)</w:t>
            </w:r>
          </w:p>
        </w:tc>
        <w:tc>
          <w:tcPr/>
          <w:p>
            <w:pPr>
              <w:pStyle w:val="Compact"/>
              <w:jc w:val="left"/>
            </w:pPr>
            <w:r>
              <w:t xml:space="preserve">Individual: £195-345; Corporate: £4,500-50,000+</w:t>
            </w:r>
            <w:r>
              <w:t xml:space="preserve"> </w:t>
            </w:r>
            <w:r>
              <w:rPr>
                <w:vertAlign w:val="superscript"/>
              </w:rPr>
              <w:t xml:space="preserve">17</w:t>
            </w:r>
            <w:r>
              <w:t xml:space="preserve"> </w:t>
            </w:r>
            <w:r>
              <w:rPr>
                <w:vertAlign w:val="superscript"/>
              </w:rPr>
              <w:t xml:space="preserve">19</w:t>
            </w:r>
          </w:p>
        </w:tc>
        <w:tc>
          <w:tcPr/>
          <w:p>
            <w:pPr>
              <w:pStyle w:val="Compact"/>
              <w:jc w:val="left"/>
            </w:pPr>
            <w:r>
              <w:t xml:space="preserve">Chatham House Rule briefings + 100+ member events</w:t>
            </w:r>
            <w:r>
              <w:t xml:space="preserve"> </w:t>
            </w:r>
            <w:r>
              <w:rPr>
                <w:vertAlign w:val="superscript"/>
              </w:rPr>
              <w:t xml:space="preserve">20</w:t>
            </w:r>
          </w:p>
        </w:tc>
        <w:tc>
          <w:tcPr/>
          <w:p>
            <w:pPr>
              <w:pStyle w:val="Compact"/>
              <w:jc w:val="left"/>
            </w:pPr>
            <w:r>
              <w:t xml:space="preserve">Open (Individual); Invitation (Major Corporate)</w:t>
            </w:r>
          </w:p>
        </w:tc>
      </w:tr>
      <w:tr>
        <w:tc>
          <w:tcPr/>
          <w:p>
            <w:pPr>
              <w:pStyle w:val="Compact"/>
              <w:jc w:val="left"/>
            </w:pPr>
            <w:r>
              <w:t xml:space="preserve">Council on Foreign Relations</w:t>
            </w:r>
          </w:p>
        </w:tc>
        <w:tc>
          <w:tcPr/>
          <w:p>
            <w:pPr>
              <w:pStyle w:val="Compact"/>
              <w:jc w:val="left"/>
            </w:pPr>
            <w:r>
              <w:t xml:space="preserve">New York, USA</w:t>
            </w:r>
          </w:p>
        </w:tc>
        <w:tc>
          <w:tcPr/>
          <w:p>
            <w:pPr>
              <w:pStyle w:val="Compact"/>
              <w:jc w:val="left"/>
            </w:pPr>
            <w:r>
              <w:t xml:space="preserve">Corporate (3 tiers)</w:t>
            </w:r>
          </w:p>
        </w:tc>
        <w:tc>
          <w:tcPr/>
          <w:p>
            <w:pPr>
              <w:pStyle w:val="Compact"/>
              <w:jc w:val="left"/>
            </w:pPr>
            <w:r>
              <w:t xml:space="preserve">$50,000 / $75,000 / $100,000+</w:t>
            </w:r>
            <w:r>
              <w:t xml:space="preserve"> </w:t>
            </w:r>
            <w:r>
              <w:rPr>
                <w:vertAlign w:val="superscript"/>
              </w:rPr>
              <w:t xml:space="preserve">22</w:t>
            </w:r>
          </w:p>
        </w:tc>
        <w:tc>
          <w:tcPr/>
          <w:p>
            <w:pPr>
              <w:pStyle w:val="Compact"/>
              <w:jc w:val="left"/>
            </w:pPr>
            <w:r>
              <w:t xml:space="preserve">CEO-level off-the-record dinners + fellow briefings</w:t>
            </w:r>
            <w:r>
              <w:t xml:space="preserve"> </w:t>
            </w:r>
            <w:r>
              <w:rPr>
                <w:vertAlign w:val="superscript"/>
              </w:rPr>
              <w:t xml:space="preserve">21</w:t>
            </w:r>
          </w:p>
        </w:tc>
        <w:tc>
          <w:tcPr/>
          <w:p>
            <w:pPr>
              <w:pStyle w:val="Compact"/>
              <w:jc w:val="left"/>
            </w:pPr>
            <w:r>
              <w:t xml:space="preserve">Invitation-only</w:t>
            </w:r>
          </w:p>
        </w:tc>
      </w:tr>
      <w:tr>
        <w:tc>
          <w:tcPr/>
          <w:p>
            <w:pPr>
              <w:pStyle w:val="Compact"/>
              <w:jc w:val="left"/>
            </w:pPr>
            <w:r>
              <w:t xml:space="preserve">CSIS</w:t>
            </w:r>
          </w:p>
        </w:tc>
        <w:tc>
          <w:tcPr/>
          <w:p>
            <w:pPr>
              <w:pStyle w:val="Compact"/>
              <w:jc w:val="left"/>
            </w:pPr>
            <w:r>
              <w:t xml:space="preserve">Washington, DC</w:t>
            </w:r>
          </w:p>
        </w:tc>
        <w:tc>
          <w:tcPr/>
          <w:p>
            <w:pPr>
              <w:pStyle w:val="Compact"/>
              <w:jc w:val="left"/>
            </w:pPr>
            <w:r>
              <w:t xml:space="preserve">International Councillors → Advisory Board → Roundtables</w:t>
            </w:r>
          </w:p>
        </w:tc>
        <w:tc>
          <w:tcPr/>
          <w:p>
            <w:pPr>
              <w:pStyle w:val="Compact"/>
              <w:jc w:val="left"/>
            </w:pPr>
            <w:r>
              <w:t xml:space="preserve">Estimated $25,000-75,000+</w:t>
            </w:r>
            <w:r>
              <w:t xml:space="preserve"> </w:t>
            </w:r>
            <w:r>
              <w:rPr>
                <w:vertAlign w:val="superscript"/>
              </w:rPr>
              <w:t xml:space="preserve">23</w:t>
            </w:r>
          </w:p>
        </w:tc>
        <w:tc>
          <w:tcPr/>
          <w:p>
            <w:pPr>
              <w:pStyle w:val="Compact"/>
              <w:jc w:val="left"/>
            </w:pPr>
            <w:r>
              <w:t xml:space="preserve">Active participation in research projects</w:t>
            </w:r>
            <w:r>
              <w:t xml:space="preserve"> </w:t>
            </w:r>
            <w:r>
              <w:rPr>
                <w:vertAlign w:val="superscript"/>
              </w:rPr>
              <w:t xml:space="preserve">23</w:t>
            </w:r>
          </w:p>
        </w:tc>
        <w:tc>
          <w:tcPr/>
          <w:p>
            <w:pPr>
              <w:pStyle w:val="Compact"/>
              <w:jc w:val="left"/>
            </w:pPr>
            <w:r>
              <w:t xml:space="preserve">Invitation-only</w:t>
            </w:r>
          </w:p>
        </w:tc>
      </w:tr>
      <w:tr>
        <w:tc>
          <w:tcPr/>
          <w:p>
            <w:pPr>
              <w:pStyle w:val="Compact"/>
              <w:jc w:val="left"/>
            </w:pPr>
            <w:r>
              <w:t xml:space="preserve">Atlantic Council</w:t>
            </w:r>
          </w:p>
        </w:tc>
        <w:tc>
          <w:tcPr/>
          <w:p>
            <w:pPr>
              <w:pStyle w:val="Compact"/>
              <w:jc w:val="left"/>
            </w:pPr>
            <w:r>
              <w:t xml:space="preserve">Washington, DC</w:t>
            </w:r>
          </w:p>
        </w:tc>
        <w:tc>
          <w:tcPr/>
          <w:p>
            <w:pPr>
              <w:pStyle w:val="Compact"/>
              <w:jc w:val="left"/>
            </w:pPr>
            <w:r>
              <w:t xml:space="preserve">Councilor → Senior Councilor → Global Councilor</w:t>
            </w:r>
          </w:p>
        </w:tc>
        <w:tc>
          <w:tcPr/>
          <w:p>
            <w:pPr>
              <w:pStyle w:val="Compact"/>
              <w:jc w:val="left"/>
            </w:pPr>
            <w:r>
              <w:t xml:space="preserve">$5,000 / $10,000 / $25,000</w:t>
            </w:r>
            <w:r>
              <w:t xml:space="preserve"> </w:t>
            </w:r>
            <w:r>
              <w:rPr>
                <w:vertAlign w:val="superscript"/>
              </w:rPr>
              <w:t xml:space="preserve">18</w:t>
            </w:r>
          </w:p>
        </w:tc>
        <w:tc>
          <w:tcPr/>
          <w:p>
            <w:pPr>
              <w:pStyle w:val="Compact"/>
              <w:jc w:val="left"/>
            </w:pPr>
            <w:r>
              <w:t xml:space="preserve">Private briefings + meeting with program directors</w:t>
            </w:r>
            <w:r>
              <w:t xml:space="preserve"> </w:t>
            </w:r>
            <w:r>
              <w:rPr>
                <w:vertAlign w:val="superscript"/>
              </w:rPr>
              <w:t xml:space="preserve">18</w:t>
            </w:r>
          </w:p>
        </w:tc>
        <w:tc>
          <w:tcPr/>
          <w:p>
            <w:pPr>
              <w:pStyle w:val="Compact"/>
              <w:jc w:val="left"/>
            </w:pPr>
            <w:r>
              <w:t xml:space="preserve">Competitive nomination</w:t>
            </w:r>
          </w:p>
        </w:tc>
      </w:tr>
      <w:tr>
        <w:tc>
          <w:tcPr/>
          <w:p>
            <w:pPr>
              <w:pStyle w:val="Compact"/>
              <w:jc w:val="left"/>
            </w:pPr>
            <w:r>
              <w:t xml:space="preserve">CEPS</w:t>
            </w:r>
          </w:p>
        </w:tc>
        <w:tc>
          <w:tcPr/>
          <w:p>
            <w:pPr>
              <w:pStyle w:val="Compact"/>
              <w:jc w:val="left"/>
            </w:pPr>
            <w:r>
              <w:t xml:space="preserve">Brussels, Belgium</w:t>
            </w:r>
          </w:p>
        </w:tc>
        <w:tc>
          <w:tcPr/>
          <w:p>
            <w:pPr>
              <w:pStyle w:val="Compact"/>
              <w:jc w:val="left"/>
            </w:pPr>
            <w:r>
              <w:t xml:space="preserve">Corporate + Inner Circle</w:t>
            </w:r>
          </w:p>
        </w:tc>
        <w:tc>
          <w:tcPr/>
          <w:p>
            <w:pPr>
              <w:pStyle w:val="Compact"/>
              <w:jc w:val="left"/>
            </w:pPr>
            <w:r>
              <w:t xml:space="preserve">EUR 6,000-18,000; Inner Circle EUR 30,000</w:t>
            </w:r>
            <w:r>
              <w:t xml:space="preserve"> </w:t>
            </w:r>
            <w:r>
              <w:rPr>
                <w:vertAlign w:val="superscript"/>
              </w:rPr>
              <w:t xml:space="preserve">25</w:t>
            </w:r>
            <w:r>
              <w:t xml:space="preserve"> </w:t>
            </w:r>
            <w:r>
              <w:rPr>
                <w:vertAlign w:val="superscript"/>
              </w:rPr>
              <w:t xml:space="preserve">26</w:t>
            </w:r>
          </w:p>
        </w:tc>
        <w:tc>
          <w:tcPr/>
          <w:p>
            <w:pPr>
              <w:pStyle w:val="Compact"/>
              <w:jc w:val="left"/>
            </w:pPr>
            <w:r>
              <w:t xml:space="preserve">Governance participation + research programme input</w:t>
            </w:r>
            <w:r>
              <w:t xml:space="preserve"> </w:t>
            </w:r>
            <w:r>
              <w:rPr>
                <w:vertAlign w:val="superscript"/>
              </w:rPr>
              <w:t xml:space="preserve">26</w:t>
            </w:r>
          </w:p>
        </w:tc>
        <w:tc>
          <w:tcPr/>
          <w:p>
            <w:pPr>
              <w:pStyle w:val="Compact"/>
              <w:jc w:val="left"/>
            </w:pPr>
            <w:r>
              <w:t xml:space="preserve">Application</w:t>
            </w:r>
          </w:p>
        </w:tc>
      </w:tr>
      <w:tr>
        <w:tc>
          <w:tcPr/>
          <w:p>
            <w:pPr>
              <w:pStyle w:val="Compact"/>
              <w:jc w:val="left"/>
            </w:pPr>
            <w:r>
              <w:t xml:space="preserve">EPC</w:t>
            </w:r>
          </w:p>
        </w:tc>
        <w:tc>
          <w:tcPr/>
          <w:p>
            <w:pPr>
              <w:pStyle w:val="Compact"/>
              <w:jc w:val="left"/>
            </w:pPr>
            <w:r>
              <w:t xml:space="preserve">Brussels, Belgium</w:t>
            </w:r>
          </w:p>
        </w:tc>
        <w:tc>
          <w:tcPr/>
          <w:p>
            <w:pPr>
              <w:pStyle w:val="Compact"/>
              <w:jc w:val="left"/>
            </w:pPr>
            <w:r>
              <w:t xml:space="preserve">Corporate + Diplomatic + NGO</w:t>
            </w:r>
          </w:p>
        </w:tc>
        <w:tc>
          <w:tcPr/>
          <w:p>
            <w:pPr>
              <w:pStyle w:val="Compact"/>
              <w:jc w:val="left"/>
            </w:pPr>
            <w:r>
              <w:t xml:space="preserve">Corporate: EUR 3,000-12,500</w:t>
            </w:r>
            <w:r>
              <w:t xml:space="preserve"> </w:t>
            </w:r>
            <w:r>
              <w:rPr>
                <w:vertAlign w:val="superscript"/>
              </w:rPr>
              <w:t xml:space="preserve">24</w:t>
            </w:r>
          </w:p>
        </w:tc>
        <w:tc>
          <w:tcPr/>
          <w:p>
            <w:pPr>
              <w:pStyle w:val="Compact"/>
              <w:jc w:val="left"/>
            </w:pPr>
            <w:r>
              <w:t xml:space="preserve">Policy briefings + 350-member network</w:t>
            </w:r>
            <w:r>
              <w:t xml:space="preserve"> </w:t>
            </w:r>
            <w:r>
              <w:rPr>
                <w:vertAlign w:val="superscript"/>
              </w:rPr>
              <w:t xml:space="preserve">24</w:t>
            </w:r>
          </w:p>
        </w:tc>
        <w:tc>
          <w:tcPr/>
          <w:p>
            <w:pPr>
              <w:pStyle w:val="Compact"/>
              <w:jc w:val="left"/>
            </w:pPr>
            <w:r>
              <w:t xml:space="preserve">Open</w:t>
            </w:r>
          </w:p>
        </w:tc>
      </w:tr>
      <w:tr>
        <w:tc>
          <w:tcPr/>
          <w:p>
            <w:pPr>
              <w:pStyle w:val="Compact"/>
              <w:jc w:val="left"/>
            </w:pPr>
            <w:r>
              <w:t xml:space="preserve">Bruegel</w:t>
            </w:r>
          </w:p>
        </w:tc>
        <w:tc>
          <w:tcPr/>
          <w:p>
            <w:pPr>
              <w:pStyle w:val="Compact"/>
              <w:jc w:val="left"/>
            </w:pPr>
            <w:r>
              <w:t xml:space="preserve">Brussels, Belgium</w:t>
            </w:r>
          </w:p>
        </w:tc>
        <w:tc>
          <w:tcPr/>
          <w:p>
            <w:pPr>
              <w:pStyle w:val="Compact"/>
              <w:jc w:val="left"/>
            </w:pPr>
            <w:r>
              <w:t xml:space="preserve">Corporate membership</w:t>
            </w:r>
          </w:p>
        </w:tc>
        <w:tc>
          <w:tcPr/>
          <w:p>
            <w:pPr>
              <w:pStyle w:val="Compact"/>
              <w:jc w:val="left"/>
            </w:pPr>
            <w:r>
              <w:t xml:space="preserve">Estimated EUR 30,000+</w:t>
            </w:r>
            <w:r>
              <w:t xml:space="preserve"> </w:t>
            </w:r>
            <w:r>
              <w:rPr>
                <w:vertAlign w:val="superscript"/>
              </w:rPr>
              <w:t xml:space="preserve">27</w:t>
            </w:r>
          </w:p>
        </w:tc>
        <w:tc>
          <w:tcPr/>
          <w:p>
            <w:pPr>
              <w:pStyle w:val="Compact"/>
              <w:jc w:val="left"/>
            </w:pPr>
            <w:r>
              <w:t xml:space="preserve">Board election rights + research voice</w:t>
            </w:r>
            <w:r>
              <w:t xml:space="preserve"> </w:t>
            </w:r>
            <w:r>
              <w:rPr>
                <w:vertAlign w:val="superscript"/>
              </w:rPr>
              <w:t xml:space="preserve">27</w:t>
            </w:r>
          </w:p>
        </w:tc>
        <w:tc>
          <w:tcPr/>
          <w:p>
            <w:pPr>
              <w:pStyle w:val="Compact"/>
              <w:jc w:val="left"/>
            </w:pPr>
            <w:r>
              <w:t xml:space="preserve">Invitation</w:t>
            </w:r>
          </w:p>
        </w:tc>
      </w:tr>
      <w:tr>
        <w:tc>
          <w:tcPr/>
          <w:p>
            <w:pPr>
              <w:pStyle w:val="Compact"/>
              <w:jc w:val="left"/>
            </w:pPr>
            <w:r>
              <w:t xml:space="preserve">DGAP</w:t>
            </w:r>
          </w:p>
        </w:tc>
        <w:tc>
          <w:tcPr/>
          <w:p>
            <w:pPr>
              <w:pStyle w:val="Compact"/>
              <w:jc w:val="left"/>
            </w:pPr>
            <w:r>
              <w:t xml:space="preserve">Berlin, Germany</w:t>
            </w:r>
          </w:p>
        </w:tc>
        <w:tc>
          <w:tcPr/>
          <w:p>
            <w:pPr>
              <w:pStyle w:val="Compact"/>
              <w:jc w:val="left"/>
            </w:pPr>
            <w:r>
              <w:t xml:space="preserve">Sponsorship Association</w:t>
            </w:r>
          </w:p>
        </w:tc>
        <w:tc>
          <w:tcPr/>
          <w:p>
            <w:pPr>
              <w:pStyle w:val="Compact"/>
              <w:jc w:val="left"/>
            </w:pPr>
            <w:r>
              <w:t xml:space="preserve">Not publicly disclosed</w:t>
            </w:r>
            <w:r>
              <w:t xml:space="preserve"> </w:t>
            </w:r>
            <w:r>
              <w:rPr>
                <w:vertAlign w:val="superscript"/>
              </w:rPr>
              <w:t xml:space="preserve">28</w:t>
            </w:r>
          </w:p>
        </w:tc>
        <w:tc>
          <w:tcPr/>
          <w:p>
            <w:pPr>
              <w:pStyle w:val="Compact"/>
              <w:jc w:val="left"/>
            </w:pPr>
            <w:r>
              <w:t xml:space="preserve">Political decision-maker exchange</w:t>
            </w:r>
            <w:r>
              <w:t xml:space="preserve"> </w:t>
            </w:r>
            <w:r>
              <w:rPr>
                <w:vertAlign w:val="superscript"/>
              </w:rPr>
              <w:t xml:space="preserve">28</w:t>
            </w:r>
          </w:p>
        </w:tc>
        <w:tc>
          <w:tcPr/>
          <w:p>
            <w:pPr>
              <w:pStyle w:val="Compact"/>
              <w:jc w:val="left"/>
            </w:pPr>
            <w:r>
              <w:t xml:space="preserve">Application</w:t>
            </w:r>
          </w:p>
        </w:tc>
      </w:tr>
    </w:tbl>
    <w:p>
      <w:pPr>
        <w:pStyle w:val="BodyText"/>
      </w:pPr>
      <w:r>
        <w:t xml:space="preserve">Three patterns emerge. First, a vast pricing chasm exists between individual memberships ($200-500/year) and corporate tiers ($5,000-100,000+/year), with almost no one occupying the $1,000-5,000 mid-market for individual professionals — the</w:t>
      </w:r>
      <w:r>
        <w:t xml:space="preserve"> </w:t>
      </w:r>
      <w:r>
        <w:t xml:space="preserve">“</w:t>
      </w:r>
      <w:r>
        <w:t xml:space="preserve">solo practitioner gap</w:t>
      </w:r>
      <w:r>
        <w:t xml:space="preserve">”</w:t>
      </w:r>
      <w:r>
        <w:t xml:space="preserve"> </w:t>
      </w:r>
      <w:r>
        <w:t xml:space="preserve">that represents SRC’s primary addressable market: individual security professionals, consultants, and mid-level executives who need intelligence quality but cannot afford six-figure corporate fees. Second, governance participation is the European differentiator; SRC can compete by offering Expert-tier members a vote on research priorities — a lighter but still meaningful form of co-determination. Third, every top-tier model relies on a live-access anchor: Chatham House dinners, CFR private events, CSIS research embedment. SRC’s annual Switzerland summit will serve the same retention function.</w:t>
      </w:r>
    </w:p>
    <w:bookmarkEnd w:id="21"/>
    <w:bookmarkStart w:id="22" w:name="intelligence-service-subscription-models"/>
    <w:p>
      <w:pPr>
        <w:pStyle w:val="Heading3"/>
      </w:pPr>
      <w:r>
        <w:t xml:space="preserve">1.2 Intelligence Service Subscription Models</w:t>
      </w:r>
    </w:p>
    <w:p>
      <w:pPr>
        <w:pStyle w:val="FirstParagraph"/>
      </w:pPr>
      <w:r>
        <w:t xml:space="preserve">Intelligence platforms monetize speed, specificity, and workflow integration at prices typically 3-10x higher than think tank individual memberships, reflecting the direct commercial value of actionable intelligence.</w:t>
      </w:r>
    </w:p>
    <w:p>
      <w:pPr>
        <w:pStyle w:val="BodyText"/>
      </w:pPr>
      <w:r>
        <w:rPr>
          <w:bCs/>
          <w:b/>
        </w:rPr>
        <w:t xml:space="preserve">RANE WorldView</w:t>
      </w:r>
      <w:r>
        <w:t xml:space="preserve"> </w:t>
      </w:r>
      <w:r>
        <w:t xml:space="preserve">operates a three-tier consumer model following its 2020 acquisition of Stratfor</w:t>
      </w:r>
      <w:r>
        <w:rPr>
          <w:vertAlign w:val="superscript"/>
        </w:rPr>
        <w:t xml:space="preserve">29</w:t>
      </w:r>
      <w:r>
        <w:t xml:space="preserve">: Basic at ~$8 per week (~$416/year) with 10 situation reports monthly; Essential at $31 per week (~$1,612/year) with unlimited access and forecasts; and Enterprise at custom pricing with API access, AI-enabled reporting, and direct analyst consultations</w:t>
      </w:r>
      <w:r>
        <w:rPr>
          <w:vertAlign w:val="superscript"/>
        </w:rPr>
        <w:t xml:space="preserve">4</w:t>
      </w:r>
      <w:r>
        <w:t xml:space="preserve">. RANE serves 400+ corporations, government agencies, and academic institutions</w:t>
      </w:r>
      <w:r>
        <w:rPr>
          <w:vertAlign w:val="superscript"/>
        </w:rPr>
        <w:t xml:space="preserve">30</w:t>
      </w:r>
      <w:r>
        <w:t xml:space="preserve">. The critical insight:</w:t>
      </w:r>
      <w:r>
        <w:t xml:space="preserve"> </w:t>
      </w:r>
      <w:r>
        <w:t xml:space="preserve">“</w:t>
      </w:r>
      <w:r>
        <w:t xml:space="preserve">direct analyst access</w:t>
      </w:r>
      <w:r>
        <w:t xml:space="preserve">”</w:t>
      </w:r>
      <w:r>
        <w:t xml:space="preserve"> </w:t>
      </w:r>
      <w:r>
        <w:t xml:space="preserve">is reserved exclusively for Enterprise clients, making human interaction the ultimate differentiator and creating a clear upgrade incentive that scales revenue per account.</w:t>
      </w:r>
    </w:p>
    <w:p>
      <w:pPr>
        <w:pStyle w:val="BodyText"/>
      </w:pPr>
      <w:r>
        <w:rPr>
          <w:bCs/>
          <w:b/>
        </w:rPr>
        <w:t xml:space="preserve">Oxford Analytica</w:t>
      </w:r>
      <w:r>
        <w:t xml:space="preserve"> </w:t>
      </w:r>
      <w:r>
        <w:t xml:space="preserve">represents the establishment incumbent. The Daily Brief has published continuously since 1975</w:t>
      </w:r>
      <w:r>
        <w:rPr>
          <w:vertAlign w:val="superscript"/>
        </w:rPr>
        <w:t xml:space="preserve">31</w:t>
      </w:r>
      <w:r>
        <w:t xml:space="preserve">, and Dow Jones acquired it in March 2025 for $40 million, integrating it into a Risk &amp; Compliance division reporting nearly $300 million in FY2024 revenue</w:t>
      </w:r>
      <w:r>
        <w:rPr>
          <w:vertAlign w:val="superscript"/>
        </w:rPr>
        <w:t xml:space="preserve">32</w:t>
      </w:r>
      <w:r>
        <w:t xml:space="preserve">. Comprehensive Corporate Membership reportedly falls at $10,000-20,000/year. The $40 million valuation signals that ongoing subscriber relationships and workflow integration matter more than content archives — a critical insight for SRC as it designs its own platform for enterprise stickiness.</w:t>
      </w:r>
    </w:p>
    <w:p>
      <w:pPr>
        <w:pStyle w:val="BodyText"/>
      </w:pPr>
      <w:r>
        <w:rPr>
          <w:bCs/>
          <w:b/>
        </w:rPr>
        <w:t xml:space="preserve">GCTI</w:t>
      </w:r>
      <w:r>
        <w:t xml:space="preserve"> </w:t>
      </w:r>
      <w:r>
        <w:t xml:space="preserve">demonstrates the power of branded tier naming: SIGNAL ($970/year), SENTINEL ($2,970/year), and SOVEREIGN ($9,970/year) — evocative names that create perceived value ladders</w:t>
      </w:r>
      <w:r>
        <w:rPr>
          <w:vertAlign w:val="superscript"/>
        </w:rPr>
        <w:t xml:space="preserve">9</w:t>
      </w:r>
      <w:r>
        <w:t xml:space="preserve">. The lesson: tier names are positioning tools that frame price expectations before users see feature lists, outperforming generic labels by an estimated 15-30% in conversion.</w:t>
      </w:r>
    </w:p>
    <w:p>
      <w:pPr>
        <w:pStyle w:val="BodyText"/>
      </w:pPr>
      <w:r>
        <w:rPr>
          <w:bCs/>
          <w:b/>
        </w:rPr>
        <w:t xml:space="preserve">POLITICO Pro</w:t>
      </w:r>
      <w:r>
        <w:t xml:space="preserve"> </w:t>
      </w:r>
      <w:r>
        <w:t xml:space="preserve">sets the gold standard for policy intelligence pricing and retention. Average SMB pricing runs $35,685/year; enterprise reaches $84,948/year based on 160 analyzed customer contracts</w:t>
      </w:r>
      <w:r>
        <w:rPr>
          <w:vertAlign w:val="superscript"/>
        </w:rPr>
        <w:t xml:space="preserve">6</w:t>
      </w:r>
      <w:r>
        <w:t xml:space="preserve">. With a 90% renewal rate and 3,500+ institutional subscribers spanning 16 policy verticals</w:t>
      </w:r>
      <w:r>
        <w:rPr>
          <w:vertAlign w:val="superscript"/>
        </w:rPr>
        <w:t xml:space="preserve">7</w:t>
      </w:r>
      <w:r>
        <w:t xml:space="preserve"> </w:t>
      </w:r>
      <w:r>
        <w:rPr>
          <w:vertAlign w:val="superscript"/>
        </w:rPr>
        <w:t xml:space="preserve">33</w:t>
      </w:r>
      <w:r>
        <w:t xml:space="preserve">, POLITICO Pro’s AI-powered Report Builder is driving explicit upsell demand</w:t>
      </w:r>
      <w:r>
        <w:rPr>
          <w:vertAlign w:val="superscript"/>
        </w:rPr>
        <w:t xml:space="preserve">33</w:t>
      </w:r>
      <w:r>
        <w:t xml:space="preserve">. Yet the tool produced notable hallucinations during beta — inventing organizations like the</w:t>
      </w:r>
      <w:r>
        <w:t xml:space="preserve"> </w:t>
      </w:r>
      <w:r>
        <w:t xml:space="preserve">“</w:t>
      </w:r>
      <w:r>
        <w:t xml:space="preserve">Basket Weavers Guild</w:t>
      </w:r>
      <w:r>
        <w:t xml:space="preserve">”</w:t>
      </w:r>
      <w:r>
        <w:rPr>
          <w:vertAlign w:val="superscript"/>
        </w:rPr>
        <w:t xml:space="preserve">33</w:t>
      </w:r>
      <w:r>
        <w:t xml:space="preserve">— underscoring that expert validation in AI-augmented intelligence is not optional but existential. The simultaneous union arbitration over AI use in newsrooms further confirms that AI deployment without human oversight creates operational and reputational risk in parallel</w:t>
      </w:r>
      <w:r>
        <w:rPr>
          <w:vertAlign w:val="superscript"/>
        </w:rPr>
        <w:t xml:space="preserve">33</w:t>
      </w:r>
      <w:r>
        <w:t xml:space="preserve">.</w:t>
      </w:r>
    </w:p>
    <w:p>
      <w:pPr>
        <w:pStyle w:val="BodyText"/>
      </w:pPr>
      <w:r>
        <w:rPr>
          <w:bCs/>
          <w:b/>
        </w:rPr>
        <w:t xml:space="preserve">Table 2: Intelligence Service Subscription Models — Comparative Overview</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Platform</w:t>
            </w:r>
          </w:p>
        </w:tc>
        <w:tc>
          <w:tcPr/>
          <w:p>
            <w:pPr>
              <w:pStyle w:val="Compact"/>
              <w:jc w:val="left"/>
            </w:pPr>
            <w:r>
              <w:t xml:space="preserve">Heritage</w:t>
            </w:r>
          </w:p>
        </w:tc>
        <w:tc>
          <w:tcPr/>
          <w:p>
            <w:pPr>
              <w:pStyle w:val="Compact"/>
              <w:jc w:val="left"/>
            </w:pPr>
            <w:r>
              <w:t xml:space="preserve">Entry Tier</w:t>
            </w:r>
          </w:p>
        </w:tc>
        <w:tc>
          <w:tcPr/>
          <w:p>
            <w:pPr>
              <w:pStyle w:val="Compact"/>
              <w:jc w:val="left"/>
            </w:pPr>
            <w:r>
              <w:t xml:space="preserve">Mid Tier</w:t>
            </w:r>
          </w:p>
        </w:tc>
        <w:tc>
          <w:tcPr/>
          <w:p>
            <w:pPr>
              <w:pStyle w:val="Compact"/>
              <w:jc w:val="left"/>
            </w:pPr>
            <w:r>
              <w:t xml:space="preserve">Enterprise Tier</w:t>
            </w:r>
          </w:p>
        </w:tc>
        <w:tc>
          <w:tcPr/>
          <w:p>
            <w:pPr>
              <w:pStyle w:val="Compact"/>
              <w:jc w:val="left"/>
            </w:pPr>
            <w:r>
              <w:t xml:space="preserve">Key Differentiator</w:t>
            </w:r>
          </w:p>
        </w:tc>
        <w:tc>
          <w:tcPr/>
          <w:p>
            <w:pPr>
              <w:pStyle w:val="Compact"/>
              <w:jc w:val="left"/>
            </w:pPr>
            <w:r>
              <w:t xml:space="preserve">AI Strategy</w:t>
            </w:r>
          </w:p>
        </w:tc>
      </w:tr>
      <w:tr>
        <w:tc>
          <w:tcPr/>
          <w:p>
            <w:pPr>
              <w:pStyle w:val="Compact"/>
              <w:jc w:val="left"/>
            </w:pPr>
            <w:r>
              <w:t xml:space="preserve">RANE WorldView</w:t>
            </w:r>
          </w:p>
        </w:tc>
        <w:tc>
          <w:tcPr/>
          <w:p>
            <w:pPr>
              <w:pStyle w:val="Compact"/>
              <w:jc w:val="left"/>
            </w:pPr>
            <w:r>
              <w:t xml:space="preserve">Stratfor (1996) + RANE</w:t>
            </w:r>
          </w:p>
        </w:tc>
        <w:tc>
          <w:tcPr/>
          <w:p>
            <w:pPr>
              <w:pStyle w:val="Compact"/>
              <w:jc w:val="left"/>
            </w:pPr>
            <w:r>
              <w:t xml:space="preserve">Basic ~$416/yr (10 reports/mo)</w:t>
            </w:r>
            <w:r>
              <w:t xml:space="preserve"> </w:t>
            </w:r>
            <w:r>
              <w:rPr>
                <w:vertAlign w:val="superscript"/>
              </w:rPr>
              <w:t xml:space="preserve">4</w:t>
            </w:r>
          </w:p>
        </w:tc>
        <w:tc>
          <w:tcPr/>
          <w:p>
            <w:pPr>
              <w:pStyle w:val="Compact"/>
              <w:jc w:val="left"/>
            </w:pPr>
            <w:r>
              <w:t xml:space="preserve">Essential ~$1,612/yr (unlimited + forecasts)</w:t>
            </w:r>
            <w:r>
              <w:t xml:space="preserve"> </w:t>
            </w:r>
            <w:r>
              <w:rPr>
                <w:vertAlign w:val="superscript"/>
              </w:rPr>
              <w:t xml:space="preserve">4</w:t>
            </w:r>
          </w:p>
        </w:tc>
        <w:tc>
          <w:tcPr/>
          <w:p>
            <w:pPr>
              <w:pStyle w:val="Compact"/>
              <w:jc w:val="left"/>
            </w:pPr>
            <w:r>
              <w:t xml:space="preserve">Custom (API + analyst access)</w:t>
            </w:r>
            <w:r>
              <w:t xml:space="preserve"> </w:t>
            </w:r>
            <w:r>
              <w:rPr>
                <w:vertAlign w:val="superscript"/>
              </w:rPr>
              <w:t xml:space="preserve">4</w:t>
            </w:r>
          </w:p>
        </w:tc>
        <w:tc>
          <w:tcPr/>
          <w:p>
            <w:pPr>
              <w:pStyle w:val="Compact"/>
              <w:jc w:val="left"/>
            </w:pPr>
            <w:r>
              <w:t xml:space="preserve">Direct analyst consultations at Enterprise tier</w:t>
            </w:r>
          </w:p>
        </w:tc>
        <w:tc>
          <w:tcPr/>
          <w:p>
            <w:pPr>
              <w:pStyle w:val="Compact"/>
              <w:jc w:val="left"/>
            </w:pPr>
            <w:r>
              <w:t xml:space="preserve">AI-enabled reporting; mobile app</w:t>
            </w:r>
            <w:r>
              <w:t xml:space="preserve"> </w:t>
            </w:r>
            <w:r>
              <w:rPr>
                <w:vertAlign w:val="superscript"/>
              </w:rPr>
              <w:t xml:space="preserve">4</w:t>
            </w:r>
          </w:p>
        </w:tc>
      </w:tr>
      <w:tr>
        <w:tc>
          <w:tcPr/>
          <w:p>
            <w:pPr>
              <w:pStyle w:val="Compact"/>
              <w:jc w:val="left"/>
            </w:pPr>
            <w:r>
              <w:t xml:space="preserve">Oxford Analytica</w:t>
            </w:r>
          </w:p>
        </w:tc>
        <w:tc>
          <w:tcPr/>
          <w:p>
            <w:pPr>
              <w:pStyle w:val="Compact"/>
              <w:jc w:val="left"/>
            </w:pPr>
            <w:r>
              <w:t xml:space="preserve">Est. 1975; acquired by Dow Jones 2025</w:t>
            </w:r>
            <w:r>
              <w:t xml:space="preserve"> </w:t>
            </w:r>
            <w:r>
              <w:rPr>
                <w:vertAlign w:val="superscript"/>
              </w:rPr>
              <w:t xml:space="preserve">32</w:t>
            </w:r>
          </w:p>
        </w:tc>
        <w:tc>
          <w:tcPr/>
          <w:p>
            <w:pPr>
              <w:pStyle w:val="Compact"/>
              <w:jc w:val="left"/>
            </w:pPr>
            <w:r>
              <w:t xml:space="preserve">Not offered</w:t>
            </w:r>
          </w:p>
        </w:tc>
        <w:tc>
          <w:tcPr/>
          <w:p>
            <w:pPr>
              <w:pStyle w:val="Compact"/>
              <w:jc w:val="left"/>
            </w:pPr>
            <w:r>
              <w:t xml:space="preserve">Daily Brief (DJ Risk &amp; Compliance)</w:t>
            </w:r>
          </w:p>
        </w:tc>
        <w:tc>
          <w:tcPr/>
          <w:p>
            <w:pPr>
              <w:pStyle w:val="Compact"/>
              <w:jc w:val="left"/>
            </w:pPr>
            <w:r>
              <w:t xml:space="preserve">Comprehensive Corporate Membership $10K-20K/yr</w:t>
            </w:r>
            <w:r>
              <w:t xml:space="preserve"> </w:t>
            </w:r>
            <w:r>
              <w:rPr>
                <w:vertAlign w:val="superscript"/>
              </w:rPr>
              <w:t xml:space="preserve">32</w:t>
            </w:r>
          </w:p>
        </w:tc>
        <w:tc>
          <w:tcPr/>
          <w:p>
            <w:pPr>
              <w:pStyle w:val="Compact"/>
              <w:jc w:val="left"/>
            </w:pPr>
            <w:r>
              <w:t xml:space="preserve">50-year brand + Dow Jones ecosystem lock-in</w:t>
            </w:r>
          </w:p>
        </w:tc>
        <w:tc>
          <w:tcPr/>
          <w:p>
            <w:pPr>
              <w:pStyle w:val="Compact"/>
              <w:jc w:val="left"/>
            </w:pPr>
            <w:r>
              <w:t xml:space="preserve">Limited public AI features</w:t>
            </w:r>
          </w:p>
        </w:tc>
      </w:tr>
      <w:tr>
        <w:tc>
          <w:tcPr/>
          <w:p>
            <w:pPr>
              <w:pStyle w:val="Compact"/>
              <w:jc w:val="left"/>
            </w:pPr>
            <w:r>
              <w:t xml:space="preserve">GCTI</w:t>
            </w:r>
          </w:p>
        </w:tc>
        <w:tc>
          <w:tcPr/>
          <w:p>
            <w:pPr>
              <w:pStyle w:val="Compact"/>
              <w:jc w:val="left"/>
            </w:pPr>
            <w:r>
              <w:t xml:space="preserve">Security-focused challenger</w:t>
            </w:r>
          </w:p>
        </w:tc>
        <w:tc>
          <w:tcPr/>
          <w:p>
            <w:pPr>
              <w:pStyle w:val="Compact"/>
              <w:jc w:val="left"/>
            </w:pPr>
            <w:r>
              <w:t xml:space="preserve">SIGNAL $970/yr</w:t>
            </w:r>
            <w:r>
              <w:t xml:space="preserve"> </w:t>
            </w:r>
            <w:r>
              <w:rPr>
                <w:vertAlign w:val="superscript"/>
              </w:rPr>
              <w:t xml:space="preserve">9</w:t>
            </w:r>
          </w:p>
        </w:tc>
        <w:tc>
          <w:tcPr/>
          <w:p>
            <w:pPr>
              <w:pStyle w:val="Compact"/>
              <w:jc w:val="left"/>
            </w:pPr>
            <w:r>
              <w:t xml:space="preserve">SENTINEL $2,970/yr</w:t>
            </w:r>
            <w:r>
              <w:t xml:space="preserve"> </w:t>
            </w:r>
            <w:r>
              <w:rPr>
                <w:vertAlign w:val="superscript"/>
              </w:rPr>
              <w:t xml:space="preserve">9</w:t>
            </w:r>
          </w:p>
        </w:tc>
        <w:tc>
          <w:tcPr/>
          <w:p>
            <w:pPr>
              <w:pStyle w:val="Compact"/>
              <w:jc w:val="left"/>
            </w:pPr>
            <w:r>
              <w:t xml:space="preserve">SOVEREIGN $9,970/yr</w:t>
            </w:r>
            <w:r>
              <w:t xml:space="preserve"> </w:t>
            </w:r>
            <w:r>
              <w:rPr>
                <w:vertAlign w:val="superscript"/>
              </w:rPr>
              <w:t xml:space="preserve">9</w:t>
            </w:r>
          </w:p>
        </w:tc>
        <w:tc>
          <w:tcPr/>
          <w:p>
            <w:pPr>
              <w:pStyle w:val="Compact"/>
              <w:jc w:val="left"/>
            </w:pPr>
            <w:r>
              <w:t xml:space="preserve">Branded tier naming (SIGNAL/SENTINEL/SOVEREIGN)</w:t>
            </w:r>
          </w:p>
        </w:tc>
        <w:tc>
          <w:tcPr/>
          <w:p>
            <w:pPr>
              <w:pStyle w:val="Compact"/>
              <w:jc w:val="left"/>
            </w:pPr>
            <w:r>
              <w:t xml:space="preserve">AI-assisted matching; DTM risk modeling</w:t>
            </w:r>
            <w:r>
              <w:t xml:space="preserve"> </w:t>
            </w:r>
            <w:r>
              <w:rPr>
                <w:vertAlign w:val="superscript"/>
              </w:rPr>
              <w:t xml:space="preserve">9</w:t>
            </w:r>
          </w:p>
        </w:tc>
      </w:tr>
      <w:tr>
        <w:tc>
          <w:tcPr/>
          <w:p>
            <w:pPr>
              <w:pStyle w:val="Compact"/>
              <w:jc w:val="left"/>
            </w:pPr>
            <w:r>
              <w:t xml:space="preserve">POLITICO Pro</w:t>
            </w:r>
          </w:p>
        </w:tc>
        <w:tc>
          <w:tcPr/>
          <w:p>
            <w:pPr>
              <w:pStyle w:val="Compact"/>
              <w:jc w:val="left"/>
            </w:pPr>
            <w:r>
              <w:t xml:space="preserve">Est. 2007; EU 2015</w:t>
            </w:r>
          </w:p>
        </w:tc>
        <w:tc>
          <w:tcPr/>
          <w:p>
            <w:pPr>
              <w:pStyle w:val="Compact"/>
              <w:jc w:val="left"/>
            </w:pPr>
            <w:r>
              <w:t xml:space="preserve">Not offered</w:t>
            </w:r>
          </w:p>
        </w:tc>
        <w:tc>
          <w:tcPr/>
          <w:p>
            <w:pPr>
              <w:pStyle w:val="Compact"/>
              <w:jc w:val="left"/>
            </w:pPr>
            <w:r>
              <w:t xml:space="preserve">SMB ~$35,685/yr</w:t>
            </w:r>
            <w:r>
              <w:t xml:space="preserve"> </w:t>
            </w:r>
            <w:r>
              <w:rPr>
                <w:vertAlign w:val="superscript"/>
              </w:rPr>
              <w:t xml:space="preserve">6</w:t>
            </w:r>
          </w:p>
        </w:tc>
        <w:tc>
          <w:tcPr/>
          <w:p>
            <w:pPr>
              <w:pStyle w:val="Compact"/>
              <w:jc w:val="left"/>
            </w:pPr>
            <w:r>
              <w:t xml:space="preserve">Enterprise ~$84,948/yr</w:t>
            </w:r>
            <w:r>
              <w:t xml:space="preserve"> </w:t>
            </w:r>
            <w:r>
              <w:rPr>
                <w:vertAlign w:val="superscript"/>
              </w:rPr>
              <w:t xml:space="preserve">6</w:t>
            </w:r>
          </w:p>
        </w:tc>
        <w:tc>
          <w:tcPr/>
          <w:p>
            <w:pPr>
              <w:pStyle w:val="Compact"/>
              <w:jc w:val="left"/>
            </w:pPr>
            <w:r>
              <w:t xml:space="preserve">90% renewal rate; 16 verticals; workflow integration</w:t>
            </w:r>
            <w:r>
              <w:t xml:space="preserve"> </w:t>
            </w:r>
            <w:r>
              <w:rPr>
                <w:vertAlign w:val="superscript"/>
              </w:rPr>
              <w:t xml:space="preserve">7</w:t>
            </w:r>
          </w:p>
        </w:tc>
        <w:tc>
          <w:tcPr/>
          <w:p>
            <w:pPr>
              <w:pStyle w:val="Compact"/>
              <w:jc w:val="left"/>
            </w:pPr>
            <w:r>
              <w:t xml:space="preserve">AI Report Builder driving upsell</w:t>
            </w:r>
            <w:r>
              <w:t xml:space="preserve"> </w:t>
            </w:r>
            <w:r>
              <w:rPr>
                <w:vertAlign w:val="superscript"/>
              </w:rPr>
              <w:t xml:space="preserve">33</w:t>
            </w:r>
          </w:p>
        </w:tc>
      </w:tr>
      <w:tr>
        <w:tc>
          <w:tcPr/>
          <w:p>
            <w:pPr>
              <w:pStyle w:val="Compact"/>
              <w:jc w:val="left"/>
            </w:pPr>
            <w:r>
              <w:t xml:space="preserve">Geopolitical Futures</w:t>
            </w:r>
          </w:p>
        </w:tc>
        <w:tc>
          <w:tcPr/>
          <w:p>
            <w:pPr>
              <w:pStyle w:val="Compact"/>
              <w:jc w:val="left"/>
            </w:pPr>
            <w:r>
              <w:t xml:space="preserve">George Friedman (2015)</w:t>
            </w:r>
            <w:r>
              <w:t xml:space="preserve"> </w:t>
            </w:r>
            <w:r>
              <w:rPr>
                <w:vertAlign w:val="superscript"/>
              </w:rPr>
              <w:t xml:space="preserve">34</w:t>
            </w:r>
          </w:p>
        </w:tc>
        <w:tc>
          <w:tcPr/>
          <w:p>
            <w:pPr>
              <w:pStyle w:val="Compact"/>
              <w:jc w:val="left"/>
            </w:pPr>
            <w:r>
              <w:t xml:space="preserve">Basic $59/yr</w:t>
            </w:r>
            <w:r>
              <w:t xml:space="preserve"> </w:t>
            </w:r>
            <w:r>
              <w:rPr>
                <w:vertAlign w:val="superscript"/>
              </w:rPr>
              <w:t xml:space="preserve">35</w:t>
            </w:r>
          </w:p>
        </w:tc>
        <w:tc>
          <w:tcPr/>
          <w:p>
            <w:pPr>
              <w:pStyle w:val="Compact"/>
              <w:jc w:val="left"/>
            </w:pPr>
            <w:r>
              <w:t xml:space="preserve">ClubGPF $299/yr (live video + forum)</w:t>
            </w:r>
            <w:r>
              <w:t xml:space="preserve"> </w:t>
            </w:r>
            <w:r>
              <w:rPr>
                <w:vertAlign w:val="superscript"/>
              </w:rPr>
              <w:t xml:space="preserve">36</w:t>
            </w:r>
          </w:p>
        </w:tc>
        <w:tc>
          <w:tcPr/>
          <w:p>
            <w:pPr>
              <w:pStyle w:val="Compact"/>
              <w:jc w:val="left"/>
            </w:pPr>
            <w:r>
              <w:t xml:space="preserve">Not offered</w:t>
            </w:r>
          </w:p>
        </w:tc>
        <w:tc>
          <w:tcPr/>
          <w:p>
            <w:pPr>
              <w:pStyle w:val="Compact"/>
              <w:jc w:val="left"/>
            </w:pPr>
            <w:r>
              <w:t xml:space="preserve">Friedman’s personal brand + video salon</w:t>
            </w:r>
            <w:r>
              <w:t xml:space="preserve"> </w:t>
            </w:r>
            <w:r>
              <w:rPr>
                <w:vertAlign w:val="superscript"/>
              </w:rPr>
              <w:t xml:space="preserve">37</w:t>
            </w:r>
          </w:p>
        </w:tc>
        <w:tc>
          <w:tcPr/>
          <w:p>
            <w:pPr>
              <w:pStyle w:val="Compact"/>
              <w:jc w:val="left"/>
            </w:pPr>
            <w:r>
              <w:t xml:space="preserve">Minimal</w:t>
            </w:r>
          </w:p>
        </w:tc>
      </w:tr>
    </w:tbl>
    <w:p>
      <w:pPr>
        <w:pStyle w:val="BodyText"/>
      </w:pPr>
      <w:r>
        <w:t xml:space="preserve">Three implications guide SRC’s positioning. First, the market has consolidated around three price bands: sub-$500 mass tier, $1,500-3,000 professional tier, and $10,000+ enterprise tier where direct analyst access is the anchor. SRC’s four-tier architecture maps naturally onto this landscape: Premium targets the $1,500-3,000 professional range; Expert reaches toward $5,000-10,000 corporate. Second, POLITICO’s AI hallucinations prove that expert-validated AI is the only sustainable approach — SRC’s</w:t>
      </w:r>
      <w:r>
        <w:t xml:space="preserve"> </w:t>
      </w:r>
      <w:r>
        <w:t xml:space="preserve">“</w:t>
      </w:r>
      <w:r>
        <w:t xml:space="preserve">AI-delivered, expert-curated</w:t>
      </w:r>
      <w:r>
        <w:t xml:space="preserve">”</w:t>
      </w:r>
      <w:r>
        <w:t xml:space="preserve"> </w:t>
      </w:r>
      <w:r>
        <w:t xml:space="preserve">pipeline turns this industry-wide risk into a differentiated trust advantage. Third, no competitor has deployed AI avatar-driven video briefings at scale despite production-ready technology</w:t>
      </w:r>
      <w:r>
        <w:rPr>
          <w:vertAlign w:val="superscript"/>
        </w:rPr>
        <w:t xml:space="preserve">34</w:t>
      </w:r>
      <w:r>
        <w:t xml:space="preserve">— a genuine white space with measurable first-mover benefits.</w:t>
      </w:r>
    </w:p>
    <w:bookmarkEnd w:id="22"/>
    <w:bookmarkStart w:id="23" w:name="premium-media-paywall-models"/>
    <w:p>
      <w:pPr>
        <w:pStyle w:val="Heading3"/>
      </w:pPr>
      <w:r>
        <w:t xml:space="preserve">1.3 Premium Media Paywall Models</w:t>
      </w:r>
    </w:p>
    <w:p>
      <w:pPr>
        <w:pStyle w:val="FirstParagraph"/>
      </w:pPr>
      <w:r>
        <w:t xml:space="preserve">Media paywalls compete for the same executive attention and serve as indirect substitutes for geopolitical analysis. Their retention strategies and pricing architectures provide direct benchmarks for SRC’s content delivery model.</w:t>
      </w:r>
    </w:p>
    <w:p>
      <w:pPr>
        <w:pStyle w:val="BodyText"/>
      </w:pPr>
      <w:r>
        <w:rPr>
          <w:bCs/>
          <w:b/>
        </w:rPr>
        <w:t xml:space="preserve">The Financial Times</w:t>
      </w:r>
      <w:r>
        <w:t xml:space="preserve"> </w:t>
      </w:r>
      <w:r>
        <w:t xml:space="preserve">charges $45/month for Standard Digital and $75/month for Premium Digital, the latter adding the Lex column, Due Diligence newsletter, and M&amp;A coverage</w:t>
      </w:r>
      <w:r>
        <w:rPr>
          <w:vertAlign w:val="superscript"/>
        </w:rPr>
        <w:t xml:space="preserve">38</w:t>
      </w:r>
      <w:r>
        <w:t xml:space="preserve">. FT’s critical retention insight is that newsletter access — not the website paywall — drives engagement; Premium newsletter subscribers demonstrate significantly lower churn because newsletters create habitual daily consumption patterns that are harder to interrupt than sporadic website visits. For SRC, this means the daily briefing format (whether text, audio, or vAvatar video) is the primary retention mechanism, not archive depth or search functionality.</w:t>
      </w:r>
    </w:p>
    <w:p>
      <w:pPr>
        <w:pStyle w:val="BodyText"/>
      </w:pPr>
      <w:r>
        <w:rPr>
          <w:bCs/>
          <w:b/>
        </w:rPr>
        <w:t xml:space="preserve">The Economist</w:t>
      </w:r>
      <w:r>
        <w:t xml:space="preserve"> </w:t>
      </w:r>
      <w:r>
        <w:t xml:space="preserve">stands as the subscription retention benchmark. With 1.29 million subscribers in FY2025 and 84% of new subscriptions digital-only, two-thirds of the Group’s £368.5 million revenue comes from subscriptions</w:t>
      </w:r>
      <w:r>
        <w:rPr>
          <w:vertAlign w:val="superscript"/>
        </w:rPr>
        <w:t xml:space="preserve">39</w:t>
      </w:r>
      <w:r>
        <w:t xml:space="preserve"> </w:t>
      </w:r>
      <w:r>
        <w:rPr>
          <w:vertAlign w:val="superscript"/>
        </w:rPr>
        <w:t xml:space="preserve">40</w:t>
      </w:r>
      <w:r>
        <w:t xml:space="preserve">. The Economist Intelligence Unit achieved a 93% retention rate</w:t>
      </w:r>
      <w:r>
        <w:rPr>
          <w:vertAlign w:val="superscript"/>
        </w:rPr>
        <w:t xml:space="preserve">39</w:t>
      </w:r>
      <w:r>
        <w:t xml:space="preserve">, and the group allocates 70% of resources to retention versus 30% to acquisition</w:t>
      </w:r>
      <w:r>
        <w:rPr>
          <w:vertAlign w:val="superscript"/>
        </w:rPr>
        <w:t xml:space="preserve">41</w:t>
      </w:r>
      <w:r>
        <w:t xml:space="preserve">— a ratio reflecting the hard-learned lesson that the famous</w:t>
      </w:r>
      <w:r>
        <w:t xml:space="preserve"> </w:t>
      </w:r>
      <w:r>
        <w:t xml:space="preserve">“</w:t>
      </w:r>
      <w:r>
        <w:t xml:space="preserve">12 weeks for £12</w:t>
      </w:r>
      <w:r>
        <w:t xml:space="preserve">”</w:t>
      </w:r>
      <w:r>
        <w:t xml:space="preserve"> </w:t>
      </w:r>
      <w:r>
        <w:t xml:space="preserve">offer was abandoned because</w:t>
      </w:r>
      <w:r>
        <w:t xml:space="preserve"> </w:t>
      </w:r>
      <w:r>
        <w:t xml:space="preserve">“</w:t>
      </w:r>
      <w:r>
        <w:t xml:space="preserve">the dropoff on week 13 was too high</w:t>
      </w:r>
      <w:r>
        <w:t xml:space="preserve">”</w:t>
      </w:r>
      <w:r>
        <w:rPr>
          <w:vertAlign w:val="superscript"/>
        </w:rPr>
        <w:t xml:space="preserve">42</w:t>
      </w:r>
      <w:r>
        <w:t xml:space="preserve">. The Economist’s</w:t>
      </w:r>
      <w:r>
        <w:t xml:space="preserve"> </w:t>
      </w:r>
      <w:r>
        <w:t xml:space="preserve">“</w:t>
      </w:r>
      <w:r>
        <w:t xml:space="preserve">Insider</w:t>
      </w:r>
      <w:r>
        <w:t xml:space="preserve">”</w:t>
      </w:r>
      <w:r>
        <w:t xml:space="preserve"> </w:t>
      </w:r>
      <w:r>
        <w:t xml:space="preserve">video debates and podcast integration (</w:t>
      </w:r>
      <w:r>
        <w:t xml:space="preserve">“</w:t>
      </w:r>
      <w:r>
        <w:t xml:space="preserve">The Intelligence</w:t>
      </w:r>
      <w:r>
        <w:t xml:space="preserve">”</w:t>
      </w:r>
      <w:r>
        <w:t xml:space="preserve">) add multimedia layers that increase perceived value disproportionately to their cost</w:t>
      </w:r>
      <w:r>
        <w:rPr>
          <w:vertAlign w:val="superscript"/>
        </w:rPr>
        <w:t xml:space="preserve">39</w:t>
      </w:r>
      <w:r>
        <w:t xml:space="preserve">. Customer lifetime value rose 12% through redesigned offers and dynamic paywall technology</w:t>
      </w:r>
      <w:r>
        <w:rPr>
          <w:vertAlign w:val="superscript"/>
        </w:rPr>
        <w:t xml:space="preserve">40</w:t>
      </w:r>
      <w:r>
        <w:t xml:space="preserve">.</w:t>
      </w:r>
    </w:p>
    <w:p>
      <w:pPr>
        <w:pStyle w:val="BodyText"/>
      </w:pPr>
      <w:r>
        <w:rPr>
          <w:bCs/>
          <w:b/>
        </w:rPr>
        <w:t xml:space="preserve">The Economist Espresso</w:t>
      </w:r>
      <w:r>
        <w:t xml:space="preserve"> </w:t>
      </w:r>
      <w:r>
        <w:t xml:space="preserve">adds a student-specific acquisition funnel. The daily briefing app is free for students, with a 42% free-to-paid conversion pathway</w:t>
      </w:r>
      <w:r>
        <w:rPr>
          <w:vertAlign w:val="superscript"/>
        </w:rPr>
        <w:t xml:space="preserve">43</w:t>
      </w:r>
      <w:r>
        <w:t xml:space="preserve">— demonstrating how a quality-free tier subsidizes its own cost through downstream conversions, a principle SRC should apply to its Free tier design rather than treating free content as pure loss-leader expense.</w:t>
      </w:r>
    </w:p>
    <w:bookmarkEnd w:id="23"/>
    <w:bookmarkStart w:id="24" w:name="srcs-differentiated-position"/>
    <w:p>
      <w:pPr>
        <w:pStyle w:val="Heading3"/>
      </w:pPr>
      <w:r>
        <w:t xml:space="preserve">1.4 SRC’s Differentiated Position</w:t>
      </w:r>
    </w:p>
    <w:p>
      <w:pPr>
        <w:pStyle w:val="FirstParagraph"/>
      </w:pPr>
      <w:r>
        <w:t xml:space="preserve">No single competitor combines the four elements that constitute SRC’s defensible position. Each addresses a specific gap in the current landscape.</w:t>
      </w:r>
    </w:p>
    <w:p>
      <w:pPr>
        <w:pStyle w:val="BodyText"/>
      </w:pPr>
      <w:r>
        <w:rPr>
          <w:bCs/>
          <w:b/>
        </w:rPr>
        <w:t xml:space="preserve">Swiss neutrality as a monetizable trust anchor.</w:t>
      </w:r>
      <w:r>
        <w:t xml:space="preserve"> </w:t>
      </w:r>
      <w:r>
        <w:t xml:space="preserve">Every major competitor carries perceived national bias: RANE and GPF are US-centric; Oxford Analytica is UK-derived and News Corp-owned; POLITICO Pro is US/EU policy-focused; Brussels think tanks operate within the EU institutional orbit. Stratfor’s forecasts were specifically criticized for</w:t>
      </w:r>
      <w:r>
        <w:t xml:space="preserve"> </w:t>
      </w:r>
      <w:r>
        <w:t xml:space="preserve">“</w:t>
      </w:r>
      <w:r>
        <w:t xml:space="preserve">US-centric bias</w:t>
      </w:r>
      <w:r>
        <w:t xml:space="preserve">”</w:t>
      </w:r>
      <w:r>
        <w:t xml:space="preserve"> </w:t>
      </w:r>
      <w:r>
        <w:t xml:space="preserve">and</w:t>
      </w:r>
      <w:r>
        <w:t xml:space="preserve"> </w:t>
      </w:r>
      <w:r>
        <w:t xml:space="preserve">“</w:t>
      </w:r>
      <w:r>
        <w:t xml:space="preserve">reliance on geographic determinism</w:t>
      </w:r>
      <w:r>
        <w:t xml:space="preserve">”</w:t>
      </w:r>
      <w:r>
        <w:rPr>
          <w:vertAlign w:val="superscript"/>
        </w:rPr>
        <w:t xml:space="preserve">44</w:t>
      </w:r>
      <w:r>
        <w:t xml:space="preserve">, with one devastating assessment calling it</w:t>
      </w:r>
      <w:r>
        <w:t xml:space="preserve"> </w:t>
      </w:r>
      <w:r>
        <w:t xml:space="preserve">“</w:t>
      </w:r>
      <w:r>
        <w:t xml:space="preserve">just The Economist a week later and several hundred times more expensive</w:t>
      </w:r>
      <w:r>
        <w:t xml:space="preserve">”</w:t>
      </w:r>
      <w:r>
        <w:rPr>
          <w:vertAlign w:val="superscript"/>
        </w:rPr>
        <w:t xml:space="preserve">44</w:t>
      </w:r>
      <w:r>
        <w:t xml:space="preserve">. SRC’s Swiss positioning directly addresses this credibility gap. Switzerland ranks highest in GDP per capita globally; its strict privacy laws and perceived independence are monetizable differentiators no US or UK competitor can replicate</w:t>
      </w:r>
      <w:r>
        <w:rPr>
          <w:vertAlign w:val="superscript"/>
        </w:rPr>
        <w:t xml:space="preserve">45</w:t>
      </w:r>
      <w:r>
        <w:t xml:space="preserve">. In a market where 73% of North American financial institutions planned to increase geopolitical risk analytics spending in 2024</w:t>
      </w:r>
      <w:r>
        <w:rPr>
          <w:vertAlign w:val="superscript"/>
        </w:rPr>
        <w:t xml:space="preserve">1</w:t>
      </w:r>
      <w:r>
        <w:t xml:space="preserve">, the entity that credibly claims true neutrality commands a pricing premium.</w:t>
      </w:r>
    </w:p>
    <w:p>
      <w:pPr>
        <w:pStyle w:val="BodyText"/>
      </w:pPr>
      <w:r>
        <w:rPr>
          <w:bCs/>
          <w:b/>
        </w:rPr>
        <w:t xml:space="preserve">AI-augmented speed with expert validation.</w:t>
      </w:r>
      <w:r>
        <w:t xml:space="preserve"> </w:t>
      </w:r>
      <w:r>
        <w:t xml:space="preserve">POLITICO Pro’s AI Report Builder, RANE’s</w:t>
      </w:r>
      <w:r>
        <w:t xml:space="preserve"> </w:t>
      </w:r>
      <w:r>
        <w:t xml:space="preserve">“</w:t>
      </w:r>
      <w:r>
        <w:t xml:space="preserve">AI-enabled reporting tools,</w:t>
      </w:r>
      <w:r>
        <w:t xml:space="preserve">”</w:t>
      </w:r>
      <w:r>
        <w:t xml:space="preserve"> </w:t>
      </w:r>
      <w:r>
        <w:t xml:space="preserve">and GCTI’s AI-assisted matching all signal that AI features are becoming table stakes</w:t>
      </w:r>
      <w:r>
        <w:rPr>
          <w:vertAlign w:val="superscript"/>
        </w:rPr>
        <w:t xml:space="preserve">33</w:t>
      </w:r>
      <w:r>
        <w:t xml:space="preserve"> </w:t>
      </w:r>
      <w:r>
        <w:rPr>
          <w:vertAlign w:val="superscript"/>
        </w:rPr>
        <w:t xml:space="preserve">4</w:t>
      </w:r>
      <w:r>
        <w:t xml:space="preserve"> </w:t>
      </w:r>
      <w:r>
        <w:rPr>
          <w:vertAlign w:val="superscript"/>
        </w:rPr>
        <w:t xml:space="preserve">9</w:t>
      </w:r>
      <w:r>
        <w:t xml:space="preserve">. The moat lies in proprietary data plus human validation, not in AI alone. POLITICO’s hallucinations — inventing parliamentary committees that do not exist — demonstrate the reputational cost of unchecked automation</w:t>
      </w:r>
      <w:r>
        <w:rPr>
          <w:vertAlign w:val="superscript"/>
        </w:rPr>
        <w:t xml:space="preserve">33</w:t>
      </w:r>
      <w:r>
        <w:t xml:space="preserve">. SRC’s AI research engine processes thousands of sources, with every output expert-validated before delivery. No competitor currently offers this explicit human-in-the-loop guarantee as a branded feature.</w:t>
      </w:r>
    </w:p>
    <w:p>
      <w:pPr>
        <w:pStyle w:val="BodyText"/>
      </w:pPr>
      <w:r>
        <w:rPr>
          <w:bCs/>
          <w:b/>
        </w:rPr>
        <w:t xml:space="preserve">vAvatar first-mover advantage.</w:t>
      </w:r>
      <w:r>
        <w:t xml:space="preserve"> </w:t>
      </w:r>
      <w:r>
        <w:t xml:space="preserve">Video intelligence delivery is dramatically underexploited. RANE has podcasts; GPF runs human video salons; Oxford Analytica delivers text. Yet AI avatar technology from Synthesia and HeyGen is production-ready, enabling 70-99% cost reduction versus traditional video while supporting 175+ languages</w:t>
      </w:r>
      <w:r>
        <w:rPr>
          <w:vertAlign w:val="superscript"/>
        </w:rPr>
        <w:t xml:space="preserve">34</w:t>
      </w:r>
      <w:r>
        <w:t xml:space="preserve">. The optimal daily brief format — 90-120 seconds — achieves 70% retention</w:t>
      </w:r>
      <w:r>
        <w:rPr>
          <w:vertAlign w:val="superscript"/>
        </w:rPr>
        <w:t xml:space="preserve">34</w:t>
      </w:r>
      <w:r>
        <w:t xml:space="preserve">. SRC’s vAvatar concept occupies a genuine white space; competitors will follow, but the first-mover advantage in establishing format conventions and subscriber habits will be difficult to dislodge.</w:t>
      </w:r>
    </w:p>
    <w:p>
      <w:pPr>
        <w:pStyle w:val="BodyText"/>
      </w:pPr>
      <w:r>
        <w:rPr>
          <w:bCs/>
          <w:b/>
        </w:rPr>
        <w:t xml:space="preserve">European multilingual advantage.</w:t>
      </w:r>
      <w:r>
        <w:t xml:space="preserve"> </w:t>
      </w:r>
      <w:r>
        <w:t xml:space="preserve">Switzerland’s quadrilingual reality — German, French, Italian, and English — is a market expansion engine. A briefing on EU defense policy delivered simultaneously in four languages reaches 4x the audience at marginal incremental cost. Synthesia supports 175+ languages with 4.1/5 lip-sync quality for French and German</w:t>
      </w:r>
      <w:r>
        <w:rPr>
          <w:vertAlign w:val="superscript"/>
        </w:rPr>
        <w:t xml:space="preserve">34</w:t>
      </w:r>
      <w:r>
        <w:t xml:space="preserve">. This should be positioned as a Premium/Expert tier exclusive, not a universal offering, to preserve tier differentiation and create a clear upgrade incentive for European corporate subscribers managing cross-border operations.</w:t>
      </w:r>
    </w:p>
    <w:p>
      <w:pPr>
        <w:pStyle w:val="BodyText"/>
      </w:pPr>
      <w:r>
        <w:rPr>
          <w:bCs/>
          <w:b/>
        </w:rPr>
        <w:t xml:space="preserve">The convergence of these four elements creates a position individually imitable but collectively defensible.</w:t>
      </w:r>
      <w:r>
        <w:t xml:space="preserve"> </w:t>
      </w:r>
      <w:r>
        <w:t xml:space="preserve">A US competitor could replicate the AI tools but cannot claim Swiss neutrality. A European think tank could claim European focus but lacks the AI video infrastructure. A media company could build video but lacks the geopolitical expertise base. Only SRC, at the intersection of Swiss governance, European multilingual markets, and AI-augmented intelligence delivery, can offer the complete package. The window is narrowing: the recent consolidation wave — Dow Jones acquiring Oxford Analytica for $40 million</w:t>
      </w:r>
      <w:r>
        <w:rPr>
          <w:vertAlign w:val="superscript"/>
        </w:rPr>
        <w:t xml:space="preserve">32</w:t>
      </w:r>
      <w:r>
        <w:t xml:space="preserve">, AlphaSense acquiring Tegus for $930 million</w:t>
      </w:r>
      <w:r>
        <w:rPr>
          <w:vertAlign w:val="superscript"/>
        </w:rPr>
        <w:t xml:space="preserve">8</w:t>
      </w:r>
      <w:r>
        <w:t xml:space="preserve">, RANE acquiring Stratfor in 2020</w:t>
      </w:r>
      <w:r>
        <w:rPr>
          <w:vertAlign w:val="superscript"/>
        </w:rPr>
        <w:t xml:space="preserve">29</w:t>
      </w:r>
      <w:r>
        <w:t xml:space="preserve">— signals that incumbents are building scale rapidly. SRC’s first-mover window in AI avatar-delivered, multilingual, Swiss-governed intelligence is measurable in months, not years.</w:t>
      </w:r>
      <w:r>
        <w:t xml:space="preserve"> </w:t>
      </w:r>
      <w:r>
        <w:t xml:space="preserve">## 2. The 4-Tier Membership Architecture</w:t>
      </w:r>
    </w:p>
    <w:bookmarkEnd w:id="24"/>
    <w:bookmarkStart w:id="25" w:name="tier-philosophy-the-access-ladder"/>
    <w:p>
      <w:pPr>
        <w:pStyle w:val="Heading3"/>
      </w:pPr>
      <w:r>
        <w:t xml:space="preserve">2.1 Tier Philosophy: The</w:t>
      </w:r>
      <w:r>
        <w:t xml:space="preserve"> </w:t>
      </w:r>
      <w:r>
        <w:t xml:space="preserve">“</w:t>
      </w:r>
      <w:r>
        <w:t xml:space="preserve">Access Ladder</w:t>
      </w:r>
      <w:r>
        <w:t xml:space="preserve">”</w:t>
      </w:r>
    </w:p>
    <w:p>
      <w:pPr>
        <w:pStyle w:val="FirstParagraph"/>
      </w:pPr>
      <w:r>
        <w:t xml:space="preserve">The most successful think tanks do not sell content — they sell access to a differentiated experience built atop freely available research. Brookings Institution, Carnegie Endowment, and the European Council on Foreign Relations (ECFR) all make their core research, policy briefs, and commentary fully accessible without registration or payment</w:t>
      </w:r>
      <w:r>
        <w:t xml:space="preserve"> </w:t>
      </w:r>
      <w:r>
        <w:rPr>
          <w:vertAlign w:val="superscript"/>
        </w:rPr>
        <w:t xml:space="preserve">46</w:t>
      </w:r>
      <w:r>
        <w:t xml:space="preserve"> </w:t>
      </w:r>
      <w:r>
        <w:rPr>
          <w:vertAlign w:val="superscript"/>
        </w:rPr>
        <w:t xml:space="preserve">47</w:t>
      </w:r>
      <w:r>
        <w:t xml:space="preserve"> </w:t>
      </w:r>
      <w:r>
        <w:rPr>
          <w:vertAlign w:val="superscript"/>
        </w:rPr>
        <w:t xml:space="preserve">48</w:t>
      </w:r>
      <w:r>
        <w:t xml:space="preserve">. Chatham House follows the same principle: its research publications are free to all; membership fees pay for events, The World Today magazine, and the International Affairs journal — not for basic research access</w:t>
      </w:r>
      <w:r>
        <w:t xml:space="preserve"> </w:t>
      </w:r>
      <w:r>
        <w:rPr>
          <w:vertAlign w:val="superscript"/>
        </w:rPr>
        <w:t xml:space="preserve">17</w:t>
      </w:r>
      <w:r>
        <w:t xml:space="preserve">. This</w:t>
      </w:r>
      <w:r>
        <w:t xml:space="preserve"> </w:t>
      </w:r>
      <w:r>
        <w:t xml:space="preserve">“</w:t>
      </w:r>
      <w:r>
        <w:t xml:space="preserve">open by default</w:t>
      </w:r>
      <w:r>
        <w:t xml:space="preserve">”</w:t>
      </w:r>
      <w:r>
        <w:t xml:space="preserve"> </w:t>
      </w:r>
      <w:r>
        <w:t xml:space="preserve">norm is not altruism; it is a deliberate funnel strategy. Free research builds authority, drives SEO, and generates the trust that converts readers into members. SRC Advisory’s tier architecture must follow this same logic: differentiate through experience, speed, exclusivity, and direct access — never by withholding foundational analysis from the public.</w:t>
      </w:r>
    </w:p>
    <w:p>
      <w:pPr>
        <w:pStyle w:val="BodyText"/>
      </w:pPr>
      <w:r>
        <w:rPr>
          <w:bCs/>
          <w:b/>
        </w:rPr>
        <w:t xml:space="preserve">Naming strategy matters more than most organizations assume.</w:t>
      </w:r>
      <w:r>
        <w:t xml:space="preserve"> </w:t>
      </w:r>
      <w:r>
        <w:t xml:space="preserve">Research on membership psychology consistently shows that tier names shape conversion behavior.</w:t>
      </w:r>
      <w:r>
        <w:t xml:space="preserve"> </w:t>
      </w:r>
      <w:r>
        <w:t xml:space="preserve">“</w:t>
      </w:r>
      <w:r>
        <w:t xml:space="preserve">Basic</w:t>
      </w:r>
      <w:r>
        <w:t xml:space="preserve">”</w:t>
      </w:r>
      <w:r>
        <w:t xml:space="preserve"> </w:t>
      </w:r>
      <w:r>
        <w:t xml:space="preserve">signals inadequacy and triggers what behavioral economists call</w:t>
      </w:r>
      <w:r>
        <w:t xml:space="preserve"> </w:t>
      </w:r>
      <w:r>
        <w:t xml:space="preserve">“</w:t>
      </w:r>
      <w:r>
        <w:t xml:space="preserve">bottom-tier aversion</w:t>
      </w:r>
      <w:r>
        <w:t xml:space="preserve">”</w:t>
      </w:r>
      <w:r>
        <w:t xml:space="preserve"> </w:t>
      </w:r>
      <w:r>
        <w:t xml:space="preserve">— members feel they are starting at a deficient level rather than joining a valued community. Value-based names like</w:t>
      </w:r>
      <w:r>
        <w:t xml:space="preserve"> </w:t>
      </w:r>
      <w:r>
        <w:t xml:space="preserve">“</w:t>
      </w:r>
      <w:r>
        <w:t xml:space="preserve">Essential,</w:t>
      </w:r>
      <w:r>
        <w:t xml:space="preserve">”</w:t>
      </w:r>
      <w:r>
        <w:t xml:space="preserve"> </w:t>
      </w:r>
      <w:r>
        <w:t xml:space="preserve">“</w:t>
      </w:r>
      <w:r>
        <w:t xml:space="preserve">Professional,</w:t>
      </w:r>
      <w:r>
        <w:t xml:space="preserve">”</w:t>
      </w:r>
      <w:r>
        <w:t xml:space="preserve"> </w:t>
      </w:r>
      <w:r>
        <w:t xml:space="preserve">and</w:t>
      </w:r>
      <w:r>
        <w:t xml:space="preserve"> </w:t>
      </w:r>
      <w:r>
        <w:t xml:space="preserve">“</w:t>
      </w:r>
      <w:r>
        <w:t xml:space="preserve">Executive</w:t>
      </w:r>
      <w:r>
        <w:t xml:space="preserve">”</w:t>
      </w:r>
      <w:r>
        <w:t xml:space="preserve"> </w:t>
      </w:r>
      <w:r>
        <w:t xml:space="preserve">convert 15–30% better than generic labels because they communicate what the subscriber receives rather than where they rank in a hierarchy</w:t>
      </w:r>
      <w:r>
        <w:t xml:space="preserve"> </w:t>
      </w:r>
      <w:r>
        <w:rPr>
          <w:vertAlign w:val="superscript"/>
        </w:rPr>
        <w:t xml:space="preserve">49</w:t>
      </w:r>
      <w:r>
        <w:t xml:space="preserve"> </w:t>
      </w:r>
      <w:r>
        <w:rPr>
          <w:vertAlign w:val="superscript"/>
        </w:rPr>
        <w:t xml:space="preserve">50</w:t>
      </w:r>
      <w:r>
        <w:t xml:space="preserve">. The Atlantic uses</w:t>
      </w:r>
      <w:r>
        <w:t xml:space="preserve"> </w:t>
      </w:r>
      <w:r>
        <w:t xml:space="preserve">“</w:t>
      </w:r>
      <w:r>
        <w:t xml:space="preserve">Digital → Print &amp; Digital → Premium → Premium Plus</w:t>
      </w:r>
      <w:r>
        <w:t xml:space="preserve">”</w:t>
      </w:r>
      <w:r>
        <w:t xml:space="preserve"> </w:t>
      </w:r>
      <w:r>
        <w:t xml:space="preserve">— a progression that never devalues the entry point</w:t>
      </w:r>
      <w:r>
        <w:t xml:space="preserve"> </w:t>
      </w:r>
      <w:r>
        <w:rPr>
          <w:vertAlign w:val="superscript"/>
        </w:rPr>
        <w:t xml:space="preserve">51</w:t>
      </w:r>
      <w:r>
        <w:t xml:space="preserve">. Harvard Business Review positions its tiers as</w:t>
      </w:r>
      <w:r>
        <w:t xml:space="preserve"> </w:t>
      </w:r>
      <w:r>
        <w:t xml:space="preserve">“</w:t>
      </w:r>
      <w:r>
        <w:t xml:space="preserve">Standard Premium</w:t>
      </w:r>
      <w:r>
        <w:t xml:space="preserve">”</w:t>
      </w:r>
      <w:r>
        <w:t xml:space="preserve"> </w:t>
      </w:r>
      <w:r>
        <w:t xml:space="preserve">and</w:t>
      </w:r>
      <w:r>
        <w:t xml:space="preserve"> </w:t>
      </w:r>
      <w:r>
        <w:t xml:space="preserve">“</w:t>
      </w:r>
      <w:r>
        <w:t xml:space="preserve">HBR Executive,</w:t>
      </w:r>
      <w:r>
        <w:t xml:space="preserve">”</w:t>
      </w:r>
      <w:r>
        <w:t xml:space="preserve"> </w:t>
      </w:r>
      <w:r>
        <w:t xml:space="preserve">letting each tier stand on its own merit</w:t>
      </w:r>
      <w:r>
        <w:t xml:space="preserve"> </w:t>
      </w:r>
      <w:r>
        <w:rPr>
          <w:vertAlign w:val="superscript"/>
        </w:rPr>
        <w:t xml:space="preserve">46</w:t>
      </w:r>
      <w:r>
        <w:t xml:space="preserve">. For SRC, the naming ladder Observer → Essential → Professional → Executive aligns tier identity with the subscriber’s self-concept: a curious observer becomes an essential member, then a professional analyst, and finally an executive decision-maker. This identity progression is the psychological engine that drives upgrades.</w:t>
      </w:r>
    </w:p>
    <w:p>
      <w:pPr>
        <w:pStyle w:val="BodyText"/>
      </w:pPr>
      <w:r>
        <w:t xml:space="preserve">The pricing architecture must also obey a strict proportional rule. Academic research on optimal tier differentiation for content platforms finds that the ratio between adjacent tiers should exceed 1.5x — anything less and subscribers fail to perceive meaningful value separation, leading to</w:t>
      </w:r>
      <w:r>
        <w:t xml:space="preserve"> </w:t>
      </w:r>
      <w:r>
        <w:t xml:space="preserve">“</w:t>
      </w:r>
      <w:r>
        <w:t xml:space="preserve">tier collapse</w:t>
      </w:r>
      <w:r>
        <w:t xml:space="preserve">”</w:t>
      </w:r>
      <w:r>
        <w:t xml:space="preserve"> </w:t>
      </w:r>
      <w:r>
        <w:t xml:space="preserve">where most subscribers cluster at the entry level</w:t>
      </w:r>
      <w:r>
        <w:t xml:space="preserve"> </w:t>
      </w:r>
      <w:r>
        <w:rPr>
          <w:vertAlign w:val="superscript"/>
        </w:rPr>
        <w:t xml:space="preserve">52</w:t>
      </w:r>
      <w:r>
        <w:t xml:space="preserve">. For SRC, the jump from Essential (CHF 29/month) to Professional (CHF 79/month) is 2.7x, and the step from Professional to Executive (CHF 149/month) is 1.9x. Both ratios comfortably exceed the 1.5x minimum threshold, ensuring that each tier feels meaningfully distinct while the top tier remains within reach for senior professionals with departmental budgets. This</w:t>
      </w:r>
      <w:r>
        <w:t xml:space="preserve"> </w:t>
      </w:r>
      <w:r>
        <w:t xml:space="preserve">“</w:t>
      </w:r>
      <w:r>
        <w:t xml:space="preserve">Good-Better-Best</w:t>
      </w:r>
      <w:r>
        <w:t xml:space="preserve">”</w:t>
      </w:r>
      <w:r>
        <w:t xml:space="preserve"> </w:t>
      </w:r>
      <w:r>
        <w:t xml:space="preserve">architecture — with Professional flagged as</w:t>
      </w:r>
      <w:r>
        <w:t xml:space="preserve"> </w:t>
      </w:r>
      <w:r>
        <w:t xml:space="preserve">“</w:t>
      </w:r>
      <w:r>
        <w:t xml:space="preserve">Most Popular</w:t>
      </w:r>
      <w:r>
        <w:t xml:space="preserve">”</w:t>
      </w:r>
      <w:r>
        <w:t xml:space="preserve"> </w:t>
      </w:r>
      <w:r>
        <w:t xml:space="preserve">— exploits the decoy effect: the presence of a premium anchor (Executive at CHF 149) makes the middle tier (Professional at CHF 79) feel like a rational, moderate choice.</w:t>
      </w:r>
    </w:p>
    <w:bookmarkEnd w:id="25"/>
    <w:bookmarkStart w:id="26" w:name="free-tier-observer"/>
    <w:p>
      <w:pPr>
        <w:pStyle w:val="Heading3"/>
      </w:pPr>
      <w:r>
        <w:t xml:space="preserve">2.2 Free Tier:</w:t>
      </w:r>
      <w:r>
        <w:t xml:space="preserve"> </w:t>
      </w:r>
      <w:r>
        <w:t xml:space="preserve">“</w:t>
      </w:r>
      <w:r>
        <w:t xml:space="preserve">Observer</w:t>
      </w:r>
      <w:r>
        <w:t xml:space="preserve">”</w:t>
      </w:r>
    </w:p>
    <w:p>
      <w:pPr>
        <w:pStyle w:val="FirstParagraph"/>
      </w:pPr>
      <w:r>
        <w:t xml:space="preserve">The Observer tier is SRC’s most powerful acquisition engine, but only if it is deployed with surgical precision. Anonymous visitors should encounter a registration wall after reading 2–3 articles — not a paywall, but a request for email registration to continue accessing content. The data supporting this approach is unequivocal: registration walls generate 16 times more signups than passive newsletter forms, and 20% of free-registered readers eventually convert to paid subscriptions</w:t>
      </w:r>
      <w:r>
        <w:t xml:space="preserve"> </w:t>
      </w:r>
      <w:r>
        <w:rPr>
          <w:vertAlign w:val="superscript"/>
        </w:rPr>
        <w:t xml:space="preserve">53</w:t>
      </w:r>
      <w:r>
        <w:t xml:space="preserve">. Registered users are 10 times more likely to become paying customers than anonymous visitors</w:t>
      </w:r>
      <w:r>
        <w:t xml:space="preserve"> </w:t>
      </w:r>
      <w:r>
        <w:rPr>
          <w:vertAlign w:val="superscript"/>
        </w:rPr>
        <w:t xml:space="preserve">53</w:t>
      </w:r>
      <w:r>
        <w:t xml:space="preserve">. The Telegraph’s hard registration wall — requiring only an email address to access one premium article per week — helped triple daily subscriber acquisition</w:t>
      </w:r>
      <w:r>
        <w:t xml:space="preserve"> </w:t>
      </w:r>
      <w:r>
        <w:rPr>
          <w:vertAlign w:val="superscript"/>
        </w:rPr>
        <w:t xml:space="preserve">54</w:t>
      </w:r>
      <w:r>
        <w:t xml:space="preserve">. Harvard Business Review’s model offers a proven template: 2 free articles for anonymous users, a registration wall on the third article, then 15 articles per month for registered users before any paywall appears</w:t>
      </w:r>
      <w:r>
        <w:t xml:space="preserve"> </w:t>
      </w:r>
      <w:r>
        <w:rPr>
          <w:vertAlign w:val="superscript"/>
        </w:rPr>
        <w:t xml:space="preserve">55</w:t>
      </w:r>
      <w:r>
        <w:t xml:space="preserve"> </w:t>
      </w:r>
      <w:r>
        <w:rPr>
          <w:vertAlign w:val="superscript"/>
        </w:rPr>
        <w:t xml:space="preserve">56</w:t>
      </w:r>
      <w:r>
        <w:t xml:space="preserve">.</w:t>
      </w:r>
    </w:p>
    <w:p>
      <w:pPr>
        <w:pStyle w:val="BodyText"/>
      </w:pPr>
      <w:r>
        <w:t xml:space="preserve">The Observer tier’s content mix should follow the</w:t>
      </w:r>
      <w:r>
        <w:t xml:space="preserve"> </w:t>
      </w:r>
      <w:r>
        <w:t xml:space="preserve">“</w:t>
      </w:r>
      <w:r>
        <w:t xml:space="preserve">Teaser/Full</w:t>
      </w:r>
      <w:r>
        <w:t xml:space="preserve">”</w:t>
      </w:r>
      <w:r>
        <w:t xml:space="preserve"> </w:t>
      </w:r>
      <w:r>
        <w:t xml:space="preserve">model that achieves 34–42% soft-gating conversion rates versus only 15–22% for hard gating</w:t>
      </w:r>
      <w:r>
        <w:t xml:space="preserve"> </w:t>
      </w:r>
      <w:r>
        <w:rPr>
          <w:vertAlign w:val="superscript"/>
        </w:rPr>
        <w:t xml:space="preserve">57</w:t>
      </w:r>
      <w:r>
        <w:t xml:space="preserve">. Free subscribers receive unlimited access to short opinion pieces and briefs under 1,000 words — these serve as SEO engines and social sharing fuel. They also receive selected policy briefs (executive summary only), the weekly newsletter, podcast episodes, and infographics. The key constraint is metered access to full-length reports: 5–10 selected pieces per month, drawn from a 6-month rolling archive. The full catalog remains visible for discovery — every premium report is browsable, with clear labels indicating tier requirements — because the fear of missing out (FOMO) is a proven conversion driver when users can see what they do not yet have</w:t>
      </w:r>
      <w:r>
        <w:t xml:space="preserve"> </w:t>
      </w:r>
      <w:r>
        <w:rPr>
          <w:vertAlign w:val="superscript"/>
        </w:rPr>
        <w:t xml:space="preserve">58</w:t>
      </w:r>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Feature</w:t>
            </w:r>
          </w:p>
        </w:tc>
        <w:tc>
          <w:tcPr/>
          <w:p>
            <w:pPr>
              <w:pStyle w:val="Compact"/>
              <w:jc w:val="left"/>
            </w:pPr>
            <w:r>
              <w:t xml:space="preserve">Observer (Free) Tier Specification</w:t>
            </w:r>
          </w:p>
        </w:tc>
      </w:tr>
      <w:tr>
        <w:tc>
          <w:tcPr/>
          <w:p>
            <w:pPr>
              <w:pStyle w:val="Compact"/>
              <w:jc w:val="left"/>
            </w:pPr>
            <w:r>
              <w:rPr>
                <w:bCs/>
                <w:b/>
              </w:rPr>
              <w:t xml:space="preserve">Price</w:t>
            </w:r>
          </w:p>
        </w:tc>
        <w:tc>
          <w:tcPr/>
          <w:p>
            <w:pPr>
              <w:pStyle w:val="Compact"/>
              <w:jc w:val="left"/>
            </w:pPr>
            <w:r>
              <w:t xml:space="preserve">CHF 0 (registration required after 2–3 anonymous articles)</w:t>
            </w:r>
          </w:p>
        </w:tc>
      </w:tr>
      <w:tr>
        <w:tc>
          <w:tcPr/>
          <w:p>
            <w:pPr>
              <w:pStyle w:val="Compact"/>
              <w:jc w:val="left"/>
            </w:pPr>
            <w:r>
              <w:rPr>
                <w:bCs/>
                <w:b/>
              </w:rPr>
              <w:t xml:space="preserve">Article access</w:t>
            </w:r>
          </w:p>
        </w:tc>
        <w:tc>
          <w:tcPr/>
          <w:p>
            <w:pPr>
              <w:pStyle w:val="Compact"/>
              <w:jc w:val="left"/>
            </w:pPr>
            <w:r>
              <w:t xml:space="preserve">Unlimited short opinions and briefs (&lt;1,000 words); 5–10 selected full reports/month with executive summary</w:t>
            </w:r>
          </w:p>
        </w:tc>
      </w:tr>
      <w:tr>
        <w:tc>
          <w:tcPr/>
          <w:p>
            <w:pPr>
              <w:pStyle w:val="Compact"/>
              <w:jc w:val="left"/>
            </w:pPr>
            <w:r>
              <w:rPr>
                <w:bCs/>
                <w:b/>
              </w:rPr>
              <w:t xml:space="preserve">Report depth</w:t>
            </w:r>
          </w:p>
        </w:tc>
        <w:tc>
          <w:tcPr/>
          <w:p>
            <w:pPr>
              <w:pStyle w:val="Compact"/>
              <w:jc w:val="left"/>
            </w:pPr>
            <w:r>
              <w:t xml:space="preserve">Executive summaries only for gated reports; full text readable online (no PDF download)</w:t>
            </w:r>
          </w:p>
        </w:tc>
      </w:tr>
      <w:tr>
        <w:tc>
          <w:tcPr/>
          <w:p>
            <w:pPr>
              <w:pStyle w:val="Compact"/>
              <w:jc w:val="left"/>
            </w:pPr>
            <w:r>
              <w:rPr>
                <w:bCs/>
                <w:b/>
              </w:rPr>
              <w:t xml:space="preserve">Archive depth</w:t>
            </w:r>
          </w:p>
        </w:tc>
        <w:tc>
          <w:tcPr/>
          <w:p>
            <w:pPr>
              <w:pStyle w:val="Compact"/>
              <w:jc w:val="left"/>
            </w:pPr>
            <w:r>
              <w:t xml:space="preserve">6-month rolling window; full catalog visible for discovery with tier labels</w:t>
            </w:r>
          </w:p>
        </w:tc>
      </w:tr>
      <w:tr>
        <w:tc>
          <w:tcPr/>
          <w:p>
            <w:pPr>
              <w:pStyle w:val="Compact"/>
              <w:jc w:val="left"/>
            </w:pPr>
            <w:r>
              <w:rPr>
                <w:bCs/>
                <w:b/>
              </w:rPr>
              <w:t xml:space="preserve">Newsletters</w:t>
            </w:r>
          </w:p>
        </w:tc>
        <w:tc>
          <w:tcPr/>
          <w:p>
            <w:pPr>
              <w:pStyle w:val="Compact"/>
              <w:jc w:val="left"/>
            </w:pPr>
            <w:r>
              <w:t xml:space="preserve">Weekly digest (free to all registered users)</w:t>
            </w:r>
          </w:p>
        </w:tc>
      </w:tr>
      <w:tr>
        <w:tc>
          <w:tcPr/>
          <w:p>
            <w:pPr>
              <w:pStyle w:val="Compact"/>
              <w:jc w:val="left"/>
            </w:pPr>
            <w:r>
              <w:rPr>
                <w:bCs/>
                <w:b/>
              </w:rPr>
              <w:t xml:space="preserve">Video / Audio</w:t>
            </w:r>
          </w:p>
        </w:tc>
        <w:tc>
          <w:tcPr/>
          <w:p>
            <w:pPr>
              <w:pStyle w:val="Compact"/>
              <w:jc w:val="left"/>
            </w:pPr>
            <w:r>
              <w:t xml:space="preserve">Selected podcast episodes; 2–3 minute vAvatar clips; infographics</w:t>
            </w:r>
          </w:p>
        </w:tc>
      </w:tr>
      <w:tr>
        <w:tc>
          <w:tcPr/>
          <w:p>
            <w:pPr>
              <w:pStyle w:val="Compact"/>
              <w:jc w:val="left"/>
            </w:pPr>
            <w:r>
              <w:rPr>
                <w:bCs/>
                <w:b/>
              </w:rPr>
              <w:t xml:space="preserve">Community</w:t>
            </w:r>
          </w:p>
        </w:tc>
        <w:tc>
          <w:tcPr/>
          <w:p>
            <w:pPr>
              <w:pStyle w:val="Compact"/>
              <w:jc w:val="left"/>
            </w:pPr>
            <w:r>
              <w:t xml:space="preserve">Read-only access to public discussions and comments</w:t>
            </w:r>
          </w:p>
        </w:tc>
      </w:tr>
      <w:tr>
        <w:tc>
          <w:tcPr/>
          <w:p>
            <w:pPr>
              <w:pStyle w:val="Compact"/>
              <w:jc w:val="left"/>
            </w:pPr>
            <w:r>
              <w:rPr>
                <w:bCs/>
                <w:b/>
              </w:rPr>
              <w:t xml:space="preserve">Events</w:t>
            </w:r>
          </w:p>
        </w:tc>
        <w:tc>
          <w:tcPr/>
          <w:p>
            <w:pPr>
              <w:pStyle w:val="Compact"/>
              <w:jc w:val="left"/>
            </w:pPr>
            <w:r>
              <w:t xml:space="preserve">Public events only; invitations to free virtual sessions</w:t>
            </w:r>
          </w:p>
        </w:tc>
      </w:tr>
      <w:tr>
        <w:tc>
          <w:tcPr/>
          <w:p>
            <w:pPr>
              <w:pStyle w:val="Compact"/>
              <w:jc w:val="left"/>
            </w:pPr>
            <w:r>
              <w:rPr>
                <w:bCs/>
                <w:b/>
              </w:rPr>
              <w:t xml:space="preserve">Ads</w:t>
            </w:r>
          </w:p>
        </w:tc>
        <w:tc>
          <w:tcPr/>
          <w:p>
            <w:pPr>
              <w:pStyle w:val="Compact"/>
              <w:jc w:val="left"/>
            </w:pPr>
            <w:r>
              <w:t xml:space="preserve">Supported (non-intrusive display)</w:t>
            </w:r>
          </w:p>
        </w:tc>
      </w:tr>
      <w:tr>
        <w:tc>
          <w:tcPr/>
          <w:p>
            <w:pPr>
              <w:pStyle w:val="Compact"/>
              <w:jc w:val="left"/>
            </w:pPr>
            <w:r>
              <w:rPr>
                <w:bCs/>
                <w:b/>
              </w:rPr>
              <w:t xml:space="preserve">Conversion triggers</w:t>
            </w:r>
          </w:p>
        </w:tc>
        <w:tc>
          <w:tcPr/>
          <w:p>
            <w:pPr>
              <w:pStyle w:val="Compact"/>
              <w:jc w:val="left"/>
            </w:pPr>
            <w:r>
              <w:t xml:space="preserve">Article meter (</w:t>
            </w:r>
            <w:r>
              <w:t xml:space="preserve">“</w:t>
            </w:r>
            <w:r>
              <w:t xml:space="preserve">3 of 10 reports remaining</w:t>
            </w:r>
            <w:r>
              <w:t xml:space="preserve">”</w:t>
            </w:r>
            <w:r>
              <w:t xml:space="preserve">), PDF download gate, archive depth limit</w:t>
            </w:r>
          </w:p>
        </w:tc>
      </w:tr>
    </w:tbl>
    <w:p>
      <w:pPr>
        <w:pStyle w:val="BodyText"/>
      </w:pPr>
      <w:r>
        <w:t xml:space="preserve">The strategic purpose of the Observer tier is not to monetize — it is to engineer the</w:t>
      </w:r>
      <w:r>
        <w:t xml:space="preserve"> </w:t>
      </w:r>
      <w:r>
        <w:t xml:space="preserve">“</w:t>
      </w:r>
      <w:r>
        <w:t xml:space="preserve">aha moment</w:t>
      </w:r>
      <w:r>
        <w:t xml:space="preserve">”</w:t>
      </w:r>
      <w:r>
        <w:t xml:space="preserve"> </w:t>
      </w:r>
      <w:r>
        <w:t xml:space="preserve">when a user realizes they cannot do their job without SRC research. For think tanks, this moment occurs when a subscriber references SRC analysis in their own briefing, memo, or policy document</w:t>
      </w:r>
      <w:r>
        <w:t xml:space="preserve"> </w:t>
      </w:r>
      <w:r>
        <w:rPr>
          <w:vertAlign w:val="superscript"/>
        </w:rPr>
        <w:t xml:space="preserve">59</w:t>
      </w:r>
      <w:r>
        <w:t xml:space="preserve"> </w:t>
      </w:r>
      <w:r>
        <w:rPr>
          <w:vertAlign w:val="superscript"/>
        </w:rPr>
        <w:t xml:space="preserve">60</w:t>
      </w:r>
      <w:r>
        <w:t xml:space="preserve">. The metered access model — 5–10 selected full reports per month — creates what Piano research calls the</w:t>
      </w:r>
      <w:r>
        <w:t xml:space="preserve"> </w:t>
      </w:r>
      <w:r>
        <w:t xml:space="preserve">“</w:t>
      </w:r>
      <w:r>
        <w:t xml:space="preserve">taster effect</w:t>
      </w:r>
      <w:r>
        <w:t xml:space="preserve">”</w:t>
      </w:r>
      <w:r>
        <w:t xml:space="preserve">: users experience enough of the premium product to understand its value, but face a clear upgrade decision when they hit their limit</w:t>
      </w:r>
      <w:r>
        <w:t xml:space="preserve"> </w:t>
      </w:r>
      <w:r>
        <w:rPr>
          <w:vertAlign w:val="superscript"/>
        </w:rPr>
        <w:t xml:space="preserve">61</w:t>
      </w:r>
      <w:r>
        <w:t xml:space="preserve">. This is fundamentally different from hard paywalls that block content before value is demonstrated, which can drive 90%+ traffic drop-offs when placed too early</w:t>
      </w:r>
      <w:r>
        <w:t xml:space="preserve"> </w:t>
      </w:r>
      <w:r>
        <w:rPr>
          <w:vertAlign w:val="superscript"/>
        </w:rPr>
        <w:t xml:space="preserve">62</w:t>
      </w:r>
      <w:r>
        <w:t xml:space="preserve">. The Observer tier’s six-month rolling archive also functions as a discovery mechanism: users searching for historical context on a developing crisis will find recent SRC analysis freely available, but deeper historical research requires upgrading — a natural conversion path driven by genuine need rather than artificial scarcity.</w:t>
      </w:r>
    </w:p>
    <w:p>
      <w:pPr>
        <w:pStyle w:val="BodyText"/>
      </w:pPr>
      <w:r>
        <w:t xml:space="preserve">Activation milestones — not time-based prompts — should trigger upgrade nudges: after a user reads their third report, saves their first article, or attends a free event, the platform surfaces a personalized upgrade prompt</w:t>
      </w:r>
      <w:r>
        <w:t xml:space="preserve"> </w:t>
      </w:r>
      <w:r>
        <w:rPr>
          <w:vertAlign w:val="superscript"/>
        </w:rPr>
        <w:t xml:space="preserve">63</w:t>
      </w:r>
      <w:r>
        <w:t xml:space="preserve">. Behavior-based emails achieve 3–5x higher engagement than time-based sequences</w:t>
      </w:r>
      <w:r>
        <w:t xml:space="preserve"> </w:t>
      </w:r>
      <w:r>
        <w:rPr>
          <w:vertAlign w:val="superscript"/>
        </w:rPr>
        <w:t xml:space="preserve">63</w:t>
      </w:r>
      <w:r>
        <w:t xml:space="preserve">, so the Observer onboarding flow should be entirely triggered by user actions rather than calendar days.</w:t>
      </w:r>
    </w:p>
    <w:bookmarkEnd w:id="26"/>
    <w:bookmarkStart w:id="27" w:name="essential-tier-basic-replacement"/>
    <w:p>
      <w:pPr>
        <w:pStyle w:val="Heading3"/>
      </w:pPr>
      <w:r>
        <w:t xml:space="preserve">2.3 Essential Tier (Basic Replacement)</w:t>
      </w:r>
    </w:p>
    <w:p>
      <w:pPr>
        <w:pStyle w:val="FirstParagraph"/>
      </w:pPr>
      <w:r>
        <w:t xml:space="preserve">The Essential tier is priced at CHF 29 per month or CHF 290 per year — a roughly 17% discount that functions as</w:t>
      </w:r>
      <w:r>
        <w:t xml:space="preserve"> </w:t>
      </w:r>
      <w:r>
        <w:t xml:space="preserve">“</w:t>
      </w:r>
      <w:r>
        <w:t xml:space="preserve">2 months free</w:t>
      </w:r>
      <w:r>
        <w:t xml:space="preserve">”</w:t>
      </w:r>
      <w:r>
        <w:t xml:space="preserve"> </w:t>
      </w:r>
      <w:r>
        <w:t xml:space="preserve">when billed annually. This positioning places SRC between RANE’s WorldView Basic at approximately $32 per month (10 situation reports and analyses per month, plus daily brief and weekly rundown)</w:t>
      </w:r>
      <w:r>
        <w:t xml:space="preserve"> </w:t>
      </w:r>
      <w:r>
        <w:rPr>
          <w:vertAlign w:val="superscript"/>
        </w:rPr>
        <w:t xml:space="preserve">4</w:t>
      </w:r>
      <w:r>
        <w:t xml:space="preserve">and Geopolitical Desk’s Intelligence tier at £29 per month (~$37 per month), which offers full article access, exclusive updates, deep dives, and complete archive access</w:t>
      </w:r>
      <w:r>
        <w:t xml:space="preserve"> </w:t>
      </w:r>
      <w:r>
        <w:rPr>
          <w:vertAlign w:val="superscript"/>
        </w:rPr>
        <w:t xml:space="preserve">64</w:t>
      </w:r>
      <w:r>
        <w:t xml:space="preserve">. GCTI’s AEGIS Professional tier at $29 per month provides a convergent data point, confirming the $29–37 band as the accepted price floor for professional-grade B2B intelligence</w:t>
      </w:r>
      <w:r>
        <w:t xml:space="preserve"> </w:t>
      </w:r>
      <w:r>
        <w:rPr>
          <w:vertAlign w:val="superscript"/>
        </w:rPr>
        <w:t xml:space="preserve">9</w:t>
      </w:r>
      <w:r>
        <w:t xml:space="preserve">.</w:t>
      </w:r>
    </w:p>
    <w:p>
      <w:pPr>
        <w:pStyle w:val="BodyText"/>
      </w:pPr>
      <w:r>
        <w:t xml:space="preserve">What justifies the first payment? Unlimited access to all reports in the 2,000–4,000 word range, complete with methodology sections, data annexes, and full source citations. This is the</w:t>
      </w:r>
      <w:r>
        <w:t xml:space="preserve"> </w:t>
      </w:r>
      <w:r>
        <w:t xml:space="preserve">“</w:t>
      </w:r>
      <w:r>
        <w:t xml:space="preserve">expanded version</w:t>
      </w:r>
      <w:r>
        <w:t xml:space="preserve">”</w:t>
      </w:r>
      <w:r>
        <w:t xml:space="preserve"> </w:t>
      </w:r>
      <w:r>
        <w:t xml:space="preserve">model: where Observer subscribers see abbreviated analysis (500–800 words) with summary conclusions, Essential subscribers receive the full research product with all the production byproducts that signal analytical rigor</w:t>
      </w:r>
      <w:r>
        <w:t xml:space="preserve"> </w:t>
      </w:r>
      <w:r>
        <w:rPr>
          <w:vertAlign w:val="superscript"/>
        </w:rPr>
        <w:t xml:space="preserve">65</w:t>
      </w:r>
      <w:r>
        <w:t xml:space="preserve">. PDF downloads are included — a seemingly minor feature that carries outsized weight for B2B professionals who need to distribute intelligence internally, reference reports in meetings, and file documents for compliance. RANE explicitly lists</w:t>
      </w:r>
      <w:r>
        <w:t xml:space="preserve"> </w:t>
      </w:r>
      <w:r>
        <w:t xml:space="preserve">“</w:t>
      </w:r>
      <w:r>
        <w:t xml:space="preserve">PDF downloads and bookmarks</w:t>
      </w:r>
      <w:r>
        <w:t xml:space="preserve">”</w:t>
      </w:r>
      <w:r>
        <w:t xml:space="preserve"> </w:t>
      </w:r>
      <w:r>
        <w:t xml:space="preserve">as a Basic tier feature because the tangible artifact creates a sense of ownership</w:t>
      </w:r>
      <w:r>
        <w:t xml:space="preserve"> </w:t>
      </w:r>
      <w:r>
        <w:rPr>
          <w:vertAlign w:val="superscript"/>
        </w:rPr>
        <w:t xml:space="preserve">4</w:t>
      </w:r>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Feature</w:t>
            </w:r>
          </w:p>
        </w:tc>
        <w:tc>
          <w:tcPr/>
          <w:p>
            <w:pPr>
              <w:pStyle w:val="Compact"/>
              <w:jc w:val="left"/>
            </w:pPr>
            <w:r>
              <w:t xml:space="preserve">Essential Tier Specification</w:t>
            </w:r>
          </w:p>
        </w:tc>
      </w:tr>
      <w:tr>
        <w:tc>
          <w:tcPr/>
          <w:p>
            <w:pPr>
              <w:pStyle w:val="Compact"/>
              <w:jc w:val="left"/>
            </w:pPr>
            <w:r>
              <w:rPr>
                <w:bCs/>
                <w:b/>
              </w:rPr>
              <w:t xml:space="preserve">Price</w:t>
            </w:r>
          </w:p>
        </w:tc>
        <w:tc>
          <w:tcPr/>
          <w:p>
            <w:pPr>
              <w:pStyle w:val="Compact"/>
              <w:jc w:val="left"/>
            </w:pPr>
            <w:r>
              <w:t xml:space="preserve">CHF 29/month or CHF 290/year (~17% annual discount,</w:t>
            </w:r>
            <w:r>
              <w:t xml:space="preserve"> </w:t>
            </w:r>
            <w:r>
              <w:t xml:space="preserve">“</w:t>
            </w:r>
            <w:r>
              <w:t xml:space="preserve">2 months free</w:t>
            </w:r>
            <w:r>
              <w:t xml:space="preserve">”</w:t>
            </w:r>
            <w:r>
              <w:t xml:space="preserve">)</w:t>
            </w:r>
          </w:p>
        </w:tc>
      </w:tr>
      <w:tr>
        <w:tc>
          <w:tcPr/>
          <w:p>
            <w:pPr>
              <w:pStyle w:val="Compact"/>
              <w:jc w:val="left"/>
            </w:pPr>
            <w:r>
              <w:rPr>
                <w:bCs/>
                <w:b/>
              </w:rPr>
              <w:t xml:space="preserve">Article access</w:t>
            </w:r>
          </w:p>
        </w:tc>
        <w:tc>
          <w:tcPr/>
          <w:p>
            <w:pPr>
              <w:pStyle w:val="Compact"/>
              <w:jc w:val="left"/>
            </w:pPr>
            <w:r>
              <w:t xml:space="preserve">Unlimited full reports (2,000–4,000 words) with methodology, data annexes, source citations</w:t>
            </w:r>
          </w:p>
        </w:tc>
      </w:tr>
      <w:tr>
        <w:tc>
          <w:tcPr/>
          <w:p>
            <w:pPr>
              <w:pStyle w:val="Compact"/>
              <w:jc w:val="left"/>
            </w:pPr>
            <w:r>
              <w:rPr>
                <w:bCs/>
                <w:b/>
              </w:rPr>
              <w:t xml:space="preserve">PDF downloads</w:t>
            </w:r>
          </w:p>
        </w:tc>
        <w:tc>
          <w:tcPr/>
          <w:p>
            <w:pPr>
              <w:pStyle w:val="Compact"/>
              <w:jc w:val="left"/>
            </w:pPr>
            <w:r>
              <w:t xml:space="preserve">Yes — downloadable reports with SRC watermark</w:t>
            </w:r>
          </w:p>
        </w:tc>
      </w:tr>
      <w:tr>
        <w:tc>
          <w:tcPr/>
          <w:p>
            <w:pPr>
              <w:pStyle w:val="Compact"/>
              <w:jc w:val="left"/>
            </w:pPr>
            <w:r>
              <w:rPr>
                <w:bCs/>
                <w:b/>
              </w:rPr>
              <w:t xml:space="preserve">Archive depth</w:t>
            </w:r>
          </w:p>
        </w:tc>
        <w:tc>
          <w:tcPr/>
          <w:p>
            <w:pPr>
              <w:pStyle w:val="Compact"/>
              <w:jc w:val="left"/>
            </w:pPr>
            <w:r>
              <w:t xml:space="preserve">12-month rolling access to full report archive</w:t>
            </w:r>
          </w:p>
        </w:tc>
      </w:tr>
      <w:tr>
        <w:tc>
          <w:tcPr/>
          <w:p>
            <w:pPr>
              <w:pStyle w:val="Compact"/>
              <w:jc w:val="left"/>
            </w:pPr>
            <w:r>
              <w:rPr>
                <w:bCs/>
                <w:b/>
              </w:rPr>
              <w:t xml:space="preserve">Newsletters</w:t>
            </w:r>
          </w:p>
        </w:tc>
        <w:tc>
          <w:tcPr/>
          <w:p>
            <w:pPr>
              <w:pStyle w:val="Compact"/>
              <w:jc w:val="left"/>
            </w:pPr>
            <w:r>
              <w:t xml:space="preserve">Daily brief newsletter + 2 subscriber-only newsletters (weekend deep-dive, topic brief)</w:t>
            </w:r>
          </w:p>
        </w:tc>
      </w:tr>
      <w:tr>
        <w:tc>
          <w:tcPr/>
          <w:p>
            <w:pPr>
              <w:pStyle w:val="Compact"/>
              <w:jc w:val="left"/>
            </w:pPr>
            <w:r>
              <w:rPr>
                <w:bCs/>
                <w:b/>
              </w:rPr>
              <w:t xml:space="preserve">Video / Audio</w:t>
            </w:r>
          </w:p>
        </w:tc>
        <w:tc>
          <w:tcPr/>
          <w:p>
            <w:pPr>
              <w:pStyle w:val="Compact"/>
              <w:jc w:val="left"/>
            </w:pPr>
            <w:r>
              <w:t xml:space="preserve">Full-length vAvatar videos (7–10 minute weekly analysis); audio-narrated reports</w:t>
            </w:r>
          </w:p>
        </w:tc>
      </w:tr>
      <w:tr>
        <w:tc>
          <w:tcPr/>
          <w:p>
            <w:pPr>
              <w:pStyle w:val="Compact"/>
              <w:jc w:val="left"/>
            </w:pPr>
            <w:r>
              <w:rPr>
                <w:bCs/>
                <w:b/>
              </w:rPr>
              <w:t xml:space="preserve">Community</w:t>
            </w:r>
          </w:p>
        </w:tc>
        <w:tc>
          <w:tcPr/>
          <w:p>
            <w:pPr>
              <w:pStyle w:val="Compact"/>
              <w:jc w:val="left"/>
            </w:pPr>
            <w:r>
              <w:t xml:space="preserve">Read-only community access (view but not post)</w:t>
            </w:r>
          </w:p>
        </w:tc>
      </w:tr>
      <w:tr>
        <w:tc>
          <w:tcPr/>
          <w:p>
            <w:pPr>
              <w:pStyle w:val="Compact"/>
              <w:jc w:val="left"/>
            </w:pPr>
            <w:r>
              <w:rPr>
                <w:bCs/>
                <w:b/>
              </w:rPr>
              <w:t xml:space="preserve">Events</w:t>
            </w:r>
          </w:p>
        </w:tc>
        <w:tc>
          <w:tcPr/>
          <w:p>
            <w:pPr>
              <w:pStyle w:val="Compact"/>
              <w:jc w:val="left"/>
            </w:pPr>
            <w:r>
              <w:t xml:space="preserve">Monthly virtual briefing (recorded, on-demand playback); priority registration for public events</w:t>
            </w:r>
          </w:p>
        </w:tc>
      </w:tr>
      <w:tr>
        <w:tc>
          <w:tcPr/>
          <w:p>
            <w:pPr>
              <w:pStyle w:val="Compact"/>
              <w:jc w:val="left"/>
            </w:pPr>
            <w:r>
              <w:rPr>
                <w:bCs/>
                <w:b/>
              </w:rPr>
              <w:t xml:space="preserve">Ads</w:t>
            </w:r>
          </w:p>
        </w:tc>
        <w:tc>
          <w:tcPr/>
          <w:p>
            <w:pPr>
              <w:pStyle w:val="Compact"/>
              <w:jc w:val="left"/>
            </w:pPr>
            <w:r>
              <w:t xml:space="preserve">Ad-free reading experience</w:t>
            </w:r>
          </w:p>
        </w:tc>
      </w:tr>
      <w:tr>
        <w:tc>
          <w:tcPr/>
          <w:p>
            <w:pPr>
              <w:pStyle w:val="Compact"/>
              <w:jc w:val="left"/>
            </w:pPr>
            <w:r>
              <w:rPr>
                <w:bCs/>
                <w:b/>
              </w:rPr>
              <w:t xml:space="preserve">Support</w:t>
            </w:r>
          </w:p>
        </w:tc>
        <w:tc>
          <w:tcPr/>
          <w:p>
            <w:pPr>
              <w:pStyle w:val="Compact"/>
              <w:jc w:val="left"/>
            </w:pPr>
            <w:r>
              <w:t xml:space="preserve">Email support; standard response time</w:t>
            </w:r>
          </w:p>
        </w:tc>
      </w:tr>
      <w:tr>
        <w:tc>
          <w:tcPr/>
          <w:p>
            <w:pPr>
              <w:pStyle w:val="Compact"/>
              <w:jc w:val="left"/>
            </w:pPr>
            <w:r>
              <w:rPr>
                <w:bCs/>
                <w:b/>
              </w:rPr>
              <w:t xml:space="preserve">Team</w:t>
            </w:r>
          </w:p>
        </w:tc>
        <w:tc>
          <w:tcPr/>
          <w:p>
            <w:pPr>
              <w:pStyle w:val="Compact"/>
              <w:jc w:val="left"/>
            </w:pPr>
            <w:r>
              <w:t xml:space="preserve">Individual seat only</w:t>
            </w:r>
          </w:p>
        </w:tc>
      </w:tr>
      <w:tr>
        <w:tc>
          <w:tcPr/>
          <w:p>
            <w:pPr>
              <w:pStyle w:val="Compact"/>
              <w:jc w:val="left"/>
            </w:pPr>
            <w:r>
              <w:rPr>
                <w:bCs/>
                <w:b/>
              </w:rPr>
              <w:t xml:space="preserve">Key upgrade trigger</w:t>
            </w:r>
          </w:p>
        </w:tc>
        <w:tc>
          <w:tcPr/>
          <w:p>
            <w:pPr>
              <w:pStyle w:val="Compact"/>
              <w:jc w:val="left"/>
            </w:pPr>
            <w:r>
              <w:t xml:space="preserve">Hitting professional workflow limits: needing to share reports, wanting live interaction, requiring deeper archive</w:t>
            </w:r>
          </w:p>
        </w:tc>
      </w:tr>
    </w:tbl>
    <w:p>
      <w:pPr>
        <w:pStyle w:val="BodyText"/>
      </w:pPr>
      <w:r>
        <w:t xml:space="preserve">The Essential tier also includes a monthly virtual briefing — recorded and available on-demand — plus full video access (not just clips) to the weekly vAvatar analysis. The daily brief newsletter replaces the weekly digest, creating a habit-forming engagement loop modeled on RANE’s</w:t>
      </w:r>
      <w:r>
        <w:t xml:space="preserve"> </w:t>
      </w:r>
      <w:r>
        <w:t xml:space="preserve">“</w:t>
      </w:r>
      <w:r>
        <w:t xml:space="preserve">Daily Content Brief &amp; Weekly Rundown</w:t>
      </w:r>
      <w:r>
        <w:t xml:space="preserve">”</w:t>
      </w:r>
      <w:r>
        <w:t xml:space="preserve"> </w:t>
      </w:r>
      <w:r>
        <w:t xml:space="preserve">structure</w:t>
      </w:r>
      <w:r>
        <w:t xml:space="preserve"> </w:t>
      </w:r>
      <w:r>
        <w:rPr>
          <w:vertAlign w:val="superscript"/>
        </w:rPr>
        <w:t xml:space="preserve">4</w:t>
      </w:r>
      <w:r>
        <w:t xml:space="preserve">. Community access remains read-only: subscribers can view discussions but cannot post or comment. This deliberate limitation serves two purposes: it keeps moderation overhead manageable at the entry level while creating a natural upgrade trigger to Professional, where full community participation unlocks</w:t>
      </w:r>
      <w:r>
        <w:t xml:space="preserve"> </w:t>
      </w:r>
      <w:r>
        <w:rPr>
          <w:vertAlign w:val="superscript"/>
        </w:rPr>
        <w:t xml:space="preserve">66</w:t>
      </w:r>
      <w:r>
        <w:t xml:space="preserve">. Annual billing is strongly emphasized — annual subscribers show 92% twelve-month retention versus only 68% for monthly subscribers, and annual plans generate 40–45% higher lifetime value</w:t>
      </w:r>
      <w:r>
        <w:t xml:space="preserve"> </w:t>
      </w:r>
      <w:r>
        <w:rPr>
          <w:vertAlign w:val="superscript"/>
        </w:rPr>
        <w:t xml:space="preserve">67</w:t>
      </w:r>
      <w:r>
        <w:t xml:space="preserve">.</w:t>
      </w:r>
    </w:p>
    <w:bookmarkEnd w:id="27"/>
    <w:bookmarkStart w:id="28" w:name="professional-tier-premium"/>
    <w:p>
      <w:pPr>
        <w:pStyle w:val="Heading3"/>
      </w:pPr>
      <w:r>
        <w:t xml:space="preserve">2.4 Professional Tier (Premium)</w:t>
      </w:r>
    </w:p>
    <w:p>
      <w:pPr>
        <w:pStyle w:val="FirstParagraph"/>
      </w:pPr>
      <w:r>
        <w:t xml:space="preserve">The Professional tier at CHF 79 per month or CHF 790 per year is the target tier — the one flagged with a</w:t>
      </w:r>
      <w:r>
        <w:t xml:space="preserve"> </w:t>
      </w:r>
      <w:r>
        <w:t xml:space="preserve">“</w:t>
      </w:r>
      <w:r>
        <w:t xml:space="preserve">Most Popular</w:t>
      </w:r>
      <w:r>
        <w:t xml:space="preserve">”</w:t>
      </w:r>
      <w:r>
        <w:t xml:space="preserve"> </w:t>
      </w:r>
      <w:r>
        <w:t xml:space="preserve">badge on the pricing page. The 2.7x price jump from Essential (CHF 29 → CHF 79) is justified by a qualitative leap in content depth, format variety, and access speed. This tier is where SRC transitions from being a research publisher to being an intelligence partner.</w:t>
      </w:r>
    </w:p>
    <w:p>
      <w:pPr>
        <w:pStyle w:val="BodyText"/>
      </w:pPr>
      <w:r>
        <w:t xml:space="preserve">Professional subscribers receive exclusive studies in the 3,000–8,000 word range — research products that include primary data collection, proprietary analytical frameworks, scenario modeling, and probabilistic forecasting that regular reports cannot replicate</w:t>
      </w:r>
      <w:r>
        <w:t xml:space="preserve"> </w:t>
      </w:r>
      <w:r>
        <w:rPr>
          <w:vertAlign w:val="superscript"/>
        </w:rPr>
        <w:t xml:space="preserve">68</w:t>
      </w:r>
      <w:r>
        <w:t xml:space="preserve"> </w:t>
      </w:r>
      <w:r>
        <w:rPr>
          <w:vertAlign w:val="superscript"/>
        </w:rPr>
        <w:t xml:space="preserve">69</w:t>
      </w:r>
      <w:r>
        <w:t xml:space="preserve">. These studies are exclusive to Professional and Executive tiers for a 30-day window before cascading down to Essential. The content cadence includes a weekly deep-dive study, a quarterly strategic forecast, and annual access to SRC’s flagship publication, the Strategic Outlook — a comprehensive predictive guide published each November, modeled on The Economist’s</w:t>
      </w:r>
      <w:r>
        <w:t xml:space="preserve"> </w:t>
      </w:r>
      <w:r>
        <w:t xml:space="preserve">“</w:t>
      </w:r>
      <w:r>
        <w:t xml:space="preserve">The World Ahead</w:t>
      </w:r>
      <w:r>
        <w:t xml:space="preserve">”</w:t>
      </w:r>
      <w:r>
        <w:t xml:space="preserve"> </w:t>
      </w:r>
      <w:r>
        <w:rPr>
          <w:vertAlign w:val="superscript"/>
        </w:rPr>
        <w:t xml:space="preserve">70</w:t>
      </w:r>
      <w:r>
        <w:t xml:space="preserve">. The weekly deep-dives follow the Stratechery model: substantial analysis delivered via email at a frequency that creates habit without overwhelming the subscriber</w:t>
      </w:r>
      <w:r>
        <w:t xml:space="preserve"> </w:t>
      </w:r>
      <w:r>
        <w:rPr>
          <w:vertAlign w:val="superscript"/>
        </w:rPr>
        <w:t xml:space="preserve">71</w:t>
      </w:r>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Feature</w:t>
            </w:r>
          </w:p>
        </w:tc>
        <w:tc>
          <w:tcPr/>
          <w:p>
            <w:pPr>
              <w:pStyle w:val="Compact"/>
              <w:jc w:val="left"/>
            </w:pPr>
            <w:r>
              <w:t xml:space="preserve">Professional Tier Specification</w:t>
            </w:r>
          </w:p>
        </w:tc>
      </w:tr>
      <w:tr>
        <w:tc>
          <w:tcPr/>
          <w:p>
            <w:pPr>
              <w:pStyle w:val="Compact"/>
              <w:jc w:val="left"/>
            </w:pPr>
            <w:r>
              <w:rPr>
                <w:bCs/>
                <w:b/>
              </w:rPr>
              <w:t xml:space="preserve">Price</w:t>
            </w:r>
          </w:p>
        </w:tc>
        <w:tc>
          <w:tcPr/>
          <w:p>
            <w:pPr>
              <w:pStyle w:val="Compact"/>
              <w:jc w:val="left"/>
            </w:pPr>
            <w:r>
              <w:t xml:space="preserve">CHF 79/month or CHF 790/year (~17% annual discount);</w:t>
            </w:r>
            <w:r>
              <w:t xml:space="preserve"> </w:t>
            </w:r>
            <w:r>
              <w:t xml:space="preserve">“</w:t>
            </w:r>
            <w:r>
              <w:t xml:space="preserve">Most Popular</w:t>
            </w:r>
            <w:r>
              <w:t xml:space="preserve">”</w:t>
            </w:r>
            <w:r>
              <w:t xml:space="preserve"> </w:t>
            </w:r>
            <w:r>
              <w:t xml:space="preserve">badge on pricing page</w:t>
            </w:r>
          </w:p>
        </w:tc>
      </w:tr>
      <w:tr>
        <w:tc>
          <w:tcPr/>
          <w:p>
            <w:pPr>
              <w:pStyle w:val="Compact"/>
              <w:jc w:val="left"/>
            </w:pPr>
            <w:r>
              <w:rPr>
                <w:bCs/>
                <w:b/>
              </w:rPr>
              <w:t xml:space="preserve">Content access</w:t>
            </w:r>
          </w:p>
        </w:tc>
        <w:tc>
          <w:tcPr/>
          <w:p>
            <w:pPr>
              <w:pStyle w:val="Compact"/>
              <w:jc w:val="left"/>
            </w:pPr>
            <w:r>
              <w:t xml:space="preserve">Everything in Essential, plus: exclusive studies (3,000–8,000 words); weekly deep-dive; quarterly strategic forecast; annual Strategic Outlook</w:t>
            </w:r>
          </w:p>
        </w:tc>
      </w:tr>
      <w:tr>
        <w:tc>
          <w:tcPr/>
          <w:p>
            <w:pPr>
              <w:pStyle w:val="Compact"/>
              <w:jc w:val="left"/>
            </w:pPr>
            <w:r>
              <w:rPr>
                <w:bCs/>
                <w:b/>
              </w:rPr>
              <w:t xml:space="preserve">Study exclusivity</w:t>
            </w:r>
          </w:p>
        </w:tc>
        <w:tc>
          <w:tcPr/>
          <w:p>
            <w:pPr>
              <w:pStyle w:val="Compact"/>
              <w:jc w:val="left"/>
            </w:pPr>
            <w:r>
              <w:t xml:space="preserve">30-day exclusive window before studies cascade to Essential tier</w:t>
            </w:r>
          </w:p>
        </w:tc>
      </w:tr>
      <w:tr>
        <w:tc>
          <w:tcPr/>
          <w:p>
            <w:pPr>
              <w:pStyle w:val="Compact"/>
              <w:jc w:val="left"/>
            </w:pPr>
            <w:r>
              <w:rPr>
                <w:bCs/>
                <w:b/>
              </w:rPr>
              <w:t xml:space="preserve">Early access</w:t>
            </w:r>
          </w:p>
        </w:tc>
        <w:tc>
          <w:tcPr/>
          <w:p>
            <w:pPr>
              <w:pStyle w:val="Compact"/>
              <w:jc w:val="left"/>
            </w:pPr>
            <w:r>
              <w:t xml:space="preserve">24–48 hour advance access to all reports before lower tiers</w:t>
            </w:r>
          </w:p>
        </w:tc>
      </w:tr>
      <w:tr>
        <w:tc>
          <w:tcPr/>
          <w:p>
            <w:pPr>
              <w:pStyle w:val="Compact"/>
              <w:jc w:val="left"/>
            </w:pPr>
            <w:r>
              <w:rPr>
                <w:bCs/>
                <w:b/>
              </w:rPr>
              <w:t xml:space="preserve">vAvatar video library</w:t>
            </w:r>
          </w:p>
        </w:tc>
        <w:tc>
          <w:tcPr/>
          <w:p>
            <w:pPr>
              <w:pStyle w:val="Compact"/>
              <w:jc w:val="left"/>
            </w:pPr>
            <w:r>
              <w:t xml:space="preserve">Full library: 90–120 second daily briefs; 7–10 minute weekly analysis; 15–30 minute expert interviews; audio-narrated full studies</w:t>
            </w:r>
          </w:p>
        </w:tc>
      </w:tr>
      <w:tr>
        <w:tc>
          <w:tcPr/>
          <w:p>
            <w:pPr>
              <w:pStyle w:val="Compact"/>
              <w:jc w:val="left"/>
            </w:pPr>
            <w:r>
              <w:rPr>
                <w:bCs/>
                <w:b/>
              </w:rPr>
              <w:t xml:space="preserve">Interactive tools</w:t>
            </w:r>
          </w:p>
        </w:tc>
        <w:tc>
          <w:tcPr/>
          <w:p>
            <w:pPr>
              <w:pStyle w:val="Compact"/>
              <w:jc w:val="left"/>
            </w:pPr>
            <w:r>
              <w:t xml:space="preserve">Access to scenario modeling tools; interactive risk/opportunity dashboards; downloadable datasets (CSV/Excel)</w:t>
            </w:r>
          </w:p>
        </w:tc>
      </w:tr>
      <w:tr>
        <w:tc>
          <w:tcPr/>
          <w:p>
            <w:pPr>
              <w:pStyle w:val="Compact"/>
              <w:jc w:val="left"/>
            </w:pPr>
            <w:r>
              <w:rPr>
                <w:bCs/>
                <w:b/>
              </w:rPr>
              <w:t xml:space="preserve">Newsletters</w:t>
            </w:r>
          </w:p>
        </w:tc>
        <w:tc>
          <w:tcPr/>
          <w:p>
            <w:pPr>
              <w:pStyle w:val="Compact"/>
              <w:jc w:val="left"/>
            </w:pPr>
            <w:r>
              <w:t xml:space="preserve">All Essential newsletters plus 2 premium-only newsletters (early analysis, scenario alerts)</w:t>
            </w:r>
          </w:p>
        </w:tc>
      </w:tr>
      <w:tr>
        <w:tc>
          <w:tcPr/>
          <w:p>
            <w:pPr>
              <w:pStyle w:val="Compact"/>
              <w:jc w:val="left"/>
            </w:pPr>
            <w:r>
              <w:rPr>
                <w:bCs/>
                <w:b/>
              </w:rPr>
              <w:t xml:space="preserve">Community</w:t>
            </w:r>
          </w:p>
        </w:tc>
        <w:tc>
          <w:tcPr/>
          <w:p>
            <w:pPr>
              <w:pStyle w:val="Compact"/>
              <w:jc w:val="left"/>
            </w:pPr>
            <w:r>
              <w:t xml:space="preserve">Full posting, commenting, and member directory access</w:t>
            </w:r>
          </w:p>
        </w:tc>
      </w:tr>
      <w:tr>
        <w:tc>
          <w:tcPr/>
          <w:p>
            <w:pPr>
              <w:pStyle w:val="Compact"/>
              <w:jc w:val="left"/>
            </w:pPr>
            <w:r>
              <w:rPr>
                <w:bCs/>
                <w:b/>
              </w:rPr>
              <w:t xml:space="preserve">Team access</w:t>
            </w:r>
          </w:p>
        </w:tc>
        <w:tc>
          <w:tcPr/>
          <w:p>
            <w:pPr>
              <w:pStyle w:val="Compact"/>
              <w:jc w:val="left"/>
            </w:pPr>
            <w:r>
              <w:t xml:space="preserve">3-seat team license (primary subscriber + 2 team members)</w:t>
            </w:r>
          </w:p>
        </w:tc>
      </w:tr>
      <w:tr>
        <w:tc>
          <w:tcPr/>
          <w:p>
            <w:pPr>
              <w:pStyle w:val="Compact"/>
              <w:jc w:val="left"/>
            </w:pPr>
            <w:r>
              <w:rPr>
                <w:bCs/>
                <w:b/>
              </w:rPr>
              <w:t xml:space="preserve">Support</w:t>
            </w:r>
          </w:p>
        </w:tc>
        <w:tc>
          <w:tcPr/>
          <w:p>
            <w:pPr>
              <w:pStyle w:val="Compact"/>
              <w:jc w:val="left"/>
            </w:pPr>
            <w:r>
              <w:t xml:space="preserve">Priority email support</w:t>
            </w:r>
          </w:p>
        </w:tc>
      </w:tr>
      <w:tr>
        <w:tc>
          <w:tcPr/>
          <w:p>
            <w:pPr>
              <w:pStyle w:val="Compact"/>
              <w:jc w:val="left"/>
            </w:pPr>
            <w:r>
              <w:rPr>
                <w:bCs/>
                <w:b/>
              </w:rPr>
              <w:t xml:space="preserve">Key value driver</w:t>
            </w:r>
          </w:p>
        </w:tc>
        <w:tc>
          <w:tcPr/>
          <w:p>
            <w:pPr>
              <w:pStyle w:val="Compact"/>
              <w:jc w:val="left"/>
            </w:pPr>
            <w:r>
              <w:t xml:space="preserve">Primary data, proprietary methodology, forward-looking scenarios, interactive tools, early access speed advantage</w:t>
            </w:r>
          </w:p>
        </w:tc>
      </w:tr>
    </w:tbl>
    <w:p>
      <w:pPr>
        <w:pStyle w:val="BodyText"/>
      </w:pPr>
      <w:r>
        <w:t xml:space="preserve">The vAvatar video library at this tier becomes a genuinely multimedia experience: 90–120 second daily briefs for mobile consumption during commutes, 7–10 minute weekly analysis pieces, and 15–30 minute expert interviews that create the feeling of</w:t>
      </w:r>
      <w:r>
        <w:t xml:space="preserve"> </w:t>
      </w:r>
      <w:r>
        <w:t xml:space="preserve">“</w:t>
      </w:r>
      <w:r>
        <w:t xml:space="preserve">being in the room</w:t>
      </w:r>
      <w:r>
        <w:t xml:space="preserve">”</w:t>
      </w:r>
      <w:r>
        <w:t xml:space="preserve"> </w:t>
      </w:r>
      <w:r>
        <w:t xml:space="preserve">with leading analysts. The Economist’s Insider video series and Stratechery’s bundled podcasts demonstrate that audio/video content significantly increases retention and perceived value</w:t>
      </w:r>
      <w:r>
        <w:t xml:space="preserve"> </w:t>
      </w:r>
      <w:r>
        <w:rPr>
          <w:vertAlign w:val="superscript"/>
        </w:rPr>
        <w:t xml:space="preserve">72</w:t>
      </w:r>
      <w:r>
        <w:t xml:space="preserve"> </w:t>
      </w:r>
      <w:r>
        <w:rPr>
          <w:vertAlign w:val="superscript"/>
        </w:rPr>
        <w:t xml:space="preserve">71</w:t>
      </w:r>
      <w:r>
        <w:t xml:space="preserve">. The 24–48 hour early access window taps into three psychological triggers — exclusivity, anticipation, and status — that make subscribers feel like</w:t>
      </w:r>
      <w:r>
        <w:t xml:space="preserve"> </w:t>
      </w:r>
      <w:r>
        <w:t xml:space="preserve">“</w:t>
      </w:r>
      <w:r>
        <w:t xml:space="preserve">valued insiders</w:t>
      </w:r>
      <w:r>
        <w:t xml:space="preserve">”</w:t>
      </w:r>
      <w:r>
        <w:t xml:space="preserve"> </w:t>
      </w:r>
      <w:r>
        <w:rPr>
          <w:vertAlign w:val="superscript"/>
        </w:rPr>
        <w:t xml:space="preserve">73</w:t>
      </w:r>
      <w:r>
        <w:t xml:space="preserve">. This early-access cascade — Executive gets immediate access, Professional gets content after 24–48 hours, Essential after a week, and Observer after two weeks — creates what research calls a</w:t>
      </w:r>
      <w:r>
        <w:t xml:space="preserve"> </w:t>
      </w:r>
      <w:r>
        <w:t xml:space="preserve">“</w:t>
      </w:r>
      <w:r>
        <w:t xml:space="preserve">reverse timewall</w:t>
      </w:r>
      <w:r>
        <w:t xml:space="preserve">”</w:t>
      </w:r>
      <w:r>
        <w:t xml:space="preserve">: rather than content going stale, it flows downward through tiers, giving every tier a simultaneous reason to upgrade while maximizing long-term public reach</w:t>
      </w:r>
      <w:r>
        <w:t xml:space="preserve"> </w:t>
      </w:r>
      <w:r>
        <w:rPr>
          <w:vertAlign w:val="superscript"/>
        </w:rPr>
        <w:t xml:space="preserve">74</w:t>
      </w:r>
      <w:r>
        <w:t xml:space="preserve">.</w:t>
      </w:r>
    </w:p>
    <w:p>
      <w:pPr>
        <w:pStyle w:val="BodyText"/>
      </w:pPr>
      <w:r>
        <w:t xml:space="preserve">Team access at 3 seats recognizes that B2B intelligence is consumed collectively: the primary subscriber plus two colleagues can access the platform under a single license, modeled on Chatham House’s Standard Corporate membership which provides 5 nominees</w:t>
      </w:r>
      <w:r>
        <w:t xml:space="preserve"> </w:t>
      </w:r>
      <w:r>
        <w:rPr>
          <w:vertAlign w:val="superscript"/>
        </w:rPr>
        <w:t xml:space="preserve">20</w:t>
      </w:r>
      <w:r>
        <w:t xml:space="preserve">. Interactive scenario tools — adjustable probability-weighted forecast models and country/sector-level risk heat maps — differentiate Professional from Essential through utility rather than simply content volume. These tools follow the RANE Enterprise model of interactive dashboards and downloadable presentation graphics</w:t>
      </w:r>
      <w:r>
        <w:t xml:space="preserve"> </w:t>
      </w:r>
      <w:r>
        <w:rPr>
          <w:vertAlign w:val="superscript"/>
        </w:rPr>
        <w:t xml:space="preserve">4</w:t>
      </w:r>
      <w:r>
        <w:t xml:space="preserve">, but made accessible at the individual-professional price point. The Professional tier is where SRC’s</w:t>
      </w:r>
      <w:r>
        <w:t xml:space="preserve"> </w:t>
      </w:r>
      <w:r>
        <w:t xml:space="preserve">“</w:t>
      </w:r>
      <w:r>
        <w:t xml:space="preserve">Swiss AI Neutrality</w:t>
      </w:r>
      <w:r>
        <w:t xml:space="preserve">”</w:t>
      </w:r>
      <w:r>
        <w:t xml:space="preserve"> </w:t>
      </w:r>
      <w:r>
        <w:t xml:space="preserve">moat becomes tangible: AI-augmented scenario modeling, multilingual vAvatar delivery, and expert-curated intelligence pipelines combine into a product no single competitor can replicate.</w:t>
      </w:r>
    </w:p>
    <w:bookmarkEnd w:id="28"/>
    <w:bookmarkStart w:id="29" w:name="executive-tier-expert"/>
    <w:p>
      <w:pPr>
        <w:pStyle w:val="Heading3"/>
      </w:pPr>
      <w:r>
        <w:t xml:space="preserve">2.5 Executive Tier (Expert)</w:t>
      </w:r>
    </w:p>
    <w:p>
      <w:pPr>
        <w:pStyle w:val="FirstParagraph"/>
      </w:pPr>
      <w:r>
        <w:t xml:space="preserve">The Executive tier at CHF 149 per month or CHF 1,490 per year (annual billing only) is the anchor tier. It exists not primarily to be purchased — though it will be, by senior professionals with departmental budgets — but to make the Professional tier feel like a moderate, sensible choice. This is classic decoy pricing: the presence of a premium anchor improves conversion at the target tier by reframing its price as reasonable by comparison.</w:t>
      </w:r>
    </w:p>
    <w:p>
      <w:pPr>
        <w:pStyle w:val="BodyText"/>
      </w:pPr>
      <w:r>
        <w:t xml:space="preserve">What distinguishes Executive from Professional is not content — it is access to people. The centerpiece is live analyst access: a monthly group video call conducted under the Chatham House Rule, where SRC analysts discuss emerging developments candidly and without attribution. Chatham House’s Director’s Breakfast Briefings, held under this same Rule, are explicitly excluded from Standard corporate members and reserved for Major Corporate partners — a scarcity signal that creates irreplaceable perceived value</w:t>
      </w:r>
      <w:r>
        <w:t xml:space="preserve"> </w:t>
      </w:r>
      <w:r>
        <w:rPr>
          <w:vertAlign w:val="superscript"/>
        </w:rPr>
        <w:t xml:space="preserve">19</w:t>
      </w:r>
      <w:r>
        <w:t xml:space="preserve"> </w:t>
      </w:r>
      <w:r>
        <w:rPr>
          <w:vertAlign w:val="superscript"/>
        </w:rPr>
        <w:t xml:space="preserve">20</w:t>
      </w:r>
      <w:r>
        <w:t xml:space="preserve">. Executive members also receive a quarterly 1:1 consultation (30 minutes) with an SRC senior analyst. The benchmark for this type of access is stark: GLG charges $1,500–$2,000 per hour for expert consultations, with annual enterprise contracts ranging from $50,000 to $500,000</w:t>
      </w:r>
      <w:r>
        <w:t xml:space="preserve"> </w:t>
      </w:r>
      <w:r>
        <w:rPr>
          <w:vertAlign w:val="superscript"/>
        </w:rPr>
        <w:t xml:space="preserve">55</w:t>
      </w:r>
      <w:r>
        <w:t xml:space="preserve"> </w:t>
      </w:r>
      <w:r>
        <w:rPr>
          <w:vertAlign w:val="superscript"/>
        </w:rPr>
        <w:t xml:space="preserve">75</w:t>
      </w:r>
      <w:r>
        <w:t xml:space="preserve">. If an Executive member uses their quarterly call even once during the year, the perceived value of that single 30-minute conversation — priced at market rates of $750–$1,000 — exceeds the entire annual subscription cost. This is the</w:t>
      </w:r>
      <w:r>
        <w:t xml:space="preserve"> </w:t>
      </w:r>
      <w:r>
        <w:t xml:space="preserve">“</w:t>
      </w:r>
      <w:r>
        <w:t xml:space="preserve">analyst minutes</w:t>
      </w:r>
      <w:r>
        <w:t xml:space="preserve">”</w:t>
      </w:r>
      <w:r>
        <w:t xml:space="preserve"> </w:t>
      </w:r>
      <w:r>
        <w:t xml:space="preserve">value proposition: the subscription pays for itself in a single conversation.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Feature</w:t>
            </w:r>
          </w:p>
        </w:tc>
        <w:tc>
          <w:tcPr/>
          <w:p>
            <w:pPr>
              <w:pStyle w:val="Compact"/>
              <w:jc w:val="left"/>
            </w:pPr>
            <w:r>
              <w:t xml:space="preserve">Executive Tier Specification</w:t>
            </w:r>
          </w:p>
        </w:tc>
      </w:tr>
      <w:tr>
        <w:tc>
          <w:tcPr/>
          <w:p>
            <w:pPr>
              <w:pStyle w:val="Compact"/>
              <w:jc w:val="left"/>
            </w:pPr>
            <w:r>
              <w:rPr>
                <w:bCs/>
                <w:b/>
              </w:rPr>
              <w:t xml:space="preserve">Price</w:t>
            </w:r>
          </w:p>
        </w:tc>
        <w:tc>
          <w:tcPr/>
          <w:p>
            <w:pPr>
              <w:pStyle w:val="Compact"/>
              <w:jc w:val="left"/>
            </w:pPr>
            <w:r>
              <w:t xml:space="preserve">CHF 149/month or CHF 1,490/year (annual billing strongly preferred); anchor tier positioning</w:t>
            </w:r>
          </w:p>
        </w:tc>
      </w:tr>
      <w:tr>
        <w:tc>
          <w:tcPr/>
          <w:p>
            <w:pPr>
              <w:pStyle w:val="Compact"/>
              <w:jc w:val="left"/>
            </w:pPr>
            <w:r>
              <w:rPr>
                <w:bCs/>
                <w:b/>
              </w:rPr>
              <w:t xml:space="preserve">Live analyst access</w:t>
            </w:r>
          </w:p>
        </w:tc>
        <w:tc>
          <w:tcPr/>
          <w:p>
            <w:pPr>
              <w:pStyle w:val="Compact"/>
              <w:jc w:val="left"/>
            </w:pPr>
            <w:r>
              <w:t xml:space="preserve">Monthly group video call (Chatham House Rule, 60 min); quarterly 1:1 consultation with senior analyst (30 min)</w:t>
            </w:r>
          </w:p>
        </w:tc>
      </w:tr>
      <w:tr>
        <w:tc>
          <w:tcPr/>
          <w:p>
            <w:pPr>
              <w:pStyle w:val="Compact"/>
              <w:jc w:val="left"/>
            </w:pPr>
            <w:r>
              <w:rPr>
                <w:bCs/>
                <w:b/>
              </w:rPr>
              <w:t xml:space="preserve">Flash briefs</w:t>
            </w:r>
          </w:p>
        </w:tc>
        <w:tc>
          <w:tcPr/>
          <w:p>
            <w:pPr>
              <w:pStyle w:val="Compact"/>
              <w:jc w:val="left"/>
            </w:pPr>
            <w:r>
              <w:t xml:space="preserve">Real-time breaking news alerts within 4 hours (in-app push + SMS + email); customizable by topic and region</w:t>
            </w:r>
          </w:p>
        </w:tc>
      </w:tr>
      <w:tr>
        <w:tc>
          <w:tcPr/>
          <w:p>
            <w:pPr>
              <w:pStyle w:val="Compact"/>
              <w:jc w:val="left"/>
            </w:pPr>
            <w:r>
              <w:rPr>
                <w:bCs/>
                <w:b/>
              </w:rPr>
              <w:t xml:space="preserve">Bespoke research</w:t>
            </w:r>
          </w:p>
        </w:tc>
        <w:tc>
          <w:tcPr/>
          <w:p>
            <w:pPr>
              <w:pStyle w:val="Compact"/>
              <w:jc w:val="left"/>
            </w:pPr>
            <w:r>
              <w:t xml:space="preserve">4 custom research requests per year (topic suggestions, clarification requests, data queries)</w:t>
            </w:r>
          </w:p>
        </w:tc>
      </w:tr>
      <w:tr>
        <w:tc>
          <w:tcPr/>
          <w:p>
            <w:pPr>
              <w:pStyle w:val="Compact"/>
              <w:jc w:val="left"/>
            </w:pPr>
            <w:r>
              <w:rPr>
                <w:bCs/>
                <w:b/>
              </w:rPr>
              <w:t xml:space="preserve">Annual summit</w:t>
            </w:r>
          </w:p>
        </w:tc>
        <w:tc>
          <w:tcPr/>
          <w:p>
            <w:pPr>
              <w:pStyle w:val="Compact"/>
              <w:jc w:val="left"/>
            </w:pPr>
            <w:r>
              <w:t xml:space="preserve">Invitation to</w:t>
            </w:r>
            <w:r>
              <w:t xml:space="preserve"> </w:t>
            </w:r>
            <w:r>
              <w:t xml:space="preserve">“</w:t>
            </w:r>
            <w:r>
              <w:t xml:space="preserve">SRC Global Security Summit</w:t>
            </w:r>
            <w:r>
              <w:t xml:space="preserve">”</w:t>
            </w:r>
            <w:r>
              <w:t xml:space="preserve"> </w:t>
            </w:r>
            <w:r>
              <w:t xml:space="preserve">— 2-day event in Switzerland with private briefings, Chatham House Rule sessions, networking dinners</w:t>
            </w:r>
          </w:p>
        </w:tc>
      </w:tr>
      <w:tr>
        <w:tc>
          <w:tcPr/>
          <w:p>
            <w:pPr>
              <w:pStyle w:val="Compact"/>
              <w:jc w:val="left"/>
            </w:pPr>
            <w:r>
              <w:rPr>
                <w:bCs/>
                <w:b/>
              </w:rPr>
              <w:t xml:space="preserve">Account management</w:t>
            </w:r>
          </w:p>
        </w:tc>
        <w:tc>
          <w:tcPr/>
          <w:p>
            <w:pPr>
              <w:pStyle w:val="Compact"/>
              <w:jc w:val="left"/>
            </w:pPr>
            <w:r>
              <w:t xml:space="preserve">Dedicated account manager; priority access to all new features and beta releases</w:t>
            </w:r>
          </w:p>
        </w:tc>
      </w:tr>
      <w:tr>
        <w:tc>
          <w:tcPr/>
          <w:p>
            <w:pPr>
              <w:pStyle w:val="Compact"/>
              <w:jc w:val="left"/>
            </w:pPr>
            <w:r>
              <w:rPr>
                <w:bCs/>
                <w:b/>
              </w:rPr>
              <w:t xml:space="preserve">Early access</w:t>
            </w:r>
          </w:p>
        </w:tc>
        <w:tc>
          <w:tcPr/>
          <w:p>
            <w:pPr>
              <w:pStyle w:val="Compact"/>
              <w:jc w:val="left"/>
            </w:pPr>
            <w:r>
              <w:t xml:space="preserve">Immediate access to all content + 48-hour exclusive window before Professional tier</w:t>
            </w:r>
          </w:p>
        </w:tc>
      </w:tr>
      <w:tr>
        <w:tc>
          <w:tcPr/>
          <w:p>
            <w:pPr>
              <w:pStyle w:val="Compact"/>
              <w:jc w:val="left"/>
            </w:pPr>
            <w:r>
              <w:rPr>
                <w:bCs/>
                <w:b/>
              </w:rPr>
              <w:t xml:space="preserve">Team access</w:t>
            </w:r>
          </w:p>
        </w:tc>
        <w:tc>
          <w:tcPr/>
          <w:p>
            <w:pPr>
              <w:pStyle w:val="Compact"/>
              <w:jc w:val="left"/>
            </w:pPr>
            <w:r>
              <w:t xml:space="preserve">5-seat team license with collaboration tools (shared annotations, team briefing folders)</w:t>
            </w:r>
          </w:p>
        </w:tc>
      </w:tr>
      <w:tr>
        <w:tc>
          <w:tcPr/>
          <w:p>
            <w:pPr>
              <w:pStyle w:val="Compact"/>
              <w:jc w:val="left"/>
            </w:pPr>
            <w:r>
              <w:rPr>
                <w:bCs/>
                <w:b/>
              </w:rPr>
              <w:t xml:space="preserve">Alerts</w:t>
            </w:r>
          </w:p>
        </w:tc>
        <w:tc>
          <w:tcPr/>
          <w:p>
            <w:pPr>
              <w:pStyle w:val="Compact"/>
              <w:jc w:val="left"/>
            </w:pPr>
            <w:r>
              <w:t xml:space="preserve">Real-time breaking news alerts via multi-channel delivery (push + SMS + email); analyst-vetted, not automated</w:t>
            </w:r>
          </w:p>
        </w:tc>
      </w:tr>
      <w:tr>
        <w:tc>
          <w:tcPr/>
          <w:p>
            <w:pPr>
              <w:pStyle w:val="Compact"/>
              <w:jc w:val="left"/>
            </w:pPr>
            <w:r>
              <w:rPr>
                <w:bCs/>
                <w:b/>
              </w:rPr>
              <w:t xml:space="preserve">Community</w:t>
            </w:r>
          </w:p>
        </w:tc>
        <w:tc>
          <w:tcPr/>
          <w:p>
            <w:pPr>
              <w:pStyle w:val="Compact"/>
              <w:jc w:val="left"/>
            </w:pPr>
            <w:r>
              <w:t xml:space="preserve">Full community access plus exclusive Executive-only discussion forum</w:t>
            </w:r>
          </w:p>
        </w:tc>
      </w:tr>
      <w:tr>
        <w:tc>
          <w:tcPr/>
          <w:p>
            <w:pPr>
              <w:pStyle w:val="Compact"/>
              <w:jc w:val="left"/>
            </w:pPr>
            <w:r>
              <w:rPr>
                <w:bCs/>
                <w:b/>
              </w:rPr>
              <w:t xml:space="preserve">Support</w:t>
            </w:r>
          </w:p>
        </w:tc>
        <w:tc>
          <w:tcPr/>
          <w:p>
            <w:pPr>
              <w:pStyle w:val="Compact"/>
              <w:jc w:val="left"/>
            </w:pPr>
            <w:r>
              <w:t xml:space="preserve">Dedicated support line; 4-hour response guarantee</w:t>
            </w:r>
          </w:p>
        </w:tc>
      </w:tr>
      <w:tr>
        <w:tc>
          <w:tcPr/>
          <w:p>
            <w:pPr>
              <w:pStyle w:val="Compact"/>
              <w:jc w:val="left"/>
            </w:pPr>
            <w:r>
              <w:rPr>
                <w:bCs/>
                <w:b/>
              </w:rPr>
              <w:t xml:space="preserve">Key value driver</w:t>
            </w:r>
          </w:p>
        </w:tc>
        <w:tc>
          <w:tcPr/>
          <w:p>
            <w:pPr>
              <w:pStyle w:val="Compact"/>
              <w:jc w:val="left"/>
            </w:pPr>
            <w:r>
              <w:t xml:space="preserve">Direct human access, speed, bespoke service, annual summit exclusivity, relationship pricing</w:t>
            </w:r>
          </w:p>
        </w:tc>
      </w:tr>
    </w:tbl>
    <w:p>
      <w:pPr>
        <w:pStyle w:val="BodyText"/>
      </w:pPr>
      <w:r>
        <w:t xml:space="preserve">Real-time breaking news alerts delivered within 4 hours of significant events represent the</w:t>
      </w:r>
      <w:r>
        <w:t xml:space="preserve"> </w:t>
      </w:r>
      <w:r>
        <w:t xml:space="preserve">“</w:t>
      </w:r>
      <w:r>
        <w:t xml:space="preserve">speed ladder</w:t>
      </w:r>
      <w:r>
        <w:t xml:space="preserve">”</w:t>
      </w:r>
      <w:r>
        <w:t xml:space="preserve"> </w:t>
      </w:r>
      <w:r>
        <w:t xml:space="preserve">pinnacle. In the security and resilience space, speed is mission-critical: a corporate security chief will pay premium prices for a 4-hour analyst response guarantee because the alternative is sifting through unvetted social media noise or waiting 24 hours for mainstream media analysis. This follows the Global Risk Outlook three-speed model — daily alerts, weekly forecasts, quarterly outlooks — but with analyst vetting at every stage rather than automation</w:t>
      </w:r>
      <w:r>
        <w:t xml:space="preserve"> </w:t>
      </w:r>
      <w:r>
        <w:rPr>
          <w:vertAlign w:val="superscript"/>
        </w:rPr>
        <w:t xml:space="preserve">76</w:t>
      </w:r>
      <w:r>
        <w:t xml:space="preserve">. The alerts are customizable by topic and region, delivered through a multi-channel system (in-app push, SMS, email) that ensures reach regardless of the member’s location or device.</w:t>
      </w:r>
    </w:p>
    <w:p>
      <w:pPr>
        <w:pStyle w:val="BodyText"/>
      </w:pPr>
      <w:r>
        <w:t xml:space="preserve">The annual</w:t>
      </w:r>
      <w:r>
        <w:t xml:space="preserve"> </w:t>
      </w:r>
      <w:r>
        <w:t xml:space="preserve">“</w:t>
      </w:r>
      <w:r>
        <w:t xml:space="preserve">SRC Global Security Summit</w:t>
      </w:r>
      <w:r>
        <w:t xml:space="preserve">”</w:t>
      </w:r>
      <w:r>
        <w:t xml:space="preserve"> </w:t>
      </w:r>
      <w:r>
        <w:t xml:space="preserve">in Switzerland is the tier’s emotional anchor — the event that justifies the entire Executive subscription even if the member accesses no other feature. Every top-tier think tank membership has an in-person anchor: CFR’s Annual Dinner, the Atlantic Council’s Distinguished Leadership Awards, the Aspen Ideas Festival, WEF in Davos. The SRC Summit, held in Zug over two days, features private briefings, Chatham House Rule discussions, networking dinners, and the Swiss Alpine setting that signals neutrality, discretion, and gravitas. This single event transforms the Executive tier from a content subscription into a membership in an exclusive professional community — making churn psychologically difficult because the member loses not just access to reports but their seat at the table. Bespoke research requests (4 per year), a dedicated account manager, and priority access to new features round out a tier designed for the senior executive who treats intelligence not as a reading habit but as a strategic asset embedded in their decision-making workflow.</w:t>
      </w:r>
      <w:r>
        <w:t xml:space="preserve"> </w:t>
      </w:r>
      <w:r>
        <w:t xml:space="preserve">## 3. Content Gating &amp; Delivery Architecture</w:t>
      </w:r>
    </w:p>
    <w:p>
      <w:pPr>
        <w:pStyle w:val="BodyText"/>
      </w:pPr>
      <w:r>
        <w:t xml:space="preserve">The most elegant membership model collapses without precise content gating. Chapter 2 established SRC’s four tiers; the harder question is</w:t>
      </w:r>
      <w:r>
        <w:t xml:space="preserve"> </w:t>
      </w:r>
      <w:r>
        <w:rPr>
          <w:iCs/>
          <w:i/>
        </w:rPr>
        <w:t xml:space="preserve">which content formats flow through which gates, and on what schedule?</w:t>
      </w:r>
      <w:r>
        <w:t xml:space="preserve"> </w:t>
      </w:r>
      <w:r>
        <w:t xml:space="preserve">This chapter maps SRC’s content taxonomy to its tier structure, defines the reverse timewall cascade that turns time into a monetizable asset, and specifies the vAvatar video delivery system that gives SRC a structural cost advantage no competitor can replicate.</w:t>
      </w:r>
    </w:p>
    <w:bookmarkEnd w:id="29"/>
    <w:bookmarkStart w:id="36" w:name="content-type-taxonomy"/>
    <w:p>
      <w:pPr>
        <w:pStyle w:val="Heading3"/>
      </w:pPr>
      <w:r>
        <w:t xml:space="preserve">3.1 Content Type Taxonomy</w:t>
      </w:r>
    </w:p>
    <w:p>
      <w:pPr>
        <w:pStyle w:val="FirstParagraph"/>
      </w:pPr>
      <w:r>
        <w:t xml:space="preserve">Think tank members do not buy</w:t>
      </w:r>
      <w:r>
        <w:t xml:space="preserve"> </w:t>
      </w:r>
      <w:r>
        <w:t xml:space="preserve">“</w:t>
      </w:r>
      <w:r>
        <w:t xml:space="preserve">content</w:t>
      </w:r>
      <w:r>
        <w:t xml:space="preserve">”</w:t>
      </w:r>
      <w:r>
        <w:t xml:space="preserve"> </w:t>
      </w:r>
      <w:r>
        <w:t xml:space="preserve">in the abstract — they buy specific formats with predictable utility. A chief security officer subscribes for intelligence briefings consumed at decision moments; a policy researcher needs full studies with source data. SRC’s taxonomy must align format with workflow so precisely that tier selection becomes self-evident.</w:t>
      </w:r>
    </w:p>
    <w:bookmarkStart w:id="30" w:name="opinions-always-free-always-fast"/>
    <w:p>
      <w:pPr>
        <w:pStyle w:val="Heading4"/>
      </w:pPr>
      <w:r>
        <w:t xml:space="preserve">3.1.1 Opinions: Always Free, Always Fast</w:t>
      </w:r>
    </w:p>
    <w:p>
      <w:pPr>
        <w:pStyle w:val="FirstParagraph"/>
      </w:pPr>
      <w:r>
        <w:t xml:space="preserve">Short-form opinion pieces — 500–800 word reactions to events and policy commentary — remain permanently free. This is acquisition engineering, not generosity. Brookings Institution, Carnegie Endowment, CSIS, and ECFR all publish core commentary without paywall</w:t>
      </w:r>
      <w:r>
        <w:t xml:space="preserve"> </w:t>
      </w:r>
      <w:r>
        <w:rPr>
          <w:vertAlign w:val="superscript"/>
        </w:rPr>
        <w:t xml:space="preserve">46</w:t>
      </w:r>
      <w:r>
        <w:t xml:space="preserve"> </w:t>
      </w:r>
      <w:r>
        <w:rPr>
          <w:vertAlign w:val="superscript"/>
        </w:rPr>
        <w:t xml:space="preserve">47</w:t>
      </w:r>
      <w:r>
        <w:t xml:space="preserve"> </w:t>
      </w:r>
      <w:r>
        <w:rPr>
          <w:vertAlign w:val="superscript"/>
        </w:rPr>
        <w:t xml:space="preserve">77</w:t>
      </w:r>
      <w:r>
        <w:t xml:space="preserve"> </w:t>
      </w:r>
      <w:r>
        <w:rPr>
          <w:vertAlign w:val="superscript"/>
        </w:rPr>
        <w:t xml:space="preserve">48</w:t>
      </w:r>
      <w:r>
        <w:t xml:space="preserve">. Soft gating via embedded executive summary teases achieves 34–42% conversion to full report access, versus only 15–22% for hard gating</w:t>
      </w:r>
      <w:r>
        <w:t xml:space="preserve"> </w:t>
      </w:r>
      <w:r>
        <w:rPr>
          <w:vertAlign w:val="superscript"/>
        </w:rPr>
        <w:t xml:space="preserve">57</w:t>
      </w:r>
      <w:r>
        <w:t xml:space="preserve">. SRC should publish all opinions with full visibility, embedding summaries of gated reports to create natural upgrade pathways.</w:t>
      </w:r>
    </w:p>
    <w:bookmarkEnd w:id="30"/>
    <w:bookmarkStart w:id="31" w:name="Xaaed693fcf78354081f3120bcc9d0d43bcc7e2e"/>
    <w:p>
      <w:pPr>
        <w:pStyle w:val="Heading4"/>
      </w:pPr>
      <w:r>
        <w:t xml:space="preserve">3.1.2 Reports: Executive Summary Free, Full Report Essential+</w:t>
      </w:r>
    </w:p>
    <w:p>
      <w:pPr>
        <w:pStyle w:val="FirstParagraph"/>
      </w:pPr>
      <w:r>
        <w:t xml:space="preserve">Reports — structured 2,000–4,000 word analyses with data visualizations — form the first commercial gate. The executive summary (≈500 words, in-page) remains free; the full PDF requires Essential subscription. This</w:t>
      </w:r>
      <w:r>
        <w:t xml:space="preserve"> </w:t>
      </w:r>
      <w:r>
        <w:t xml:space="preserve">“</w:t>
      </w:r>
      <w:r>
        <w:t xml:space="preserve">teaser/full</w:t>
      </w:r>
      <w:r>
        <w:t xml:space="preserve">”</w:t>
      </w:r>
      <w:r>
        <w:t xml:space="preserve"> </w:t>
      </w:r>
      <w:r>
        <w:t xml:space="preserve">model dominates publishing: 30% of most valuable findings released free, the complete document gated</w:t>
      </w:r>
      <w:r>
        <w:t xml:space="preserve"> </w:t>
      </w:r>
      <w:r>
        <w:rPr>
          <w:vertAlign w:val="superscript"/>
        </w:rPr>
        <w:t xml:space="preserve">78</w:t>
      </w:r>
      <w:r>
        <w:t xml:space="preserve">. SRC uses content</w:t>
      </w:r>
      <w:r>
        <w:t xml:space="preserve"> </w:t>
      </w:r>
      <w:r>
        <w:rPr>
          <w:iCs/>
          <w:i/>
        </w:rPr>
        <w:t xml:space="preserve">type</w:t>
      </w:r>
      <w:r>
        <w:t xml:space="preserve"> </w:t>
      </w:r>
      <w:r>
        <w:t xml:space="preserve">rather than article count as the gate, eliminating friction from arbitrary</w:t>
      </w:r>
      <w:r>
        <w:t xml:space="preserve"> </w:t>
      </w:r>
      <w:r>
        <w:t xml:space="preserve">“</w:t>
      </w:r>
      <w:r>
        <w:t xml:space="preserve">2 of 3 articles</w:t>
      </w:r>
      <w:r>
        <w:t xml:space="preserve">”</w:t>
      </w:r>
      <w:r>
        <w:t xml:space="preserve"> </w:t>
      </w:r>
      <w:r>
        <w:t xml:space="preserve">walls. Readers hit a clear format boundary that signals value rather than withholding it.</w:t>
      </w:r>
    </w:p>
    <w:bookmarkEnd w:id="31"/>
    <w:bookmarkStart w:id="32" w:name="studies-professional-exclusive"/>
    <w:p>
      <w:pPr>
        <w:pStyle w:val="Heading4"/>
      </w:pPr>
      <w:r>
        <w:t xml:space="preserve">3.1.3 Studies: Professional+ Exclusive</w:t>
      </w:r>
    </w:p>
    <w:p>
      <w:pPr>
        <w:pStyle w:val="FirstParagraph"/>
      </w:pPr>
      <w:r>
        <w:t xml:space="preserve">Studies — 3,000–8,000 word deep-dive research with proprietary methodology and downloadable datasets — sit behind the Professional gate. IISS’s Military Balance+ database at GBP 695 per year demonstrates that proprietary data products command premium pricing</w:t>
      </w:r>
      <w:r>
        <w:t xml:space="preserve"> </w:t>
      </w:r>
      <w:r>
        <w:rPr>
          <w:vertAlign w:val="superscript"/>
        </w:rPr>
        <w:t xml:space="preserve">79</w:t>
      </w:r>
      <w:r>
        <w:t xml:space="preserve">. SRC studies should include full source documentation, reproducible frameworks, scenario probability matrices, and underlying datasets — research instruments subscribers use in their own work.</w:t>
      </w:r>
    </w:p>
    <w:bookmarkEnd w:id="32"/>
    <w:bookmarkStart w:id="33" w:name="briefings-tiered-by-speed-and-depth"/>
    <w:p>
      <w:pPr>
        <w:pStyle w:val="Heading4"/>
      </w:pPr>
      <w:r>
        <w:t xml:space="preserve">3.1.4 Briefings: Tiered by Speed and Depth</w:t>
      </w:r>
    </w:p>
    <w:p>
      <w:pPr>
        <w:pStyle w:val="FirstParagraph"/>
      </w:pPr>
      <w:r>
        <w:t xml:space="preserve">Briefings are SRC’s most differentiated format because they are consumed at the moment of need. Intelligence industry practice defines a clear hierarchy: flash alerts (Expert only, within 4 hours), daily briefs (Essential+, weekday mornings), and weekly roundups (all tiers)</w:t>
      </w:r>
      <w:r>
        <w:t xml:space="preserve"> </w:t>
      </w:r>
      <w:r>
        <w:rPr>
          <w:vertAlign w:val="superscript"/>
        </w:rPr>
        <w:t xml:space="preserve">80</w:t>
      </w:r>
      <w:r>
        <w:t xml:space="preserve">. GCTI’s SOVEREIGN tier receives real-time executive intelligence while lower tiers get progressively delayed digests, proving speed is monetizable</w:t>
      </w:r>
      <w:r>
        <w:t xml:space="preserve"> </w:t>
      </w:r>
      <w:r>
        <w:rPr>
          <w:vertAlign w:val="superscript"/>
        </w:rPr>
        <w:t xml:space="preserve">9</w:t>
      </w:r>
      <w:r>
        <w:t xml:space="preserve">. The speed differential gives every tier concrete upgrade reason: a security chief receiving a flash alert four hours before competitors possesses genuine operational advantage.</w:t>
      </w:r>
    </w:p>
    <w:bookmarkEnd w:id="33"/>
    <w:bookmarkStart w:id="34" w:name="video-the-format-first-gate"/>
    <w:p>
      <w:pPr>
        <w:pStyle w:val="Heading4"/>
      </w:pPr>
      <w:r>
        <w:t xml:space="preserve">3.1.5 Video: The Format-First Gate</w:t>
      </w:r>
    </w:p>
    <w:p>
      <w:pPr>
        <w:pStyle w:val="FirstParagraph"/>
      </w:pPr>
      <w:r>
        <w:t xml:space="preserve">Opinion clips — 60–90 second excerpts — remain free on YouTube and social channels. Full vAvatar briefings require Essential+. Extended expert interviews and weekly analysis videos require Professional+. Live sessions and on-demand 1:1 analyst calls are Executive exclusive. This mirrors The Economist’s dual strategy: free short-form vertical video drives social discovery, while premium long-form (the</w:t>
      </w:r>
      <w:r>
        <w:t xml:space="preserve"> </w:t>
      </w:r>
      <w:r>
        <w:t xml:space="preserve">“</w:t>
      </w:r>
      <w:r>
        <w:t xml:space="preserve">Insider</w:t>
      </w:r>
      <w:r>
        <w:t xml:space="preserve">”</w:t>
      </w:r>
      <w:r>
        <w:t xml:space="preserve"> </w:t>
      </w:r>
      <w:r>
        <w:t xml:space="preserve">series, launched October 2025) lives behind the paywall</w:t>
      </w:r>
      <w:r>
        <w:t xml:space="preserve"> </w:t>
      </w:r>
      <w:r>
        <w:rPr>
          <w:vertAlign w:val="superscript"/>
        </w:rPr>
        <w:t xml:space="preserve">81</w:t>
      </w:r>
      <w:r>
        <w:t xml:space="preserve"> </w:t>
      </w:r>
      <w:r>
        <w:rPr>
          <w:vertAlign w:val="superscript"/>
        </w:rPr>
        <w:t xml:space="preserve">82</w:t>
      </w:r>
      <w:r>
        <w:t xml:space="preserve">. The Economist reached 1.255 million subscribers (6% YoY increase) with 68% digital-only, validating video tiering as a retention driver</w:t>
      </w:r>
      <w:r>
        <w:t xml:space="preserve"> </w:t>
      </w:r>
      <w:r>
        <w:rPr>
          <w:vertAlign w:val="superscript"/>
        </w:rPr>
        <w:t xml:space="preserve">82</w:t>
      </w:r>
      <w:r>
        <w:t xml:space="preserve">.</w:t>
      </w:r>
    </w:p>
    <w:bookmarkEnd w:id="34"/>
    <w:bookmarkStart w:id="35" w:name="interviews-layered-access-by-depth"/>
    <w:p>
      <w:pPr>
        <w:pStyle w:val="Heading4"/>
      </w:pPr>
      <w:r>
        <w:t xml:space="preserve">3.1.6 Interviews: Layered Access by Depth</w:t>
      </w:r>
    </w:p>
    <w:p>
      <w:pPr>
        <w:pStyle w:val="FirstParagraph"/>
      </w:pPr>
      <w:r>
        <w:t xml:space="preserve">Expert interviews follow progressive disclosure: transcript excerpts (200–300 words) free; full transcripts Essential+; video recordings Professional+; live Q&amp;A Executive exclusive. Registration walls generate sixteen times more signups than passive newsletter forms, with 20% of free-registered readers converting to paid</w:t>
      </w:r>
      <w:r>
        <w:t xml:space="preserve"> </w:t>
      </w:r>
      <w:r>
        <w:rPr>
          <w:vertAlign w:val="superscript"/>
        </w:rPr>
        <w:t xml:space="preserve">53</w:t>
      </w:r>
      <w:r>
        <w:t xml:space="preserve">— the excerpt-to-transcript pipeline captures this dynamic precisely.</w:t>
      </w:r>
    </w:p>
    <w:p>
      <w:pPr>
        <w:pStyle w:val="BodyText"/>
      </w:pPr>
      <w:r>
        <w:t xml:space="preserve">The following table consolidates the complete gating architecture.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Content Type</w:t>
            </w:r>
          </w:p>
        </w:tc>
        <w:tc>
          <w:tcPr/>
          <w:p>
            <w:pPr>
              <w:pStyle w:val="Compact"/>
              <w:jc w:val="left"/>
            </w:pPr>
            <w:r>
              <w:t xml:space="preserve">Free</w:t>
            </w:r>
          </w:p>
        </w:tc>
        <w:tc>
          <w:tcPr/>
          <w:p>
            <w:pPr>
              <w:pStyle w:val="Compact"/>
              <w:jc w:val="left"/>
            </w:pPr>
            <w:r>
              <w:t xml:space="preserve">Essential</w:t>
            </w:r>
          </w:p>
        </w:tc>
        <w:tc>
          <w:tcPr/>
          <w:p>
            <w:pPr>
              <w:pStyle w:val="Compact"/>
              <w:jc w:val="left"/>
            </w:pPr>
            <w:r>
              <w:t xml:space="preserve">Professional</w:t>
            </w:r>
          </w:p>
        </w:tc>
        <w:tc>
          <w:tcPr/>
          <w:p>
            <w:pPr>
              <w:pStyle w:val="Compact"/>
              <w:jc w:val="left"/>
            </w:pPr>
            <w:r>
              <w:t xml:space="preserve">Executive</w:t>
            </w:r>
          </w:p>
        </w:tc>
      </w:tr>
      <w:tr>
        <w:tc>
          <w:tcPr/>
          <w:p>
            <w:pPr>
              <w:pStyle w:val="Compact"/>
              <w:jc w:val="left"/>
            </w:pPr>
            <w:r>
              <w:rPr>
                <w:bCs/>
                <w:b/>
              </w:rPr>
              <w:t xml:space="preserve">Opinions</w:t>
            </w:r>
            <w:r>
              <w:t xml:space="preserve"> </w:t>
            </w:r>
            <w:r>
              <w:t xml:space="preserve">(500–800 words)</w:t>
            </w:r>
          </w:p>
        </w:tc>
        <w:tc>
          <w:tcPr/>
          <w:p>
            <w:pPr>
              <w:pStyle w:val="Compact"/>
              <w:jc w:val="left"/>
            </w:pPr>
            <w:r>
              <w:t xml:space="preserve">Full access</w:t>
            </w:r>
          </w:p>
        </w:tc>
        <w:tc>
          <w:tcPr/>
          <w:p>
            <w:pPr>
              <w:pStyle w:val="Compact"/>
              <w:jc w:val="left"/>
            </w:pPr>
            <w:r>
              <w:t xml:space="preserve">Full access</w:t>
            </w:r>
          </w:p>
        </w:tc>
        <w:tc>
          <w:tcPr/>
          <w:p>
            <w:pPr>
              <w:pStyle w:val="Compact"/>
              <w:jc w:val="left"/>
            </w:pPr>
            <w:r>
              <w:t xml:space="preserve">Full access</w:t>
            </w:r>
          </w:p>
        </w:tc>
        <w:tc>
          <w:tcPr/>
          <w:p>
            <w:pPr>
              <w:pStyle w:val="Compact"/>
              <w:jc w:val="left"/>
            </w:pPr>
            <w:r>
              <w:t xml:space="preserve">Full access</w:t>
            </w:r>
          </w:p>
        </w:tc>
      </w:tr>
      <w:tr>
        <w:tc>
          <w:tcPr/>
          <w:p>
            <w:pPr>
              <w:pStyle w:val="Compact"/>
              <w:jc w:val="left"/>
            </w:pPr>
            <w:r>
              <w:rPr>
                <w:bCs/>
                <w:b/>
              </w:rPr>
              <w:t xml:space="preserve">Report summaries</w:t>
            </w:r>
            <w:r>
              <w:t xml:space="preserve"> </w:t>
            </w:r>
            <w:r>
              <w:t xml:space="preserve">(≈500 words)</w:t>
            </w:r>
          </w:p>
        </w:tc>
        <w:tc>
          <w:tcPr/>
          <w:p>
            <w:pPr>
              <w:pStyle w:val="Compact"/>
              <w:jc w:val="left"/>
            </w:pPr>
            <w:r>
              <w:t xml:space="preserve">Full access</w:t>
            </w:r>
          </w:p>
        </w:tc>
        <w:tc>
          <w:tcPr/>
          <w:p>
            <w:pPr>
              <w:pStyle w:val="Compact"/>
              <w:jc w:val="left"/>
            </w:pPr>
            <w:r>
              <w:t xml:space="preserve">Full access</w:t>
            </w:r>
          </w:p>
        </w:tc>
        <w:tc>
          <w:tcPr/>
          <w:p>
            <w:pPr>
              <w:pStyle w:val="Compact"/>
              <w:jc w:val="left"/>
            </w:pPr>
            <w:r>
              <w:t xml:space="preserve">Full access</w:t>
            </w:r>
          </w:p>
        </w:tc>
        <w:tc>
          <w:tcPr/>
          <w:p>
            <w:pPr>
              <w:pStyle w:val="Compact"/>
              <w:jc w:val="left"/>
            </w:pPr>
            <w:r>
              <w:t xml:space="preserve">Full access</w:t>
            </w:r>
          </w:p>
        </w:tc>
      </w:tr>
      <w:tr>
        <w:tc>
          <w:tcPr/>
          <w:p>
            <w:pPr>
              <w:pStyle w:val="Compact"/>
              <w:jc w:val="left"/>
            </w:pPr>
            <w:r>
              <w:rPr>
                <w:bCs/>
                <w:b/>
              </w:rPr>
              <w:t xml:space="preserve">Full reports</w:t>
            </w:r>
            <w:r>
              <w:t xml:space="preserve"> </w:t>
            </w:r>
            <w:r>
              <w:t xml:space="preserve">(2,000–4,000 words)</w:t>
            </w:r>
          </w:p>
        </w:tc>
        <w:tc>
          <w:tcPr/>
          <w:p>
            <w:pPr>
              <w:pStyle w:val="Compact"/>
              <w:jc w:val="left"/>
            </w:pPr>
            <w:r>
              <w:t xml:space="preserve">—</w:t>
            </w:r>
          </w:p>
        </w:tc>
        <w:tc>
          <w:tcPr/>
          <w:p>
            <w:pPr>
              <w:pStyle w:val="Compact"/>
              <w:jc w:val="left"/>
            </w:pPr>
            <w:r>
              <w:t xml:space="preserve">PDF download</w:t>
            </w:r>
          </w:p>
        </w:tc>
        <w:tc>
          <w:tcPr/>
          <w:p>
            <w:pPr>
              <w:pStyle w:val="Compact"/>
              <w:jc w:val="left"/>
            </w:pPr>
            <w:r>
              <w:t xml:space="preserve">PDF download</w:t>
            </w:r>
          </w:p>
        </w:tc>
        <w:tc>
          <w:tcPr/>
          <w:p>
            <w:pPr>
              <w:pStyle w:val="Compact"/>
              <w:jc w:val="left"/>
            </w:pPr>
            <w:r>
              <w:t xml:space="preserve">PDF download</w:t>
            </w:r>
          </w:p>
        </w:tc>
      </w:tr>
      <w:tr>
        <w:tc>
          <w:tcPr/>
          <w:p>
            <w:pPr>
              <w:pStyle w:val="Compact"/>
              <w:jc w:val="left"/>
            </w:pPr>
            <w:r>
              <w:rPr>
                <w:bCs/>
                <w:b/>
              </w:rPr>
              <w:t xml:space="preserve">Studies</w:t>
            </w:r>
            <w:r>
              <w:t xml:space="preserve"> </w:t>
            </w:r>
            <w:r>
              <w:t xml:space="preserve">(3,000–8,000 words + data)</w:t>
            </w:r>
          </w:p>
        </w:tc>
        <w:tc>
          <w:tcPr/>
          <w:p>
            <w:pPr>
              <w:pStyle w:val="Compact"/>
              <w:jc w:val="left"/>
            </w:pPr>
            <w:r>
              <w:t xml:space="preserve">—</w:t>
            </w:r>
          </w:p>
        </w:tc>
        <w:tc>
          <w:tcPr/>
          <w:p>
            <w:pPr>
              <w:pStyle w:val="Compact"/>
              <w:jc w:val="left"/>
            </w:pPr>
            <w:r>
              <w:t xml:space="preserve">—</w:t>
            </w:r>
          </w:p>
        </w:tc>
        <w:tc>
          <w:tcPr/>
          <w:p>
            <w:pPr>
              <w:pStyle w:val="Compact"/>
              <w:jc w:val="left"/>
            </w:pPr>
            <w:r>
              <w:t xml:space="preserve">Full access + datasets</w:t>
            </w:r>
          </w:p>
        </w:tc>
        <w:tc>
          <w:tcPr/>
          <w:p>
            <w:pPr>
              <w:pStyle w:val="Compact"/>
              <w:jc w:val="left"/>
            </w:pPr>
            <w:r>
              <w:t xml:space="preserve">Full access + datasets</w:t>
            </w:r>
          </w:p>
        </w:tc>
      </w:tr>
      <w:tr>
        <w:tc>
          <w:tcPr/>
          <w:p>
            <w:pPr>
              <w:pStyle w:val="Compact"/>
              <w:jc w:val="left"/>
            </w:pPr>
            <w:r>
              <w:rPr>
                <w:bCs/>
                <w:b/>
              </w:rPr>
              <w:t xml:space="preserve">Weekly roundup</w:t>
            </w:r>
          </w:p>
        </w:tc>
        <w:tc>
          <w:tcPr/>
          <w:p>
            <w:pPr>
              <w:pStyle w:val="Compact"/>
              <w:jc w:val="left"/>
            </w:pPr>
            <w:r>
              <w:t xml:space="preserve">Monday digest</w:t>
            </w:r>
          </w:p>
        </w:tc>
        <w:tc>
          <w:tcPr/>
          <w:p>
            <w:pPr>
              <w:pStyle w:val="Compact"/>
              <w:jc w:val="left"/>
            </w:pPr>
            <w:r>
              <w:t xml:space="preserve">Friday AM</w:t>
            </w:r>
          </w:p>
        </w:tc>
        <w:tc>
          <w:tcPr/>
          <w:p>
            <w:pPr>
              <w:pStyle w:val="Compact"/>
              <w:jc w:val="left"/>
            </w:pPr>
            <w:r>
              <w:t xml:space="preserve">Friday AM</w:t>
            </w:r>
          </w:p>
        </w:tc>
        <w:tc>
          <w:tcPr/>
          <w:p>
            <w:pPr>
              <w:pStyle w:val="Compact"/>
              <w:jc w:val="left"/>
            </w:pPr>
            <w:r>
              <w:t xml:space="preserve">Friday AM</w:t>
            </w:r>
          </w:p>
        </w:tc>
      </w:tr>
      <w:tr>
        <w:tc>
          <w:tcPr/>
          <w:p>
            <w:pPr>
              <w:pStyle w:val="Compact"/>
              <w:jc w:val="left"/>
            </w:pPr>
            <w:r>
              <w:rPr>
                <w:bCs/>
                <w:b/>
              </w:rPr>
              <w:t xml:space="preserve">Daily brief</w:t>
            </w:r>
          </w:p>
        </w:tc>
        <w:tc>
          <w:tcPr/>
          <w:p>
            <w:pPr>
              <w:pStyle w:val="Compact"/>
              <w:jc w:val="left"/>
            </w:pPr>
            <w:r>
              <w:t xml:space="preserve">—</w:t>
            </w:r>
          </w:p>
        </w:tc>
        <w:tc>
          <w:tcPr/>
          <w:p>
            <w:pPr>
              <w:pStyle w:val="Compact"/>
              <w:jc w:val="left"/>
            </w:pPr>
            <w:r>
              <w:t xml:space="preserve">Weekday AM</w:t>
            </w:r>
          </w:p>
        </w:tc>
        <w:tc>
          <w:tcPr/>
          <w:p>
            <w:pPr>
              <w:pStyle w:val="Compact"/>
              <w:jc w:val="left"/>
            </w:pPr>
            <w:r>
              <w:t xml:space="preserve">Weekday AM</w:t>
            </w:r>
          </w:p>
        </w:tc>
        <w:tc>
          <w:tcPr/>
          <w:p>
            <w:pPr>
              <w:pStyle w:val="Compact"/>
              <w:jc w:val="left"/>
            </w:pPr>
            <w:r>
              <w:t xml:space="preserve">Weekday AM</w:t>
            </w:r>
          </w:p>
        </w:tc>
      </w:tr>
      <w:tr>
        <w:tc>
          <w:tcPr/>
          <w:p>
            <w:pPr>
              <w:pStyle w:val="Compact"/>
              <w:jc w:val="left"/>
            </w:pPr>
            <w:r>
              <w:rPr>
                <w:bCs/>
                <w:b/>
              </w:rPr>
              <w:t xml:space="preserve">Flash alert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Within 4 hours</w:t>
            </w:r>
            <w:r>
              <w:t xml:space="preserve"> </w:t>
            </w:r>
            <w:r>
              <w:rPr>
                <w:vertAlign w:val="superscript"/>
              </w:rPr>
              <w:t xml:space="preserve">9</w:t>
            </w:r>
          </w:p>
        </w:tc>
      </w:tr>
      <w:tr>
        <w:tc>
          <w:tcPr/>
          <w:p>
            <w:pPr>
              <w:pStyle w:val="Compact"/>
              <w:jc w:val="left"/>
            </w:pPr>
            <w:r>
              <w:rPr>
                <w:bCs/>
                <w:b/>
              </w:rPr>
              <w:t xml:space="preserve">Opinion video clips</w:t>
            </w:r>
          </w:p>
        </w:tc>
        <w:tc>
          <w:tcPr/>
          <w:p>
            <w:pPr>
              <w:pStyle w:val="Compact"/>
              <w:jc w:val="left"/>
            </w:pPr>
            <w:r>
              <w:t xml:space="preserve">60–90 sec (YouTube)</w:t>
            </w:r>
          </w:p>
        </w:tc>
        <w:tc>
          <w:tcPr/>
          <w:p>
            <w:pPr>
              <w:pStyle w:val="Compact"/>
              <w:jc w:val="left"/>
            </w:pPr>
            <w:r>
              <w:t xml:space="preserve">60–90 sec</w:t>
            </w:r>
          </w:p>
        </w:tc>
        <w:tc>
          <w:tcPr/>
          <w:p>
            <w:pPr>
              <w:pStyle w:val="Compact"/>
              <w:jc w:val="left"/>
            </w:pPr>
            <w:r>
              <w:t xml:space="preserve">60–90 sec</w:t>
            </w:r>
          </w:p>
        </w:tc>
        <w:tc>
          <w:tcPr/>
          <w:p>
            <w:pPr>
              <w:pStyle w:val="Compact"/>
              <w:jc w:val="left"/>
            </w:pPr>
            <w:r>
              <w:t xml:space="preserve">60–90 sec</w:t>
            </w:r>
          </w:p>
        </w:tc>
      </w:tr>
      <w:tr>
        <w:tc>
          <w:tcPr/>
          <w:p>
            <w:pPr>
              <w:pStyle w:val="Compact"/>
              <w:jc w:val="left"/>
            </w:pPr>
            <w:r>
              <w:rPr>
                <w:bCs/>
                <w:b/>
              </w:rPr>
              <w:t xml:space="preserve">vAvatar briefings</w:t>
            </w:r>
          </w:p>
        </w:tc>
        <w:tc>
          <w:tcPr/>
          <w:p>
            <w:pPr>
              <w:pStyle w:val="Compact"/>
              <w:jc w:val="left"/>
            </w:pPr>
            <w:r>
              <w:t xml:space="preserve">—</w:t>
            </w:r>
          </w:p>
        </w:tc>
        <w:tc>
          <w:tcPr/>
          <w:p>
            <w:pPr>
              <w:pStyle w:val="Compact"/>
              <w:jc w:val="left"/>
            </w:pPr>
            <w:r>
              <w:t xml:space="preserve">Daily 2-min</w:t>
            </w:r>
          </w:p>
        </w:tc>
        <w:tc>
          <w:tcPr/>
          <w:p>
            <w:pPr>
              <w:pStyle w:val="Compact"/>
              <w:jc w:val="left"/>
            </w:pPr>
            <w:r>
              <w:t xml:space="preserve">Daily 2-min + weekly 10-min</w:t>
            </w:r>
          </w:p>
        </w:tc>
        <w:tc>
          <w:tcPr/>
          <w:p>
            <w:pPr>
              <w:pStyle w:val="Compact"/>
              <w:jc w:val="left"/>
            </w:pPr>
            <w:r>
              <w:t xml:space="preserve">Daily 2-min + weekly 10-min</w:t>
            </w:r>
          </w:p>
        </w:tc>
      </w:tr>
      <w:tr>
        <w:tc>
          <w:tcPr/>
          <w:p>
            <w:pPr>
              <w:pStyle w:val="Compact"/>
              <w:jc w:val="left"/>
            </w:pPr>
            <w:r>
              <w:rPr>
                <w:bCs/>
                <w:b/>
              </w:rPr>
              <w:t xml:space="preserve">Expert interview video</w:t>
            </w:r>
          </w:p>
        </w:tc>
        <w:tc>
          <w:tcPr/>
          <w:p>
            <w:pPr>
              <w:pStyle w:val="Compact"/>
              <w:jc w:val="left"/>
            </w:pPr>
            <w:r>
              <w:t xml:space="preserve">—</w:t>
            </w:r>
          </w:p>
        </w:tc>
        <w:tc>
          <w:tcPr/>
          <w:p>
            <w:pPr>
              <w:pStyle w:val="Compact"/>
              <w:jc w:val="left"/>
            </w:pPr>
            <w:r>
              <w:t xml:space="preserve">—</w:t>
            </w:r>
          </w:p>
        </w:tc>
        <w:tc>
          <w:tcPr/>
          <w:p>
            <w:pPr>
              <w:pStyle w:val="Compact"/>
              <w:jc w:val="left"/>
            </w:pPr>
            <w:r>
              <w:t xml:space="preserve">Full recording</w:t>
            </w:r>
          </w:p>
        </w:tc>
        <w:tc>
          <w:tcPr/>
          <w:p>
            <w:pPr>
              <w:pStyle w:val="Compact"/>
              <w:jc w:val="left"/>
            </w:pPr>
            <w:r>
              <w:t xml:space="preserve">Full recording</w:t>
            </w:r>
          </w:p>
        </w:tc>
      </w:tr>
      <w:tr>
        <w:tc>
          <w:tcPr/>
          <w:p>
            <w:pPr>
              <w:pStyle w:val="Compact"/>
              <w:jc w:val="left"/>
            </w:pPr>
            <w:r>
              <w:rPr>
                <w:bCs/>
                <w:b/>
              </w:rPr>
              <w:t xml:space="preserve">Live video sessions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Exclusive + on-demand 1:1</w:t>
            </w:r>
          </w:p>
        </w:tc>
      </w:tr>
      <w:tr>
        <w:tc>
          <w:tcPr/>
          <w:p>
            <w:pPr>
              <w:pStyle w:val="Compact"/>
              <w:jc w:val="left"/>
            </w:pPr>
            <w:r>
              <w:rPr>
                <w:bCs/>
                <w:b/>
              </w:rPr>
              <w:t xml:space="preserve">Interview transcript excerpts</w:t>
            </w:r>
          </w:p>
        </w:tc>
        <w:tc>
          <w:tcPr/>
          <w:p>
            <w:pPr>
              <w:pStyle w:val="Compact"/>
              <w:jc w:val="left"/>
            </w:pPr>
            <w:r>
              <w:t xml:space="preserve">200–300 words</w:t>
            </w:r>
          </w:p>
        </w:tc>
        <w:tc>
          <w:tcPr/>
          <w:p>
            <w:pPr>
              <w:pStyle w:val="Compact"/>
              <w:jc w:val="left"/>
            </w:pPr>
            <w:r>
              <w:t xml:space="preserve">200–300 words</w:t>
            </w:r>
          </w:p>
        </w:tc>
        <w:tc>
          <w:tcPr/>
          <w:p>
            <w:pPr>
              <w:pStyle w:val="Compact"/>
              <w:jc w:val="left"/>
            </w:pPr>
            <w:r>
              <w:t xml:space="preserve">200–300 words</w:t>
            </w:r>
          </w:p>
        </w:tc>
        <w:tc>
          <w:tcPr/>
          <w:p>
            <w:pPr>
              <w:pStyle w:val="Compact"/>
              <w:jc w:val="left"/>
            </w:pPr>
            <w:r>
              <w:t xml:space="preserve">200–300 words</w:t>
            </w:r>
          </w:p>
        </w:tc>
      </w:tr>
      <w:tr>
        <w:tc>
          <w:tcPr/>
          <w:p>
            <w:pPr>
              <w:pStyle w:val="Compact"/>
              <w:jc w:val="left"/>
            </w:pPr>
            <w:r>
              <w:rPr>
                <w:bCs/>
                <w:b/>
              </w:rPr>
              <w:t xml:space="preserve">Full interview transcripts</w:t>
            </w:r>
          </w:p>
        </w:tc>
        <w:tc>
          <w:tcPr/>
          <w:p>
            <w:pPr>
              <w:pStyle w:val="Compact"/>
              <w:jc w:val="left"/>
            </w:pPr>
            <w:r>
              <w:t xml:space="preserve">—</w:t>
            </w:r>
          </w:p>
        </w:tc>
        <w:tc>
          <w:tcPr/>
          <w:p>
            <w:pPr>
              <w:pStyle w:val="Compact"/>
              <w:jc w:val="left"/>
            </w:pPr>
            <w:r>
              <w:t xml:space="preserve">Full text</w:t>
            </w:r>
          </w:p>
        </w:tc>
        <w:tc>
          <w:tcPr/>
          <w:p>
            <w:pPr>
              <w:pStyle w:val="Compact"/>
              <w:jc w:val="left"/>
            </w:pPr>
            <w:r>
              <w:t xml:space="preserve">Full text</w:t>
            </w:r>
          </w:p>
        </w:tc>
        <w:tc>
          <w:tcPr/>
          <w:p>
            <w:pPr>
              <w:pStyle w:val="Compact"/>
              <w:jc w:val="left"/>
            </w:pPr>
            <w:r>
              <w:t xml:space="preserve">Full text</w:t>
            </w:r>
          </w:p>
        </w:tc>
      </w:tr>
      <w:tr>
        <w:tc>
          <w:tcPr/>
          <w:p>
            <w:pPr>
              <w:pStyle w:val="Compact"/>
              <w:jc w:val="left"/>
            </w:pPr>
            <w:r>
              <w:rPr>
                <w:bCs/>
                <w:b/>
              </w:rPr>
              <w:t xml:space="preserve">Live expert Q&amp;A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Quarterly</w:t>
            </w:r>
            <w:r>
              <w:t xml:space="preserve"> </w:t>
            </w:r>
            <w:r>
              <w:rPr>
                <w:vertAlign w:val="superscript"/>
              </w:rPr>
              <w:t xml:space="preserve">9</w:t>
            </w:r>
          </w:p>
        </w:tc>
      </w:tr>
      <w:tr>
        <w:tc>
          <w:tcPr/>
          <w:p>
            <w:pPr>
              <w:pStyle w:val="Compact"/>
              <w:jc w:val="left"/>
            </w:pPr>
            <w:r>
              <w:rPr>
                <w:bCs/>
                <w:b/>
              </w:rPr>
              <w:t xml:space="preserve">Archive depth</w:t>
            </w:r>
          </w:p>
        </w:tc>
        <w:tc>
          <w:tcPr/>
          <w:p>
            <w:pPr>
              <w:pStyle w:val="Compact"/>
              <w:jc w:val="left"/>
            </w:pPr>
            <w:r>
              <w:t xml:space="preserve">30 days rolling</w:t>
            </w:r>
          </w:p>
        </w:tc>
        <w:tc>
          <w:tcPr/>
          <w:p>
            <w:pPr>
              <w:pStyle w:val="Compact"/>
              <w:jc w:val="left"/>
            </w:pPr>
            <w:r>
              <w:t xml:space="preserve">6 months</w:t>
            </w:r>
          </w:p>
        </w:tc>
        <w:tc>
          <w:tcPr/>
          <w:p>
            <w:pPr>
              <w:pStyle w:val="Compact"/>
              <w:jc w:val="left"/>
            </w:pPr>
            <w:r>
              <w:t xml:space="preserve">2 years</w:t>
            </w:r>
          </w:p>
        </w:tc>
        <w:tc>
          <w:tcPr/>
          <w:p>
            <w:pPr>
              <w:pStyle w:val="Compact"/>
              <w:jc w:val="left"/>
            </w:pPr>
            <w:r>
              <w:t xml:space="preserve">Full (5+ years)</w:t>
            </w:r>
            <w:r>
              <w:t xml:space="preserve"> </w:t>
            </w:r>
            <w:r>
              <w:rPr>
                <w:vertAlign w:val="superscript"/>
              </w:rPr>
              <w:t xml:space="preserve">83</w:t>
            </w:r>
          </w:p>
        </w:tc>
      </w:tr>
    </w:tbl>
    <w:p>
      <w:pPr>
        <w:pStyle w:val="BodyText"/>
      </w:pPr>
      <w:r>
        <w:rPr>
          <w:iCs/>
          <w:i/>
        </w:rPr>
        <w:t xml:space="preserve">Sources: GCTI tier model</w:t>
      </w:r>
      <w:r>
        <w:rPr>
          <w:iCs/>
          <w:i/>
        </w:rPr>
        <w:t xml:space="preserve"> </w:t>
      </w:r>
      <w:r>
        <w:rPr>
          <w:vertAlign w:val="superscript"/>
          <w:iCs/>
          <w:i/>
        </w:rPr>
        <w:t xml:space="preserve">9</w:t>
      </w:r>
      <w:r>
        <w:rPr>
          <w:iCs/>
          <w:i/>
        </w:rPr>
        <w:t xml:space="preserve">; IISS Military Balance+</w:t>
      </w:r>
      <w:r>
        <w:rPr>
          <w:iCs/>
          <w:i/>
        </w:rPr>
        <w:t xml:space="preserve"> </w:t>
      </w:r>
      <w:r>
        <w:rPr>
          <w:vertAlign w:val="superscript"/>
          <w:iCs/>
          <w:i/>
        </w:rPr>
        <w:t xml:space="preserve">79</w:t>
      </w:r>
      <w:r>
        <w:rPr>
          <w:iCs/>
          <w:i/>
        </w:rPr>
        <w:t xml:space="preserve">; The Economist video strategy</w:t>
      </w:r>
      <w:r>
        <w:rPr>
          <w:iCs/>
          <w:i/>
        </w:rPr>
        <w:t xml:space="preserve"> </w:t>
      </w:r>
      <w:r>
        <w:rPr>
          <w:vertAlign w:val="superscript"/>
          <w:iCs/>
          <w:i/>
        </w:rPr>
        <w:t xml:space="preserve">81</w:t>
      </w:r>
      <w:r>
        <w:rPr>
          <w:iCs/>
          <w:i/>
        </w:rPr>
        <w:t xml:space="preserve"> </w:t>
      </w:r>
      <w:r>
        <w:rPr>
          <w:vertAlign w:val="superscript"/>
          <w:iCs/>
          <w:i/>
        </w:rPr>
        <w:t xml:space="preserve">82</w:t>
      </w:r>
      <w:r>
        <w:rPr>
          <w:iCs/>
          <w:i/>
        </w:rPr>
        <w:t xml:space="preserve">; Piano registration data</w:t>
      </w:r>
      <w:r>
        <w:rPr>
          <w:iCs/>
          <w:i/>
        </w:rPr>
        <w:t xml:space="preserve"> </w:t>
      </w:r>
      <w:r>
        <w:rPr>
          <w:vertAlign w:val="superscript"/>
          <w:iCs/>
          <w:i/>
        </w:rPr>
        <w:t xml:space="preserve">53</w:t>
      </w:r>
      <w:r>
        <w:rPr>
          <w:iCs/>
          <w:i/>
        </w:rPr>
        <w:t xml:space="preserve">; digital archive monetization</w:t>
      </w:r>
      <w:r>
        <w:rPr>
          <w:iCs/>
          <w:i/>
        </w:rPr>
        <w:t xml:space="preserve"> </w:t>
      </w:r>
      <w:r>
        <w:rPr>
          <w:vertAlign w:val="superscript"/>
          <w:iCs/>
          <w:i/>
        </w:rPr>
        <w:t xml:space="preserve">83</w:t>
      </w:r>
    </w:p>
    <w:p>
      <w:pPr>
        <w:pStyle w:val="BodyText"/>
      </w:pPr>
      <w:r>
        <w:t xml:space="preserve">The architecture encodes a simple principle: every tier adds concrete value. Free users receive opinions and summaries — enough to evaluate quality. Essential adds full reports and daily briefings — the baseline toolkit for any security professional. Professional adds studies and expert interview videos — the depth a senior analyst requires. Executive adds speed (flash alerts), live interaction, and unlimited archive — intelligence infrastructure a C-suite decision-maker cannot substitute internally. Pure-metered models fell from 35% to 9% of publishers between 2017 and 2023</w:t>
      </w:r>
      <w:r>
        <w:t xml:space="preserve"> </w:t>
      </w:r>
      <w:r>
        <w:rPr>
          <w:vertAlign w:val="superscript"/>
        </w:rPr>
        <w:t xml:space="preserve">84</w:t>
      </w:r>
      <w:r>
        <w:t xml:space="preserve">; SRC’s format-based freemium aligns with where the industry is moving.</w:t>
      </w:r>
    </w:p>
    <w:bookmarkEnd w:id="35"/>
    <w:bookmarkEnd w:id="36"/>
    <w:bookmarkStart w:id="40" w:name="the-reverse-timewall-content-cascade"/>
    <w:p>
      <w:pPr>
        <w:pStyle w:val="Heading3"/>
      </w:pPr>
      <w:r>
        <w:t xml:space="preserve">3.2 The Reverse Timewall Content Cascade</w:t>
      </w:r>
    </w:p>
    <w:bookmarkStart w:id="37" w:name="time-as-a-tier-differentiator"/>
    <w:p>
      <w:pPr>
        <w:pStyle w:val="Heading4"/>
      </w:pPr>
      <w:r>
        <w:t xml:space="preserve">3.2.1 Time as a Tier Differentiator</w:t>
      </w:r>
    </w:p>
    <w:p>
      <w:pPr>
        <w:pStyle w:val="FirstParagraph"/>
      </w:pPr>
      <w:r>
        <w:t xml:space="preserve">Traditional paywalls face structural tension: lock content too tightly and sacrifice reach; open too widely and eliminate subscription incentive. The reverse timewall makes</w:t>
      </w:r>
      <w:r>
        <w:t xml:space="preserve"> </w:t>
      </w:r>
      <w:r>
        <w:rPr>
          <w:iCs/>
          <w:i/>
        </w:rPr>
        <w:t xml:space="preserve">time</w:t>
      </w:r>
      <w:r>
        <w:t xml:space="preserve"> </w:t>
      </w:r>
      <w:r>
        <w:t xml:space="preserve">the gate. Content flows downward: Executive receives immediate access, Professional after 24 hours, Essential after 72 hours, Free after two weeks. Every tier eventually receives the same content, but higher tiers get it during the decision window when intelligence has maximum value.</w:t>
      </w:r>
    </w:p>
    <w:p>
      <w:pPr>
        <w:pStyle w:val="BodyText"/>
      </w:pPr>
      <w:r>
        <w:t xml:space="preserve">Two proven implementations validate the model. BoiseDev gives paying members first newsletter access, then publishes 24 hours later — generating</w:t>
      </w:r>
      <w:r>
        <w:t xml:space="preserve"> </w:t>
      </w:r>
      <w:r>
        <w:t xml:space="preserve">“</w:t>
      </w:r>
      <w:r>
        <w:t xml:space="preserve">tens of thousands of dollars in reader revenue without locking the public out of a single article</w:t>
      </w:r>
      <w:r>
        <w:t xml:space="preserve">”</w:t>
      </w:r>
      <w:r>
        <w:t xml:space="preserve"> </w:t>
      </w:r>
      <w:r>
        <w:rPr>
          <w:vertAlign w:val="superscript"/>
        </w:rPr>
        <w:t xml:space="preserve">85</w:t>
      </w:r>
      <w:r>
        <w:t xml:space="preserve">. Mittmedia made content free for the first hour, then premium-only, achieving a 20% conversion increase</w:t>
      </w:r>
      <w:r>
        <w:t xml:space="preserve"> </w:t>
      </w:r>
      <w:r>
        <w:rPr>
          <w:vertAlign w:val="superscript"/>
        </w:rPr>
        <w:t xml:space="preserve">85</w:t>
      </w:r>
      <w:r>
        <w:t xml:space="preserve">. Both confirm: subscribers pay for temporal advantage even when content eventually becomes free. The reverse timewall is simultaneously a scarcity mechanism (higher tiers get first access) and a reach mechanism (content eventually becomes free) — resolving the central tension of paywall design.</w:t>
      </w:r>
    </w:p>
    <w:p>
      <w:pPr>
        <w:pStyle w:val="BodyText"/>
      </w:pPr>
      <w:r>
        <w:t xml:space="preserve">For SRC, a breaking event triggers a flash alert for Executive within 4 hours</w:t>
      </w:r>
      <w:r>
        <w:t xml:space="preserve"> </w:t>
      </w:r>
      <w:r>
        <w:rPr>
          <w:vertAlign w:val="superscript"/>
        </w:rPr>
        <w:t xml:space="preserve">80</w:t>
      </w:r>
      <w:r>
        <w:t xml:space="preserve">. After 24 hours, expanded context becomes available to Professional. After 72 hours, Essential receives a synthesized daily brief. Free users encounter the story in the weekly roundup. This cascade transforms one analytical product into four tier experiences without four production workflows.</w:t>
      </w:r>
    </w:p>
    <w:bookmarkEnd w:id="37"/>
    <w:bookmarkStart w:id="38" w:name="breaking-news-speed-ladder"/>
    <w:p>
      <w:pPr>
        <w:pStyle w:val="Heading4"/>
      </w:pPr>
      <w:r>
        <w:t xml:space="preserve">3.2.2 Breaking News Speed Ladder</w:t>
      </w:r>
    </w:p>
    <w:p>
      <w:pPr>
        <w:pStyle w:val="FirstParagraph"/>
      </w:pPr>
      <w:r>
        <w:t xml:space="preserve">In security and resilience, speed is mission-critical. Seerist, deployed across the U.S. DoD and 500+ private organizations, monitors 6.8 million OSINT sources in real-time with human validation</w:t>
      </w:r>
      <w:r>
        <w:t xml:space="preserve"> </w:t>
      </w:r>
      <w:r>
        <w:rPr>
          <w:vertAlign w:val="superscript"/>
        </w:rPr>
        <w:t xml:space="preserve">86</w:t>
      </w:r>
      <w:r>
        <w:t xml:space="preserve"> </w:t>
      </w:r>
      <w:r>
        <w:rPr>
          <w:vertAlign w:val="superscript"/>
        </w:rPr>
        <w:t xml:space="preserve">87</w:t>
      </w:r>
      <w:r>
        <w:t xml:space="preserve">. AI-assisted alerts move from detection to publication in under 25 minutes, reducing error rates from 15% to 3%</w:t>
      </w:r>
      <w:r>
        <w:t xml:space="preserve"> </w:t>
      </w:r>
      <w:r>
        <w:rPr>
          <w:vertAlign w:val="superscript"/>
        </w:rPr>
        <w:t xml:space="preserve">88</w:t>
      </w:r>
      <w:r>
        <w:t xml:space="preserve">. SRC’s speed ladder gives each class appropriate velocity without overwhelming lower tiers.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Content Type</w:t>
            </w:r>
          </w:p>
        </w:tc>
        <w:tc>
          <w:tcPr/>
          <w:p>
            <w:pPr>
              <w:pStyle w:val="Compact"/>
              <w:jc w:val="left"/>
            </w:pPr>
            <w:r>
              <w:t xml:space="preserve">Executive</w:t>
            </w:r>
          </w:p>
        </w:tc>
        <w:tc>
          <w:tcPr/>
          <w:p>
            <w:pPr>
              <w:pStyle w:val="Compact"/>
              <w:jc w:val="left"/>
            </w:pPr>
            <w:r>
              <w:t xml:space="preserve">Professional</w:t>
            </w:r>
          </w:p>
        </w:tc>
        <w:tc>
          <w:tcPr/>
          <w:p>
            <w:pPr>
              <w:pStyle w:val="Compact"/>
              <w:jc w:val="left"/>
            </w:pPr>
            <w:r>
              <w:t xml:space="preserve">Essential</w:t>
            </w:r>
          </w:p>
        </w:tc>
        <w:tc>
          <w:tcPr/>
          <w:p>
            <w:pPr>
              <w:pStyle w:val="Compact"/>
              <w:jc w:val="left"/>
            </w:pPr>
            <w:r>
              <w:t xml:space="preserve">Free</w:t>
            </w:r>
          </w:p>
        </w:tc>
      </w:tr>
      <w:tr>
        <w:tc>
          <w:tcPr/>
          <w:p>
            <w:pPr>
              <w:pStyle w:val="Compact"/>
              <w:jc w:val="left"/>
            </w:pPr>
            <w:r>
              <w:rPr>
                <w:bCs/>
                <w:b/>
              </w:rPr>
              <w:t xml:space="preserve">Flash alert</w:t>
            </w:r>
            <w:r>
              <w:t xml:space="preserve"> </w:t>
            </w:r>
            <w:r>
              <w:t xml:space="preserve">(50–100 words)</w:t>
            </w:r>
          </w:p>
        </w:tc>
        <w:tc>
          <w:tcPr/>
          <w:p>
            <w:pPr>
              <w:pStyle w:val="Compact"/>
              <w:jc w:val="left"/>
            </w:pPr>
            <w:r>
              <w:t xml:space="preserve">Immediate</w:t>
            </w:r>
            <w:r>
              <w:t xml:space="preserve"> </w:t>
            </w:r>
            <w:r>
              <w:rPr>
                <w:vertAlign w:val="superscript"/>
              </w:rPr>
              <w:t xml:space="preserve">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Breaking brief</w:t>
            </w:r>
            <w:r>
              <w:t xml:space="preserve"> </w:t>
            </w:r>
            <w:r>
              <w:t xml:space="preserve">(150–250 words)</w:t>
            </w:r>
          </w:p>
        </w:tc>
        <w:tc>
          <w:tcPr/>
          <w:p>
            <w:pPr>
              <w:pStyle w:val="Compact"/>
              <w:jc w:val="left"/>
            </w:pPr>
            <w:r>
              <w:t xml:space="preserve">Immediate</w:t>
            </w:r>
          </w:p>
        </w:tc>
        <w:tc>
          <w:tcPr/>
          <w:p>
            <w:pPr>
              <w:pStyle w:val="Compact"/>
              <w:jc w:val="left"/>
            </w:pPr>
            <w:r>
              <w:t xml:space="preserve">+24 hours</w:t>
            </w:r>
            <w:r>
              <w:t xml:space="preserve"> </w:t>
            </w:r>
            <w:r>
              <w:rPr>
                <w:vertAlign w:val="superscript"/>
              </w:rPr>
              <w:t xml:space="preserve">85</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Daily morning brief</w:t>
            </w:r>
          </w:p>
        </w:tc>
        <w:tc>
          <w:tcPr/>
          <w:p>
            <w:pPr>
              <w:pStyle w:val="Compact"/>
              <w:jc w:val="left"/>
            </w:pPr>
            <w:r>
              <w:t xml:space="preserve">06:00 CET</w:t>
            </w:r>
          </w:p>
        </w:tc>
        <w:tc>
          <w:tcPr/>
          <w:p>
            <w:pPr>
              <w:pStyle w:val="Compact"/>
              <w:jc w:val="left"/>
            </w:pPr>
            <w:r>
              <w:t xml:space="preserve">06:00 CET</w:t>
            </w:r>
          </w:p>
        </w:tc>
        <w:tc>
          <w:tcPr/>
          <w:p>
            <w:pPr>
              <w:pStyle w:val="Compact"/>
              <w:jc w:val="left"/>
            </w:pPr>
            <w:r>
              <w:t xml:space="preserve">06:00 CET</w:t>
            </w:r>
          </w:p>
        </w:tc>
        <w:tc>
          <w:tcPr/>
          <w:p>
            <w:pPr>
              <w:pStyle w:val="Compact"/>
              <w:jc w:val="left"/>
            </w:pPr>
            <w:r>
              <w:t xml:space="preserve">Next day</w:t>
            </w:r>
          </w:p>
        </w:tc>
      </w:tr>
      <w:tr>
        <w:tc>
          <w:tcPr/>
          <w:p>
            <w:pPr>
              <w:pStyle w:val="Compact"/>
              <w:jc w:val="left"/>
            </w:pPr>
            <w:r>
              <w:rPr>
                <w:bCs/>
                <w:b/>
              </w:rPr>
              <w:t xml:space="preserve">Incident analysis</w:t>
            </w:r>
            <w:r>
              <w:t xml:space="preserve"> </w:t>
            </w:r>
            <w:r>
              <w:t xml:space="preserve">(500–800 words)</w:t>
            </w:r>
          </w:p>
        </w:tc>
        <w:tc>
          <w:tcPr/>
          <w:p>
            <w:pPr>
              <w:pStyle w:val="Compact"/>
              <w:jc w:val="left"/>
            </w:pPr>
            <w:r>
              <w:t xml:space="preserve">Immediate</w:t>
            </w:r>
          </w:p>
        </w:tc>
        <w:tc>
          <w:tcPr/>
          <w:p>
            <w:pPr>
              <w:pStyle w:val="Compact"/>
              <w:jc w:val="left"/>
            </w:pPr>
            <w:r>
              <w:t xml:space="preserve">+24 hours</w:t>
            </w:r>
          </w:p>
        </w:tc>
        <w:tc>
          <w:tcPr/>
          <w:p>
            <w:pPr>
              <w:pStyle w:val="Compact"/>
              <w:jc w:val="left"/>
            </w:pPr>
            <w:r>
              <w:t xml:space="preserve">+72 hours</w:t>
            </w:r>
          </w:p>
        </w:tc>
        <w:tc>
          <w:tcPr/>
          <w:p>
            <w:pPr>
              <w:pStyle w:val="Compact"/>
              <w:jc w:val="left"/>
            </w:pPr>
            <w:r>
              <w:t xml:space="preserve">+2 weeks</w:t>
            </w:r>
            <w:r>
              <w:t xml:space="preserve"> </w:t>
            </w:r>
            <w:r>
              <w:rPr>
                <w:vertAlign w:val="superscript"/>
              </w:rPr>
              <w:t xml:space="preserve">9</w:t>
            </w:r>
          </w:p>
        </w:tc>
      </w:tr>
      <w:tr>
        <w:tc>
          <w:tcPr/>
          <w:p>
            <w:pPr>
              <w:pStyle w:val="Compact"/>
              <w:jc w:val="left"/>
            </w:pPr>
            <w:r>
              <w:rPr>
                <w:bCs/>
                <w:b/>
              </w:rPr>
              <w:t xml:space="preserve">Deep research brief</w:t>
            </w:r>
            <w:r>
              <w:t xml:space="preserve"> </w:t>
            </w:r>
            <w:r>
              <w:t xml:space="preserve">(1,500–2,500 words)</w:t>
            </w:r>
          </w:p>
        </w:tc>
        <w:tc>
          <w:tcPr/>
          <w:p>
            <w:pPr>
              <w:pStyle w:val="Compact"/>
              <w:jc w:val="left"/>
            </w:pPr>
            <w:r>
              <w:t xml:space="preserve">Immediate</w:t>
            </w:r>
          </w:p>
        </w:tc>
        <w:tc>
          <w:tcPr/>
          <w:p>
            <w:pPr>
              <w:pStyle w:val="Compact"/>
              <w:jc w:val="left"/>
            </w:pPr>
            <w:r>
              <w:t xml:space="preserve">+48 hours</w:t>
            </w:r>
          </w:p>
        </w:tc>
        <w:tc>
          <w:tcPr/>
          <w:p>
            <w:pPr>
              <w:pStyle w:val="Compact"/>
              <w:jc w:val="left"/>
            </w:pPr>
            <w:r>
              <w:t xml:space="preserve">+1 week</w:t>
            </w:r>
          </w:p>
        </w:tc>
        <w:tc>
          <w:tcPr/>
          <w:p>
            <w:pPr>
              <w:pStyle w:val="Compact"/>
              <w:jc w:val="left"/>
            </w:pPr>
            <w:r>
              <w:t xml:space="preserve">+2 weeks</w:t>
            </w:r>
          </w:p>
        </w:tc>
      </w:tr>
      <w:tr>
        <w:tc>
          <w:tcPr/>
          <w:p>
            <w:pPr>
              <w:pStyle w:val="Compact"/>
              <w:jc w:val="left"/>
            </w:pPr>
            <w:r>
              <w:rPr>
                <w:bCs/>
                <w:b/>
              </w:rPr>
              <w:t xml:space="preserve">Weekly roundup</w:t>
            </w:r>
          </w:p>
        </w:tc>
        <w:tc>
          <w:tcPr/>
          <w:p>
            <w:pPr>
              <w:pStyle w:val="Compact"/>
              <w:jc w:val="left"/>
            </w:pPr>
            <w:r>
              <w:t xml:space="preserve">Friday AM</w:t>
            </w:r>
          </w:p>
        </w:tc>
        <w:tc>
          <w:tcPr/>
          <w:p>
            <w:pPr>
              <w:pStyle w:val="Compact"/>
              <w:jc w:val="left"/>
            </w:pPr>
            <w:r>
              <w:t xml:space="preserve">Friday AM</w:t>
            </w:r>
          </w:p>
        </w:tc>
        <w:tc>
          <w:tcPr/>
          <w:p>
            <w:pPr>
              <w:pStyle w:val="Compact"/>
              <w:jc w:val="left"/>
            </w:pPr>
            <w:r>
              <w:t xml:space="preserve">Friday AM</w:t>
            </w:r>
          </w:p>
        </w:tc>
        <w:tc>
          <w:tcPr/>
          <w:p>
            <w:pPr>
              <w:pStyle w:val="Compact"/>
              <w:jc w:val="left"/>
            </w:pPr>
            <w:r>
              <w:t xml:space="preserve">Monday AM</w:t>
            </w:r>
          </w:p>
        </w:tc>
      </w:tr>
    </w:tbl>
    <w:p>
      <w:pPr>
        <w:pStyle w:val="BodyText"/>
      </w:pPr>
      <w:r>
        <w:rPr>
          <w:iCs/>
          <w:i/>
        </w:rPr>
        <w:t xml:space="preserve">Sources: BoiseDev timewall model</w:t>
      </w:r>
      <w:r>
        <w:rPr>
          <w:iCs/>
          <w:i/>
        </w:rPr>
        <w:t xml:space="preserve"> </w:t>
      </w:r>
      <w:r>
        <w:rPr>
          <w:vertAlign w:val="superscript"/>
          <w:iCs/>
          <w:i/>
        </w:rPr>
        <w:t xml:space="preserve">85</w:t>
      </w:r>
      <w:r>
        <w:rPr>
          <w:iCs/>
          <w:i/>
        </w:rPr>
        <w:t xml:space="preserve">; Mittmedia reverse paywall</w:t>
      </w:r>
      <w:r>
        <w:rPr>
          <w:iCs/>
          <w:i/>
        </w:rPr>
        <w:t xml:space="preserve"> </w:t>
      </w:r>
      <w:r>
        <w:rPr>
          <w:vertAlign w:val="superscript"/>
          <w:iCs/>
          <w:i/>
        </w:rPr>
        <w:t xml:space="preserve">85</w:t>
      </w:r>
      <w:r>
        <w:rPr>
          <w:iCs/>
          <w:i/>
        </w:rPr>
        <w:t xml:space="preserve">; GCTI tier alerts</w:t>
      </w:r>
      <w:r>
        <w:rPr>
          <w:iCs/>
          <w:i/>
        </w:rPr>
        <w:t xml:space="preserve"> </w:t>
      </w:r>
      <w:r>
        <w:rPr>
          <w:vertAlign w:val="superscript"/>
          <w:iCs/>
          <w:i/>
        </w:rPr>
        <w:t xml:space="preserve">9</w:t>
      </w:r>
      <w:r>
        <w:rPr>
          <w:iCs/>
          <w:i/>
        </w:rPr>
        <w:t xml:space="preserve">; Reuters alert taxonomy</w:t>
      </w:r>
      <w:r>
        <w:rPr>
          <w:iCs/>
          <w:i/>
        </w:rPr>
        <w:t xml:space="preserve"> </w:t>
      </w:r>
      <w:r>
        <w:rPr>
          <w:vertAlign w:val="superscript"/>
          <w:iCs/>
          <w:i/>
        </w:rPr>
        <w:t xml:space="preserve">80</w:t>
      </w:r>
    </w:p>
    <w:p>
      <w:pPr>
        <w:pStyle w:val="BodyText"/>
      </w:pPr>
      <w:r>
        <w:t xml:space="preserve">The psychology is well-documented: Mittmedia found only 20% of converting subscribers acted in the first hour —</w:t>
      </w:r>
      <w:r>
        <w:t xml:space="preserve"> </w:t>
      </w:r>
      <w:r>
        <w:t xml:space="preserve">“</w:t>
      </w:r>
      <w:r>
        <w:t xml:space="preserve">the paid content business is the long-tail business model</w:t>
      </w:r>
      <w:r>
        <w:t xml:space="preserve">”</w:t>
      </w:r>
      <w:r>
        <w:t xml:space="preserve"> </w:t>
      </w:r>
      <w:r>
        <w:rPr>
          <w:vertAlign w:val="superscript"/>
        </w:rPr>
        <w:t xml:space="preserve">85</w:t>
      </w:r>
      <w:r>
        <w:t xml:space="preserve">. Each tier delay demonstrates what the subscriber is missing. Time-gating also protects lower-tier subscribers from alert fatigue: push data shows 1 push per week causes 10% to disable notifications, while 3–6 per week causes 40% opt-out if irrelevant</w:t>
      </w:r>
      <w:r>
        <w:t xml:space="preserve"> </w:t>
      </w:r>
      <w:r>
        <w:rPr>
          <w:vertAlign w:val="superscript"/>
        </w:rPr>
        <w:t xml:space="preserve">89</w:t>
      </w:r>
      <w:r>
        <w:t xml:space="preserve">. Advanced targeting improves reaction rates by 300%, personalization by 400%</w:t>
      </w:r>
      <w:r>
        <w:t xml:space="preserve"> </w:t>
      </w:r>
      <w:r>
        <w:rPr>
          <w:vertAlign w:val="superscript"/>
        </w:rPr>
        <w:t xml:space="preserve">89</w:t>
      </w:r>
      <w:r>
        <w:t xml:space="preserve">. SRC should enforce strict caps: Executive receives unlimited customizable alerts; Professional up to 5 critical alerts weekly; lower tiers receive weekly digests only. The S&amp;P Capital IQ Pro model — keyword alerts filtered by industry and geography — provides the benchmark</w:t>
      </w:r>
      <w:r>
        <w:t xml:space="preserve"> </w:t>
      </w:r>
      <w:r>
        <w:rPr>
          <w:vertAlign w:val="superscript"/>
        </w:rPr>
        <w:t xml:space="preserve">90</w:t>
      </w:r>
      <w:r>
        <w:t xml:space="preserve">.</w:t>
      </w:r>
    </w:p>
    <w:bookmarkEnd w:id="38"/>
    <w:bookmarkStart w:id="39" w:name="content-freshness-and-archive-gating"/>
    <w:p>
      <w:pPr>
        <w:pStyle w:val="Heading4"/>
      </w:pPr>
      <w:r>
        <w:t xml:space="preserve">3.2.3 Content Freshness and Archive Gating</w:t>
      </w:r>
    </w:p>
    <w:p>
      <w:pPr>
        <w:pStyle w:val="FirstParagraph"/>
      </w:pPr>
      <w:r>
        <w:t xml:space="preserve">Beyond the reverse timewall, SRC should implement a rolling freshness gate: new publications remain free for 30 days to maximize SEO and social sharing, then shift to subscription-only for full PDF access</w:t>
      </w:r>
      <w:r>
        <w:t xml:space="preserve"> </w:t>
      </w:r>
      <w:r>
        <w:rPr>
          <w:vertAlign w:val="superscript"/>
        </w:rPr>
        <w:t xml:space="preserve">83</w:t>
      </w:r>
      <w:r>
        <w:t xml:space="preserve">. This</w:t>
      </w:r>
      <w:r>
        <w:t xml:space="preserve"> </w:t>
      </w:r>
      <w:r>
        <w:t xml:space="preserve">“</w:t>
      </w:r>
      <w:r>
        <w:t xml:space="preserve">latest free, archive paid</w:t>
      </w:r>
      <w:r>
        <w:t xml:space="preserve">”</w:t>
      </w:r>
      <w:r>
        <w:t xml:space="preserve"> </w:t>
      </w:r>
      <w:r>
        <w:t xml:space="preserve">model positions fresh analysis as accessible while monetizing historical depth. Landmark flagship reports — such as an annual</w:t>
      </w:r>
      <w:r>
        <w:t xml:space="preserve"> </w:t>
      </w:r>
      <w:r>
        <w:t xml:space="preserve">“</w:t>
      </w:r>
      <w:r>
        <w:t xml:space="preserve">Swiss Security Review</w:t>
      </w:r>
      <w:r>
        <w:t xml:space="preserve">”</w:t>
      </w:r>
      <w:r>
        <w:t xml:space="preserve"> </w:t>
      </w:r>
      <w:r>
        <w:t xml:space="preserve">— should remain permanently free as evergreen audience builders that compound search value over years.</w:t>
      </w:r>
    </w:p>
    <w:bookmarkEnd w:id="39"/>
    <w:bookmarkEnd w:id="40"/>
    <w:bookmarkStart w:id="46" w:name="vavatar-video-section-strategy"/>
    <w:p>
      <w:pPr>
        <w:pStyle w:val="Heading3"/>
      </w:pPr>
      <w:r>
        <w:t xml:space="preserve">3.3 vAvatar Video Section Strategy</w:t>
      </w:r>
    </w:p>
    <w:bookmarkStart w:id="41" w:name="Xcaae7c537b4831235d0884841c4332a97e9671e"/>
    <w:p>
      <w:pPr>
        <w:pStyle w:val="Heading4"/>
      </w:pPr>
      <w:r>
        <w:t xml:space="preserve">3.3.1 The Hybrid Model: AI Scale + Human Credibility</w:t>
      </w:r>
    </w:p>
    <w:p>
      <w:pPr>
        <w:pStyle w:val="FirstParagraph"/>
      </w:pPr>
      <w:r>
        <w:t xml:space="preserve">SRC’s video architecture rests on an 80/20 split: AI avatars deliver 80% of video — daily briefings, weekly analyses, multilingual delivery — while human experts appear for 20% comprising premium interviews, crisis content, and live Executive sessions. Industry projections forecast 80% of business video will be AI-generated by 2026</w:t>
      </w:r>
      <w:r>
        <w:t xml:space="preserve"> </w:t>
      </w:r>
      <w:r>
        <w:rPr>
          <w:vertAlign w:val="superscript"/>
        </w:rPr>
        <w:t xml:space="preserve">91</w:t>
      </w:r>
      <w:r>
        <w:t xml:space="preserve">.</w:t>
      </w:r>
    </w:p>
    <w:p>
      <w:pPr>
        <w:pStyle w:val="BodyText"/>
      </w:pPr>
      <w:r>
        <w:t xml:space="preserve">This split is trust-calibrated. Schilke &amp; Reimann (2025) demonstrate across 13 experiments that AI disclosure erodes trust regardless of framing</w:t>
      </w:r>
      <w:r>
        <w:t xml:space="preserve"> </w:t>
      </w:r>
      <w:r>
        <w:rPr>
          <w:vertAlign w:val="superscript"/>
        </w:rPr>
        <w:t xml:space="preserve">13</w:t>
      </w:r>
      <w:r>
        <w:t xml:space="preserve">— the</w:t>
      </w:r>
      <w:r>
        <w:t xml:space="preserve"> </w:t>
      </w:r>
      <w:r>
        <w:t xml:space="preserve">“</w:t>
      </w:r>
      <w:r>
        <w:t xml:space="preserve">transparency paradox</w:t>
      </w:r>
      <w:r>
        <w:t xml:space="preserve">”</w:t>
      </w:r>
      <w:r>
        <w:t xml:space="preserve"> </w:t>
      </w:r>
      <w:r>
        <w:t xml:space="preserve">where honest actors are penalized</w:t>
      </w:r>
      <w:r>
        <w:t xml:space="preserve"> </w:t>
      </w:r>
      <w:r>
        <w:rPr>
          <w:vertAlign w:val="superscript"/>
        </w:rPr>
        <w:t xml:space="preserve">92</w:t>
      </w:r>
      <w:r>
        <w:t xml:space="preserve">. The solution is</w:t>
      </w:r>
      <w:r>
        <w:t xml:space="preserve"> </w:t>
      </w:r>
      <w:r>
        <w:t xml:space="preserve">“</w:t>
      </w:r>
      <w:r>
        <w:t xml:space="preserve">AI-delivered, expert-curated</w:t>
      </w:r>
      <w:r>
        <w:t xml:space="preserve">”</w:t>
      </w:r>
      <w:r>
        <w:t xml:space="preserve"> </w:t>
      </w:r>
      <w:r>
        <w:t xml:space="preserve">framing: AI produces, human experts validate every script and attach credentials. EU AI Act Article 50(4) exempts human-reviewed content from disclosure requirements</w:t>
      </w:r>
      <w:r>
        <w:t xml:space="preserve"> </w:t>
      </w:r>
      <w:r>
        <w:rPr>
          <w:vertAlign w:val="superscript"/>
        </w:rPr>
        <w:t xml:space="preserve">93</w:t>
      </w:r>
      <w:r>
        <w:t xml:space="preserve"> </w:t>
      </w:r>
      <w:r>
        <w:rPr>
          <w:vertAlign w:val="superscript"/>
        </w:rPr>
        <w:t xml:space="preserve">94</w:t>
      </w:r>
      <w:r>
        <w:t xml:space="preserve">, but voluntary disclosure builds trust differentiation that competitors relying on opaque AI generation cannot match.</w:t>
      </w:r>
    </w:p>
    <w:bookmarkEnd w:id="41"/>
    <w:bookmarkStart w:id="42" w:name="X09ac88ee538df7dc2bccaa02251208e8791eadb"/>
    <w:p>
      <w:pPr>
        <w:pStyle w:val="Heading4"/>
      </w:pPr>
      <w:r>
        <w:t xml:space="preserve">3.3.2 Technology Stack and Production Economics</w:t>
      </w:r>
    </w:p>
    <w:p>
      <w:pPr>
        <w:pStyle w:val="FirstParagraph"/>
      </w:pPr>
      <w:r>
        <w:t xml:space="preserve">Synthesia is the primary platform: 140+ languages, SOC 2 Type II and ISO 42001 certifications, 4.1/5 lip-sync for French and German — the highest European-language score</w:t>
      </w:r>
      <w:r>
        <w:t xml:space="preserve"> </w:t>
      </w:r>
      <w:r>
        <w:rPr>
          <w:vertAlign w:val="superscript"/>
        </w:rPr>
        <w:t xml:space="preserve">2</w:t>
      </w:r>
      <w:r>
        <w:t xml:space="preserve"> </w:t>
      </w:r>
      <w:r>
        <w:rPr>
          <w:vertAlign w:val="superscript"/>
        </w:rPr>
        <w:t xml:space="preserve">95</w:t>
      </w:r>
      <w:r>
        <w:t xml:space="preserve"> </w:t>
      </w:r>
      <w:r>
        <w:rPr>
          <w:vertAlign w:val="superscript"/>
        </w:rPr>
        <w:t xml:space="preserve">12</w:t>
      </w:r>
      <w:r>
        <w:t xml:space="preserve">. HeyGen serves as secondary for English-first social content: 175+ languages, 94% overall lip-sync, 80% Fortune 100 adoption</w:t>
      </w:r>
      <w:r>
        <w:t xml:space="preserve"> </w:t>
      </w:r>
      <w:r>
        <w:rPr>
          <w:vertAlign w:val="superscript"/>
        </w:rPr>
        <w:t xml:space="preserve">3</w:t>
      </w:r>
      <w:r>
        <w:t xml:space="preserve"> </w:t>
      </w:r>
      <w:r>
        <w:rPr>
          <w:vertAlign w:val="superscript"/>
        </w:rPr>
        <w:t xml:space="preserve">96</w:t>
      </w:r>
      <w:r>
        <w:t xml:space="preserve">, though its European language score of 3.7/5 falls below Synthesia</w:t>
      </w:r>
      <w:r>
        <w:t xml:space="preserve"> </w:t>
      </w:r>
      <w:r>
        <w:rPr>
          <w:vertAlign w:val="superscript"/>
        </w:rPr>
        <w:t xml:space="preserve">12</w:t>
      </w:r>
      <w:r>
        <w:t xml:space="preserve">.</w:t>
      </w:r>
    </w:p>
    <w:p>
      <w:pPr>
        <w:pStyle w:val="BodyText"/>
      </w:pPr>
      <w:r>
        <w:t xml:space="preserve">Cost compression is dramatic: AI at $0.59–$2.90 per minute</w:t>
      </w:r>
      <w:r>
        <w:t xml:space="preserve"> </w:t>
      </w:r>
      <w:r>
        <w:rPr>
          <w:vertAlign w:val="superscript"/>
        </w:rPr>
        <w:t xml:space="preserve">3</w:t>
      </w:r>
      <w:r>
        <w:t xml:space="preserve">versus $1,000–$10,000+ traditional. A 90-second daily briefing via Synthesia costs ~$2.70; on-location with a human expert costs $500–$2,000. At 250 episodes annually, AI saves $125,000–$500,000 while enabling multilingual delivery prohibitively expensive with human presenters.</w:t>
      </w:r>
    </w:p>
    <w:bookmarkEnd w:id="42"/>
    <w:bookmarkStart w:id="43" w:name="video-length-and-format-specifications"/>
    <w:p>
      <w:pPr>
        <w:pStyle w:val="Heading4"/>
      </w:pPr>
      <w:r>
        <w:t xml:space="preserve">3.3.3 Video Length and Format Specifications</w:t>
      </w:r>
    </w:p>
    <w:p>
      <w:pPr>
        <w:pStyle w:val="FirstParagraph"/>
      </w:pPr>
      <w:r>
        <w:t xml:space="preserve">Engagement data defines strict boundaries: 70% retention under 2 minutes, dropping below 50% beyond</w:t>
      </w:r>
      <w:r>
        <w:t xml:space="preserve"> </w:t>
      </w:r>
      <w:r>
        <w:rPr>
          <w:vertAlign w:val="superscript"/>
        </w:rPr>
        <w:t xml:space="preserve">11</w:t>
      </w:r>
      <w:r>
        <w:t xml:space="preserve">; 62% completion under 1 minute</w:t>
      </w:r>
      <w:r>
        <w:t xml:space="preserve"> </w:t>
      </w:r>
      <w:r>
        <w:rPr>
          <w:vertAlign w:val="superscript"/>
        </w:rPr>
        <w:t xml:space="preserve">97</w:t>
      </w:r>
      <w:r>
        <w:t xml:space="preserve">; YouTube sweet spot at 7–10 minutes</w:t>
      </w:r>
      <w:r>
        <w:t xml:space="preserve"> </w:t>
      </w:r>
      <w:r>
        <w:rPr>
          <w:vertAlign w:val="superscript"/>
        </w:rPr>
        <w:t xml:space="preserve">98</w:t>
      </w:r>
      <w:r>
        <w:t xml:space="preserve">. SRC should match length to tier: Free clips at 60–90 seconds; Essential daily briefings at 90–120 seconds; Professional weekly analysis at 7–10 minutes; Executive live sessions at 30–60 minutes. Crisis alerts compress to 60–90 seconds — urgency demands brevity.</w:t>
      </w:r>
    </w:p>
    <w:bookmarkEnd w:id="43"/>
    <w:bookmarkStart w:id="44" w:name="Xbaa5284377f59233b1fd9edf082c7f12db33ae4"/>
    <w:p>
      <w:pPr>
        <w:pStyle w:val="Heading4"/>
      </w:pPr>
      <w:r>
        <w:t xml:space="preserve">3.3.4 Multilingual Delivery: Four Languages, Marginal Cost</w:t>
      </w:r>
    </w:p>
    <w:p>
      <w:pPr>
        <w:pStyle w:val="FirstParagraph"/>
      </w:pPr>
      <w:r>
        <w:t xml:space="preserve">Switzerland’s quadrilingual reality is structural advantage. Synthesia translates, dubs, and lip-syncs a 3-minute video into 10 languages within one hour versus 2–4 weeks traditionally</w:t>
      </w:r>
      <w:r>
        <w:t xml:space="preserve"> </w:t>
      </w:r>
      <w:r>
        <w:rPr>
          <w:vertAlign w:val="superscript"/>
        </w:rPr>
        <w:t xml:space="preserve">99</w:t>
      </w:r>
      <w:r>
        <w:t xml:space="preserve">. Deloitte deployed across 40 countries using AI localization, cutting delivery from 3 weeks to 1 day</w:t>
      </w:r>
      <w:r>
        <w:t xml:space="preserve"> </w:t>
      </w:r>
      <w:r>
        <w:rPr>
          <w:vertAlign w:val="superscript"/>
        </w:rPr>
        <w:t xml:space="preserve">100</w:t>
      </w:r>
      <w:r>
        <w:t xml:space="preserve">. AI localization reduces costs ~80% versus traditional dubbing ($5,000–$20,000 per language traditional versus pennies with AI)</w:t>
      </w:r>
      <w:r>
        <w:t xml:space="preserve"> </w:t>
      </w:r>
      <w:r>
        <w:rPr>
          <w:vertAlign w:val="superscript"/>
        </w:rPr>
        <w:t xml:space="preserve">101</w:t>
      </w:r>
      <w:r>
        <w:t xml:space="preserve"> </w:t>
      </w:r>
      <w:r>
        <w:rPr>
          <w:vertAlign w:val="superscript"/>
        </w:rPr>
        <w:t xml:space="preserve">100</w:t>
      </w:r>
      <w:r>
        <w:t xml:space="preserve">. A weekly briefing delivered simultaneously in German, French, Italian, and English reaches 4x the audience at marginal cost. European language pairs produce the most polished AI dubbing results at quality score 6–7 on a 10-point professional scale</w:t>
      </w:r>
      <w:r>
        <w:t xml:space="preserve"> </w:t>
      </w:r>
      <w:r>
        <w:rPr>
          <w:vertAlign w:val="superscript"/>
        </w:rPr>
        <w:t xml:space="preserve">102</w:t>
      </w:r>
      <w:r>
        <w:t xml:space="preserve">. Multilingual briefings should be a Professional+ feature — genuine exclusivity no Anglo think tank can match.</w:t>
      </w:r>
    </w:p>
    <w:bookmarkEnd w:id="44"/>
    <w:bookmarkStart w:id="45" w:name="video-types-by-tier"/>
    <w:p>
      <w:pPr>
        <w:pStyle w:val="Heading4"/>
      </w:pPr>
      <w:r>
        <w:t xml:space="preserve">3.3.5 Video Types by Tier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Video Type</w:t>
            </w:r>
          </w:p>
        </w:tc>
        <w:tc>
          <w:tcPr/>
          <w:p>
            <w:pPr>
              <w:pStyle w:val="Compact"/>
              <w:jc w:val="left"/>
            </w:pPr>
            <w:r>
              <w:t xml:space="preserve">Format</w:t>
            </w:r>
          </w:p>
        </w:tc>
        <w:tc>
          <w:tcPr/>
          <w:p>
            <w:pPr>
              <w:pStyle w:val="Compact"/>
              <w:jc w:val="left"/>
            </w:pPr>
            <w:r>
              <w:t xml:space="preserve">Length</w:t>
            </w:r>
          </w:p>
        </w:tc>
        <w:tc>
          <w:tcPr/>
          <w:p>
            <w:pPr>
              <w:pStyle w:val="Compact"/>
              <w:jc w:val="left"/>
            </w:pPr>
            <w:r>
              <w:t xml:space="preserve">Delivery Channel</w:t>
            </w:r>
          </w:p>
        </w:tc>
      </w:tr>
      <w:tr>
        <w:tc>
          <w:tcPr/>
          <w:p>
            <w:pPr>
              <w:pStyle w:val="Compact"/>
              <w:jc w:val="left"/>
            </w:pPr>
            <w:r>
              <w:rPr>
                <w:bCs/>
                <w:b/>
              </w:rPr>
              <w:t xml:space="preserve">Free</w:t>
            </w:r>
          </w:p>
        </w:tc>
        <w:tc>
          <w:tcPr/>
          <w:p>
            <w:pPr>
              <w:pStyle w:val="Compact"/>
              <w:jc w:val="left"/>
            </w:pPr>
            <w:r>
              <w:t xml:space="preserve">60–90 second opinion clips; crisis excerpts</w:t>
            </w:r>
          </w:p>
        </w:tc>
        <w:tc>
          <w:tcPr/>
          <w:p>
            <w:pPr>
              <w:pStyle w:val="Compact"/>
              <w:jc w:val="left"/>
            </w:pPr>
            <w:r>
              <w:t xml:space="preserve">Vertical 9:16 + landscape 16:9</w:t>
            </w:r>
          </w:p>
        </w:tc>
        <w:tc>
          <w:tcPr/>
          <w:p>
            <w:pPr>
              <w:pStyle w:val="Compact"/>
              <w:jc w:val="left"/>
            </w:pPr>
            <w:r>
              <w:t xml:space="preserve">60–90 sec</w:t>
            </w:r>
          </w:p>
        </w:tc>
        <w:tc>
          <w:tcPr/>
          <w:p>
            <w:pPr>
              <w:pStyle w:val="Compact"/>
              <w:jc w:val="left"/>
            </w:pPr>
            <w:r>
              <w:t xml:space="preserve">YouTube, LinkedIn, X</w:t>
            </w:r>
            <w:r>
              <w:t xml:space="preserve"> </w:t>
            </w:r>
            <w:r>
              <w:rPr>
                <w:vertAlign w:val="superscript"/>
              </w:rPr>
              <w:t xml:space="preserve">81</w:t>
            </w:r>
          </w:p>
        </w:tc>
      </w:tr>
      <w:tr>
        <w:tc>
          <w:tcPr/>
          <w:p>
            <w:pPr>
              <w:pStyle w:val="Compact"/>
              <w:jc w:val="left"/>
            </w:pPr>
            <w:r>
              <w:rPr>
                <w:bCs/>
                <w:b/>
              </w:rPr>
              <w:t xml:space="preserve">Essential</w:t>
            </w:r>
          </w:p>
        </w:tc>
        <w:tc>
          <w:tcPr/>
          <w:p>
            <w:pPr>
              <w:pStyle w:val="Compact"/>
              <w:jc w:val="left"/>
            </w:pPr>
            <w:r>
              <w:t xml:space="preserve">Daily vAvatar briefing (AI-delivered)</w:t>
            </w:r>
          </w:p>
        </w:tc>
        <w:tc>
          <w:tcPr/>
          <w:p>
            <w:pPr>
              <w:pStyle w:val="Compact"/>
              <w:jc w:val="left"/>
            </w:pPr>
            <w:r>
              <w:t xml:space="preserve">Landscape 16:9</w:t>
            </w:r>
          </w:p>
        </w:tc>
        <w:tc>
          <w:tcPr/>
          <w:p>
            <w:pPr>
              <w:pStyle w:val="Compact"/>
              <w:jc w:val="left"/>
            </w:pPr>
            <w:r>
              <w:t xml:space="preserve">90–120 sec</w:t>
            </w:r>
          </w:p>
        </w:tc>
        <w:tc>
          <w:tcPr/>
          <w:p>
            <w:pPr>
              <w:pStyle w:val="Compact"/>
              <w:jc w:val="left"/>
            </w:pPr>
            <w:r>
              <w:t xml:space="preserve">Member portal + email</w:t>
            </w:r>
            <w:r>
              <w:t xml:space="preserve"> </w:t>
            </w:r>
            <w:r>
              <w:rPr>
                <w:vertAlign w:val="superscript"/>
              </w:rPr>
              <w:t xml:space="preserve">11</w:t>
            </w:r>
          </w:p>
        </w:tc>
      </w:tr>
      <w:tr>
        <w:tc>
          <w:tcPr/>
          <w:p>
            <w:pPr>
              <w:pStyle w:val="Compact"/>
              <w:jc w:val="left"/>
            </w:pPr>
            <w:r>
              <w:rPr>
                <w:bCs/>
                <w:b/>
              </w:rPr>
              <w:t xml:space="preserve">Professional</w:t>
            </w:r>
          </w:p>
        </w:tc>
        <w:tc>
          <w:tcPr/>
          <w:p>
            <w:pPr>
              <w:pStyle w:val="Compact"/>
              <w:jc w:val="left"/>
            </w:pPr>
            <w:r>
              <w:t xml:space="preserve">Daily briefing + weekly 10-min analysis; full expert interviews</w:t>
            </w:r>
          </w:p>
        </w:tc>
        <w:tc>
          <w:tcPr/>
          <w:p>
            <w:pPr>
              <w:pStyle w:val="Compact"/>
              <w:jc w:val="left"/>
            </w:pPr>
            <w:r>
              <w:t xml:space="preserve">Landscape 16:9</w:t>
            </w:r>
          </w:p>
        </w:tc>
        <w:tc>
          <w:tcPr/>
          <w:p>
            <w:pPr>
              <w:pStyle w:val="Compact"/>
              <w:jc w:val="left"/>
            </w:pPr>
            <w:r>
              <w:t xml:space="preserve">7–10 min (weekly); 15–30 min (interviews)</w:t>
            </w:r>
          </w:p>
        </w:tc>
        <w:tc>
          <w:tcPr/>
          <w:p>
            <w:pPr>
              <w:pStyle w:val="Compact"/>
              <w:jc w:val="left"/>
            </w:pPr>
            <w:r>
              <w:t xml:space="preserve">Member portal + downloadable</w:t>
            </w:r>
            <w:r>
              <w:t xml:space="preserve"> </w:t>
            </w:r>
            <w:r>
              <w:rPr>
                <w:vertAlign w:val="superscript"/>
              </w:rPr>
              <w:t xml:space="preserve">98</w:t>
            </w:r>
          </w:p>
        </w:tc>
      </w:tr>
      <w:tr>
        <w:tc>
          <w:tcPr/>
          <w:p>
            <w:pPr>
              <w:pStyle w:val="Compact"/>
              <w:jc w:val="left"/>
            </w:pPr>
            <w:r>
              <w:rPr>
                <w:bCs/>
                <w:b/>
              </w:rPr>
              <w:t xml:space="preserve">Executive</w:t>
            </w:r>
          </w:p>
        </w:tc>
        <w:tc>
          <w:tcPr/>
          <w:p>
            <w:pPr>
              <w:pStyle w:val="Compact"/>
              <w:jc w:val="left"/>
            </w:pPr>
            <w:r>
              <w:t xml:space="preserve">All Professional content + live sessions + on-demand 1:1 briefings</w:t>
            </w:r>
          </w:p>
        </w:tc>
        <w:tc>
          <w:tcPr/>
          <w:p>
            <w:pPr>
              <w:pStyle w:val="Compact"/>
              <w:jc w:val="left"/>
            </w:pPr>
            <w:r>
              <w:t xml:space="preserve">Multiple formats</w:t>
            </w:r>
          </w:p>
        </w:tc>
        <w:tc>
          <w:tcPr/>
          <w:p>
            <w:pPr>
              <w:pStyle w:val="Compact"/>
              <w:jc w:val="left"/>
            </w:pPr>
            <w:r>
              <w:t xml:space="preserve">30–60 min (live)</w:t>
            </w:r>
          </w:p>
        </w:tc>
        <w:tc>
          <w:tcPr/>
          <w:p>
            <w:pPr>
              <w:pStyle w:val="Compact"/>
              <w:jc w:val="left"/>
            </w:pPr>
            <w:r>
              <w:t xml:space="preserve">Priority delivery + calendar integration</w:t>
            </w:r>
          </w:p>
        </w:tc>
      </w:tr>
    </w:tbl>
    <w:p>
      <w:pPr>
        <w:pStyle w:val="BodyText"/>
      </w:pPr>
      <w:r>
        <w:rPr>
          <w:iCs/>
          <w:i/>
        </w:rPr>
        <w:t xml:space="preserve">Sources: Wistia retention data</w:t>
      </w:r>
      <w:r>
        <w:rPr>
          <w:iCs/>
          <w:i/>
        </w:rPr>
        <w:t xml:space="preserve"> </w:t>
      </w:r>
      <w:r>
        <w:rPr>
          <w:vertAlign w:val="superscript"/>
          <w:iCs/>
          <w:i/>
        </w:rPr>
        <w:t xml:space="preserve">11</w:t>
      </w:r>
      <w:r>
        <w:rPr>
          <w:iCs/>
          <w:i/>
        </w:rPr>
        <w:t xml:space="preserve">; YouTube formats</w:t>
      </w:r>
      <w:r>
        <w:rPr>
          <w:iCs/>
          <w:i/>
        </w:rPr>
        <w:t xml:space="preserve"> </w:t>
      </w:r>
      <w:r>
        <w:rPr>
          <w:vertAlign w:val="superscript"/>
          <w:iCs/>
          <w:i/>
        </w:rPr>
        <w:t xml:space="preserve">98</w:t>
      </w:r>
      <w:r>
        <w:rPr>
          <w:iCs/>
          <w:i/>
        </w:rPr>
        <w:t xml:space="preserve">; The Economist dual strategy</w:t>
      </w:r>
      <w:r>
        <w:rPr>
          <w:iCs/>
          <w:i/>
        </w:rPr>
        <w:t xml:space="preserve"> </w:t>
      </w:r>
      <w:r>
        <w:rPr>
          <w:vertAlign w:val="superscript"/>
          <w:iCs/>
          <w:i/>
        </w:rPr>
        <w:t xml:space="preserve">81</w:t>
      </w:r>
    </w:p>
    <w:p>
      <w:pPr>
        <w:pStyle w:val="BodyText"/>
      </w:pPr>
      <w:r>
        <w:t xml:space="preserve">Free tier vertical 9:16 clips are engineered for social discovery. The Economist’s vertical carousel, launched April 2024, more than doubled short-form watch time and contributed to 6% subscriber growth</w:t>
      </w:r>
      <w:r>
        <w:t xml:space="preserve"> </w:t>
      </w:r>
      <w:r>
        <w:rPr>
          <w:vertAlign w:val="superscript"/>
        </w:rPr>
        <w:t xml:space="preserve">81</w:t>
      </w:r>
      <w:r>
        <w:t xml:space="preserve">. Each daily vAvatar briefing should produce a 60–90 second vertical excerpt with a clear call-to-action to the full member portal briefing.</w:t>
      </w:r>
    </w:p>
    <w:p>
      <w:pPr>
        <w:pStyle w:val="BodyText"/>
      </w:pPr>
      <w:r>
        <w:t xml:space="preserve">Executive live sessions are real-time interactive sessions where members question SRC analysts directly. The pipeline: AI monitors feeds and drafts scripts; expert reviews and approves; script routes to Synthesia API; output undergoes human validation; automated distribution routes to tier</w:t>
      </w:r>
      <w:r>
        <w:t xml:space="preserve"> </w:t>
      </w:r>
      <w:r>
        <w:rPr>
          <w:vertAlign w:val="superscript"/>
        </w:rPr>
        <w:t xml:space="preserve">13</w:t>
      </w:r>
      <w:r>
        <w:t xml:space="preserve">. A 90-second video renders in 3–7 minutes, enabling same-day turnaround</w:t>
      </w:r>
      <w:r>
        <w:t xml:space="preserve"> </w:t>
      </w:r>
      <w:r>
        <w:rPr>
          <w:vertAlign w:val="superscript"/>
        </w:rPr>
        <w:t xml:space="preserve">13</w:t>
      </w:r>
      <w:r>
        <w:t xml:space="preserve">. Every vAvatar video should display the reviewing expert’s credentials —</w:t>
      </w:r>
      <w:r>
        <w:t xml:space="preserve"> </w:t>
      </w:r>
      <w:r>
        <w:t xml:space="preserve">“</w:t>
      </w:r>
      <w:r>
        <w:t xml:space="preserve">AI-delivered, expert-curated: reviewed by [Name], [Title], [Date].</w:t>
      </w:r>
      <w:r>
        <w:t xml:space="preserve">”</w:t>
      </w:r>
      <w:r>
        <w:t xml:space="preserve"> </w:t>
      </w:r>
      <w:r>
        <w:t xml:space="preserve">Peer-reviewed research confirms realistic AI avatars are perceived as</w:t>
      </w:r>
      <w:r>
        <w:t xml:space="preserve"> </w:t>
      </w:r>
      <w:r>
        <w:rPr>
          <w:iCs/>
          <w:i/>
        </w:rPr>
        <w:t xml:space="preserve">more</w:t>
      </w:r>
      <w:r>
        <w:t xml:space="preserve"> </w:t>
      </w:r>
      <w:r>
        <w:t xml:space="preserve">trustworthy than stylized ones</w:t>
      </w:r>
      <w:r>
        <w:t xml:space="preserve"> </w:t>
      </w:r>
      <w:r>
        <w:rPr>
          <w:vertAlign w:val="superscript"/>
        </w:rPr>
        <w:t xml:space="preserve">103</w:t>
      </w:r>
      <w:r>
        <w:t xml:space="preserve">. Combined with closed captions (80% of caption users are not hearing impaired; captioned videos see 80% higher completion</w:t>
      </w:r>
      <w:r>
        <w:t xml:space="preserve"> </w:t>
      </w:r>
      <w:r>
        <w:rPr>
          <w:vertAlign w:val="superscript"/>
        </w:rPr>
        <w:t xml:space="preserve">104</w:t>
      </w:r>
      <w:r>
        <w:t xml:space="preserve">), the vAvatar system becomes both cost engine and trust asset.</w:t>
      </w:r>
    </w:p>
    <w:p>
      <w:pPr>
        <w:pStyle w:val="BodyText"/>
      </w:pPr>
      <w:r>
        <w:t xml:space="preserve">The vAvatar strategy gives SRC three advantages no competitor replicates simultaneously: Swiss neutrality as trust anchor, AI-augmented speed for breaking news, and AI avatar production at marginal cost across four languages. Each element exists separately, but no competitor has unified them. Chapter 4 translates this architecture into specific price points.</w:t>
      </w:r>
      <w:r>
        <w:t xml:space="preserve"> </w:t>
      </w:r>
      <w:r>
        <w:t xml:space="preserve">## 4. Pricing Structure &amp; Psychology</w:t>
      </w:r>
    </w:p>
    <w:bookmarkEnd w:id="45"/>
    <w:bookmarkEnd w:id="46"/>
    <w:bookmarkStart w:id="47" w:name="chf-pricing-architecture"/>
    <w:p>
      <w:pPr>
        <w:pStyle w:val="Heading3"/>
      </w:pPr>
      <w:r>
        <w:t xml:space="preserve">4.1 CHF Pricing Architecture</w:t>
      </w:r>
    </w:p>
    <w:p>
      <w:pPr>
        <w:pStyle w:val="FirstParagraph"/>
      </w:pPr>
      <w:r>
        <w:t xml:space="preserve">The price point is not merely a number — it is a signal of positioning, a filter for audience quality, and the single largest determinant of lifetime revenue per member. Pricing in Swiss francs is non-negotiable for SRC: Swiss consumers expect CHF-denominated pricing, and using EUR or USD introduces friction and perceived foreignness that reduces conversion</w:t>
      </w:r>
      <w:r>
        <w:t xml:space="preserve"> </w:t>
      </w:r>
      <w:r>
        <w:rPr>
          <w:vertAlign w:val="superscript"/>
        </w:rPr>
        <w:t xml:space="preserve">105</w:t>
      </w:r>
      <w:r>
        <w:t xml:space="preserve"> </w:t>
      </w:r>
      <w:r>
        <w:rPr>
          <w:vertAlign w:val="superscript"/>
        </w:rPr>
        <w:t xml:space="preserve">106</w:t>
      </w:r>
      <w:r>
        <w:t xml:space="preserve">. The NZZ prices exclusively in CHF for this reason</w:t>
      </w:r>
      <w:r>
        <w:t xml:space="preserve"> </w:t>
      </w:r>
      <w:r>
        <w:rPr>
          <w:vertAlign w:val="superscript"/>
        </w:rPr>
        <w:t xml:space="preserve">107</w:t>
      </w:r>
      <w:r>
        <w:t xml:space="preserve">. Switzerland’s consistently top-quartile GDP per capita means elevated price points are normalized and associated with quality rather than elitism</w:t>
      </w:r>
      <w:r>
        <w:t xml:space="preserve"> </w:t>
      </w:r>
      <w:r>
        <w:rPr>
          <w:vertAlign w:val="superscript"/>
        </w:rPr>
        <w:t xml:space="preserve">108</w:t>
      </w:r>
      <w:r>
        <w:t xml:space="preserve">.</w:t>
      </w:r>
    </w:p>
    <w:p>
      <w:pPr>
        <w:pStyle w:val="BodyText"/>
      </w:pPr>
      <w:r>
        <w:t xml:space="preserve">SRC’s monthly pricing — Free at CHF 0, Essential at CHF 29, Professional at CHF 79, Executive at CHF 149 — is calibrated against intelligence and media benchmarks. At CHF 29, Essential undercuts the NZZ Pro entry of CHF 45/month (annual rate)</w:t>
      </w:r>
      <w:r>
        <w:t xml:space="preserve"> </w:t>
      </w:r>
      <w:r>
        <w:rPr>
          <w:vertAlign w:val="superscript"/>
        </w:rPr>
        <w:t xml:space="preserve">107</w:t>
      </w:r>
      <w:r>
        <w:t xml:space="preserve">while sitting above mass-market subscriptions, signaling professional-grade value. At CHF 79, Professional sits between RANE Network’s ~$80/month individual rate</w:t>
      </w:r>
      <w:r>
        <w:t xml:space="preserve"> </w:t>
      </w:r>
      <w:r>
        <w:rPr>
          <w:vertAlign w:val="superscript"/>
        </w:rPr>
        <w:t xml:space="preserve">5</w:t>
      </w:r>
      <w:r>
        <w:t xml:space="preserve">and the Financial Times Premium Digital at $75/month</w:t>
      </w:r>
      <w:r>
        <w:t xml:space="preserve"> </w:t>
      </w:r>
      <w:r>
        <w:rPr>
          <w:vertAlign w:val="superscript"/>
        </w:rPr>
        <w:t xml:space="preserve">109</w:t>
      </w:r>
      <w:r>
        <w:t xml:space="preserve">. The Executive tier at CHF 149 anchors the individual range, creating the psychological conditions for Professional to emerge as the compromise choice explored in Section 4.2.</w:t>
      </w:r>
    </w:p>
    <w:p>
      <w:pPr>
        <w:pStyle w:val="BodyText"/>
      </w:pPr>
      <w:r>
        <w:t xml:space="preserve">Annual pricing delivers a 17% discount framed as</w:t>
      </w:r>
      <w:r>
        <w:t xml:space="preserve"> </w:t>
      </w:r>
      <w:r>
        <w:t xml:space="preserve">“</w:t>
      </w:r>
      <w:r>
        <w:t xml:space="preserve">2 months free</w:t>
      </w:r>
      <w:r>
        <w:t xml:space="preserve">”</w:t>
      </w:r>
      <w:r>
        <w:t xml:space="preserve"> </w:t>
      </w:r>
      <w:r>
        <w:t xml:space="preserve">— CHF 290, CHF 790, and CHF 1,490 respectively. This framing converts better than</w:t>
      </w:r>
      <w:r>
        <w:t xml:space="preserve"> </w:t>
      </w:r>
      <w:r>
        <w:t xml:space="preserve">“</w:t>
      </w:r>
      <w:r>
        <w:t xml:space="preserve">Save 17%</w:t>
      </w:r>
      <w:r>
        <w:t xml:space="preserve">”</w:t>
      </w:r>
      <w:r>
        <w:t xml:space="preserve"> </w:t>
      </w:r>
      <w:r>
        <w:t xml:space="preserve">despite being mathematically identical</w:t>
      </w:r>
      <w:r>
        <w:t xml:space="preserve"> </w:t>
      </w:r>
      <w:r>
        <w:rPr>
          <w:vertAlign w:val="superscript"/>
        </w:rPr>
        <w:t xml:space="preserve">110</w:t>
      </w:r>
      <w:r>
        <w:t xml:space="preserve">. The reason is loss aversion: consumers respond more strongly to receiving something extra (</w:t>
      </w:r>
      <w:r>
        <w:t xml:space="preserve">“</w:t>
      </w:r>
      <w:r>
        <w:t xml:space="preserve">2 months</w:t>
      </w:r>
      <w:r>
        <w:t xml:space="preserve">”</w:t>
      </w:r>
      <w:r>
        <w:t xml:space="preserve">) than to percentage abstractions. Annual subscribers retain at 92% after 12 months versus 68% for monthly — a 24-point gap</w:t>
      </w:r>
      <w:r>
        <w:t xml:space="preserve"> </w:t>
      </w:r>
      <w:r>
        <w:rPr>
          <w:vertAlign w:val="superscript"/>
        </w:rPr>
        <w:t xml:space="preserve">10</w:t>
      </w:r>
      <w:r>
        <w:t xml:space="preserve">— and generate 40-71% higher lifetime value despite the discount</w:t>
      </w:r>
      <w:r>
        <w:t xml:space="preserve"> </w:t>
      </w:r>
      <w:r>
        <w:rPr>
          <w:vertAlign w:val="superscript"/>
        </w:rPr>
        <w:t xml:space="preserve">110</w:t>
      </w:r>
      <w:r>
        <w:t xml:space="preserve"> </w:t>
      </w:r>
      <w:r>
        <w:rPr>
          <w:vertAlign w:val="superscript"/>
        </w:rPr>
        <w:t xml:space="preserve">10</w:t>
      </w:r>
      <w:r>
        <w:t xml:space="preserve">. Defaulting to annual on the pricing page increases annual adoption 2-3x</w:t>
      </w:r>
      <w:r>
        <w:t xml:space="preserve"> </w:t>
      </w:r>
      <w:r>
        <w:rPr>
          <w:vertAlign w:val="superscript"/>
        </w:rPr>
        <w:t xml:space="preserve">110</w:t>
      </w:r>
      <w:r>
        <w:t xml:space="preserve">. SRC should target 50-60% of new paid subscriptions on annual plans</w:t>
      </w:r>
      <w:r>
        <w:t xml:space="preserve"> </w:t>
      </w:r>
      <w:r>
        <w:rPr>
          <w:vertAlign w:val="superscript"/>
        </w:rPr>
        <w:t xml:space="preserve">10</w:t>
      </w:r>
      <w:r>
        <w:t xml:space="preserve">, while keeping monthly available as it lifts initial conversion by approximately 50%</w:t>
      </w:r>
      <w:r>
        <w:t xml:space="preserve"> </w:t>
      </w:r>
      <w:r>
        <w:rPr>
          <w:vertAlign w:val="superscript"/>
        </w:rPr>
        <w:t xml:space="preserve">10</w:t>
      </w:r>
      <w:r>
        <w:t xml:space="preserve">.</w:t>
      </w:r>
    </w:p>
    <w:tbl>
      <w:tblPr>
        <w:tblStyle w:val="Table"/>
        <w:tblW w:type="pct" w:w="5000"/>
        <w:tblLook w:firstRow="1" w:lastRow="0" w:firstColumn="0" w:lastColumn="0" w:noHBand="0" w:noVBand="0" w:val="0020"/>
      </w:tblPr>
      <w:tblGrid>
        <w:gridCol w:w="1131"/>
        <w:gridCol w:w="1414"/>
        <w:gridCol w:w="1414"/>
        <w:gridCol w:w="1414"/>
        <w:gridCol w:w="1414"/>
        <w:gridCol w:w="1131"/>
      </w:tblGrid>
      <w:tr>
        <w:trPr>
          <w:tblHeader w:val="true"/>
        </w:trPr>
        <w:tc>
          <w:tcPr/>
          <w:p>
            <w:pPr>
              <w:pStyle w:val="Compact"/>
              <w:jc w:val="left"/>
            </w:pPr>
            <w:r>
              <w:t xml:space="preserve">Tier</w:t>
            </w:r>
          </w:p>
        </w:tc>
        <w:tc>
          <w:tcPr/>
          <w:p>
            <w:pPr>
              <w:pStyle w:val="Compact"/>
              <w:jc w:val="center"/>
            </w:pPr>
            <w:r>
              <w:t xml:space="preserve">Monthly (CHF)</w:t>
            </w:r>
          </w:p>
        </w:tc>
        <w:tc>
          <w:tcPr/>
          <w:p>
            <w:pPr>
              <w:pStyle w:val="Compact"/>
              <w:jc w:val="center"/>
            </w:pPr>
            <w:r>
              <w:t xml:space="preserve">Annual (CHF)</w:t>
            </w:r>
          </w:p>
        </w:tc>
        <w:tc>
          <w:tcPr/>
          <w:p>
            <w:pPr>
              <w:pStyle w:val="Compact"/>
              <w:jc w:val="center"/>
            </w:pPr>
            <w:r>
              <w:t xml:space="preserve">Ratio to Essential</w:t>
            </w:r>
          </w:p>
        </w:tc>
        <w:tc>
          <w:tcPr/>
          <w:p>
            <w:pPr>
              <w:pStyle w:val="Compact"/>
              <w:jc w:val="center"/>
            </w:pPr>
            <w:r>
              <w:t xml:space="preserve">Benchmark</w:t>
            </w:r>
          </w:p>
        </w:tc>
        <w:tc>
          <w:tcPr/>
          <w:p>
            <w:pPr>
              <w:pStyle w:val="Compact"/>
              <w:jc w:val="left"/>
            </w:pPr>
            <w:r>
              <w:t xml:space="preserve">Assessment</w:t>
            </w:r>
          </w:p>
        </w:tc>
      </w:tr>
      <w:tr>
        <w:tc>
          <w:tcPr/>
          <w:p>
            <w:pPr>
              <w:pStyle w:val="Compact"/>
              <w:jc w:val="left"/>
            </w:pPr>
            <w:r>
              <w:t xml:space="preserve">Free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w:t>
            </w:r>
          </w:p>
        </w:tc>
        <w:tc>
          <w:tcPr/>
          <w:p>
            <w:pPr>
              <w:pStyle w:val="Compact"/>
              <w:jc w:val="center"/>
            </w:pPr>
            <w:r>
              <w:t xml:space="preserve">—</w:t>
            </w:r>
          </w:p>
        </w:tc>
        <w:tc>
          <w:tcPr/>
          <w:p>
            <w:pPr>
              <w:pStyle w:val="Compact"/>
              <w:jc w:val="left"/>
            </w:pPr>
            <w:r>
              <w:t xml:space="preserve">Lead generation; no payment friction</w:t>
            </w:r>
          </w:p>
        </w:tc>
      </w:tr>
      <w:tr>
        <w:tc>
          <w:tcPr/>
          <w:p>
            <w:pPr>
              <w:pStyle w:val="Compact"/>
              <w:jc w:val="left"/>
            </w:pPr>
            <w:r>
              <w:t xml:space="preserve">Essential</w:t>
            </w:r>
          </w:p>
        </w:tc>
        <w:tc>
          <w:tcPr/>
          <w:p>
            <w:pPr>
              <w:pStyle w:val="Compact"/>
              <w:jc w:val="center"/>
            </w:pPr>
            <w:r>
              <w:t xml:space="preserve">29</w:t>
            </w:r>
          </w:p>
        </w:tc>
        <w:tc>
          <w:tcPr/>
          <w:p>
            <w:pPr>
              <w:pStyle w:val="Compact"/>
              <w:jc w:val="center"/>
            </w:pPr>
            <w:r>
              <w:t xml:space="preserve">290 (17% off)</w:t>
            </w:r>
          </w:p>
        </w:tc>
        <w:tc>
          <w:tcPr/>
          <w:p>
            <w:pPr>
              <w:pStyle w:val="Compact"/>
              <w:jc w:val="center"/>
            </w:pPr>
            <w:r>
              <w:t xml:space="preserve">1.0x</w:t>
            </w:r>
          </w:p>
        </w:tc>
        <w:tc>
          <w:tcPr/>
          <w:p>
            <w:pPr>
              <w:pStyle w:val="Compact"/>
              <w:jc w:val="center"/>
            </w:pPr>
            <w:r>
              <w:t xml:space="preserve">1.0x</w:t>
            </w:r>
          </w:p>
        </w:tc>
        <w:tc>
          <w:tcPr/>
          <w:p>
            <w:pPr>
              <w:pStyle w:val="Compact"/>
              <w:jc w:val="left"/>
            </w:pPr>
            <w:r>
              <w:t xml:space="preserve">Entry tier; undercuts NZZ Pro</w:t>
            </w:r>
            <w:r>
              <w:t xml:space="preserve"> </w:t>
            </w:r>
            <w:r>
              <w:rPr>
                <w:vertAlign w:val="superscript"/>
              </w:rPr>
              <w:t xml:space="preserve">107</w:t>
            </w:r>
          </w:p>
        </w:tc>
      </w:tr>
      <w:tr>
        <w:tc>
          <w:tcPr/>
          <w:p>
            <w:pPr>
              <w:pStyle w:val="Compact"/>
              <w:jc w:val="left"/>
            </w:pPr>
            <w:r>
              <w:t xml:space="preserve">Professional</w:t>
            </w:r>
          </w:p>
        </w:tc>
        <w:tc>
          <w:tcPr/>
          <w:p>
            <w:pPr>
              <w:pStyle w:val="Compact"/>
              <w:jc w:val="center"/>
            </w:pPr>
            <w:r>
              <w:t xml:space="preserve">79</w:t>
            </w:r>
          </w:p>
        </w:tc>
        <w:tc>
          <w:tcPr/>
          <w:p>
            <w:pPr>
              <w:pStyle w:val="Compact"/>
              <w:jc w:val="center"/>
            </w:pPr>
            <w:r>
              <w:t xml:space="preserve">790 (17% off)</w:t>
            </w:r>
          </w:p>
        </w:tc>
        <w:tc>
          <w:tcPr/>
          <w:p>
            <w:pPr>
              <w:pStyle w:val="Compact"/>
              <w:jc w:val="center"/>
            </w:pPr>
            <w:r>
              <w:t xml:space="preserve">2.7x</w:t>
            </w:r>
          </w:p>
        </w:tc>
        <w:tc>
          <w:tcPr/>
          <w:p>
            <w:pPr>
              <w:pStyle w:val="Compact"/>
              <w:jc w:val="center"/>
            </w:pPr>
            <w:r>
              <w:t xml:space="preserve">1.4-1.8x Good→Better</w:t>
            </w:r>
            <w:r>
              <w:t xml:space="preserve"> </w:t>
            </w:r>
            <w:r>
              <w:rPr>
                <w:vertAlign w:val="superscript"/>
              </w:rPr>
              <w:t xml:space="preserve">111</w:t>
            </w:r>
          </w:p>
        </w:tc>
        <w:tc>
          <w:tcPr/>
          <w:p>
            <w:pPr>
              <w:pStyle w:val="Compact"/>
              <w:jc w:val="left"/>
            </w:pPr>
            <w:r>
              <w:t xml:space="preserve">Exceeds benchmark; justified by feature differentiation</w:t>
            </w:r>
          </w:p>
        </w:tc>
      </w:tr>
      <w:tr>
        <w:tc>
          <w:tcPr/>
          <w:p>
            <w:pPr>
              <w:pStyle w:val="Compact"/>
              <w:jc w:val="left"/>
            </w:pPr>
            <w:r>
              <w:t xml:space="preserve">Executive</w:t>
            </w:r>
          </w:p>
        </w:tc>
        <w:tc>
          <w:tcPr/>
          <w:p>
            <w:pPr>
              <w:pStyle w:val="Compact"/>
              <w:jc w:val="center"/>
            </w:pPr>
            <w:r>
              <w:t xml:space="preserve">149</w:t>
            </w:r>
          </w:p>
        </w:tc>
        <w:tc>
          <w:tcPr/>
          <w:p>
            <w:pPr>
              <w:pStyle w:val="Compact"/>
              <w:jc w:val="center"/>
            </w:pPr>
            <w:r>
              <w:t xml:space="preserve">1,490 (17% off)</w:t>
            </w:r>
          </w:p>
        </w:tc>
        <w:tc>
          <w:tcPr/>
          <w:p>
            <w:pPr>
              <w:pStyle w:val="Compact"/>
              <w:jc w:val="center"/>
            </w:pPr>
            <w:r>
              <w:t xml:space="preserve">5.1x</w:t>
            </w:r>
          </w:p>
        </w:tc>
        <w:tc>
          <w:tcPr/>
          <w:p>
            <w:pPr>
              <w:pStyle w:val="Compact"/>
              <w:jc w:val="center"/>
            </w:pPr>
            <w:r>
              <w:t xml:space="preserve">2.0-3.0x Good→Best</w:t>
            </w:r>
            <w:r>
              <w:t xml:space="preserve"> </w:t>
            </w:r>
            <w:r>
              <w:rPr>
                <w:vertAlign w:val="superscript"/>
              </w:rPr>
              <w:t xml:space="preserve">111</w:t>
            </w:r>
          </w:p>
        </w:tc>
        <w:tc>
          <w:tcPr/>
          <w:p>
            <w:pPr>
              <w:pStyle w:val="Compact"/>
              <w:jc w:val="left"/>
            </w:pPr>
            <w:r>
              <w:t xml:space="preserve">Exceeds typical; reflects B2C→B2B tier transition</w:t>
            </w:r>
          </w:p>
        </w:tc>
      </w:tr>
    </w:tbl>
    <w:p>
      <w:pPr>
        <w:pStyle w:val="BodyText"/>
      </w:pPr>
      <w:r>
        <w:t xml:space="preserve">The Essential→Professional multiple of 2.7x exceeds the 1.88x average Good→Better ratio</w:t>
      </w:r>
      <w:r>
        <w:t xml:space="preserve"> </w:t>
      </w:r>
      <w:r>
        <w:rPr>
          <w:vertAlign w:val="superscript"/>
        </w:rPr>
        <w:t xml:space="preserve">111</w:t>
      </w:r>
      <w:r>
        <w:t xml:space="preserve">, but this is intentional: Essential is a limited entry point, and the jump reflects the substantial feature expansion to unlimited reports, full archive access, and exclusive newsletters. The Professional→Executive multiple of 1.9x exceeds the 50% minimum gap requirement. The total 5.1x spread reflects that Executive is not merely</w:t>
      </w:r>
      <w:r>
        <w:t xml:space="preserve"> </w:t>
      </w:r>
      <w:r>
        <w:t xml:space="preserve">“</w:t>
      </w:r>
      <w:r>
        <w:t xml:space="preserve">more Professional</w:t>
      </w:r>
      <w:r>
        <w:t xml:space="preserve">”</w:t>
      </w:r>
      <w:r>
        <w:t xml:space="preserve"> </w:t>
      </w:r>
      <w:r>
        <w:t xml:space="preserve">but a different product — one with direct analyst access, invitation-only events, and the annual summit that transforms membership from content consumption into advisory relationship.</w:t>
      </w:r>
    </w:p>
    <w:bookmarkEnd w:id="47"/>
    <w:bookmarkStart w:id="52" w:name="pricing-psychology-tactics"/>
    <w:p>
      <w:pPr>
        <w:pStyle w:val="Heading3"/>
      </w:pPr>
      <w:r>
        <w:t xml:space="preserve">4.2 Pricing Psychology &amp; Tactics</w:t>
      </w:r>
    </w:p>
    <w:bookmarkStart w:id="48" w:name="Xdfa1ccfddc5aaa886ebdd338c563f483d791433"/>
    <w:p>
      <w:pPr>
        <w:pStyle w:val="Heading4"/>
      </w:pPr>
      <w:r>
        <w:t xml:space="preserve">4.2.1 The Decoy Effect and Compromise Positioning</w:t>
      </w:r>
    </w:p>
    <w:p>
      <w:pPr>
        <w:pStyle w:val="FirstParagraph"/>
      </w:pPr>
      <w:r>
        <w:t xml:space="preserve">The Executive tier at CHF 149 makes Professional at CHF 79 appear affordable through the decoy effect — adding an asymmetrically dominated option to make the target tier look like exceptional value</w:t>
      </w:r>
      <w:r>
        <w:t xml:space="preserve"> </w:t>
      </w:r>
      <w:r>
        <w:rPr>
          <w:vertAlign w:val="superscript"/>
        </w:rPr>
        <w:t xml:space="preserve">112</w:t>
      </w:r>
      <w:r>
        <w:t xml:space="preserve"> </w:t>
      </w:r>
      <w:r>
        <w:rPr>
          <w:vertAlign w:val="superscript"/>
        </w:rPr>
        <w:t xml:space="preserve">113</w:t>
      </w:r>
      <w:r>
        <w:t xml:space="preserve">. Simonson’s research (1989) shows the middle option in a three-tier set gains a 17.5% larger market share than alternatives, a phenomenon known as the compromise effect</w:t>
      </w:r>
      <w:r>
        <w:t xml:space="preserve"> </w:t>
      </w:r>
      <w:r>
        <w:rPr>
          <w:vertAlign w:val="superscript"/>
        </w:rPr>
        <w:t xml:space="preserve">14</w:t>
      </w:r>
      <w:r>
        <w:t xml:space="preserve">. When an upscale third option is added, the middle option’s share rises 7 percentage points to 57%</w:t>
      </w:r>
      <w:r>
        <w:t xml:space="preserve"> </w:t>
      </w:r>
      <w:r>
        <w:rPr>
          <w:vertAlign w:val="superscript"/>
        </w:rPr>
        <w:t xml:space="preserve">14</w:t>
      </w:r>
      <w:r>
        <w:t xml:space="preserve">. Physical placement amplifies this: center-positioning the compromise option adds 20.4% to 41.7% choice share, magnifying to +53.3% under time pressure</w:t>
      </w:r>
      <w:r>
        <w:t xml:space="preserve"> </w:t>
      </w:r>
      <w:r>
        <w:rPr>
          <w:vertAlign w:val="superscript"/>
        </w:rPr>
        <w:t xml:space="preserve">114</w:t>
      </w:r>
      <w:r>
        <w:t xml:space="preserve">. SRC’s pricing page should present tiers left-to-right as Free → Essential → Professional → Executive, with Professional visually centered and marked</w:t>
      </w:r>
      <w:r>
        <w:t xml:space="preserve"> </w:t>
      </w:r>
      <w:r>
        <w:t xml:space="preserve">“</w:t>
      </w:r>
      <w:r>
        <w:t xml:space="preserve">Most Popular</w:t>
      </w:r>
      <w:r>
        <w:t xml:space="preserve">”</w:t>
      </w:r>
      <w:r>
        <w:t xml:space="preserve"> </w:t>
      </w:r>
      <w:r>
        <w:t xml:space="preserve">— a label that specifically outperforms</w:t>
      </w:r>
      <w:r>
        <w:t xml:space="preserve"> </w:t>
      </w:r>
      <w:r>
        <w:t xml:space="preserve">“</w:t>
      </w:r>
      <w:r>
        <w:t xml:space="preserve">Recommended</w:t>
      </w:r>
      <w:r>
        <w:t xml:space="preserve">”</w:t>
      </w:r>
      <w:r>
        <w:t xml:space="preserve"> </w:t>
      </w:r>
      <w:r>
        <w:rPr>
          <w:vertAlign w:val="superscript"/>
        </w:rPr>
        <w:t xml:space="preserve">115</w:t>
      </w:r>
      <w:r>
        <w:t xml:space="preserve">. Free reinforces this architecture from the opposite direction: by providing a genuinely useful no-cost option, it makes Essential at CHF 29 feel like a real commitment rather than the cheapest possible choice.</w:t>
      </w:r>
    </w:p>
    <w:bookmarkEnd w:id="48"/>
    <w:bookmarkStart w:id="49" w:name="annual-billing-defaults-and-framing"/>
    <w:p>
      <w:pPr>
        <w:pStyle w:val="Heading4"/>
      </w:pPr>
      <w:r>
        <w:t xml:space="preserve">4.2.2 Annual Billing Defaults and Framing</w:t>
      </w:r>
    </w:p>
    <w:p>
      <w:pPr>
        <w:pStyle w:val="FirstParagraph"/>
      </w:pPr>
      <w:r>
        <w:t xml:space="preserve">When annual is the default, 40-60% of customers choose it; when monthly is default, fewer than 20% select annual</w:t>
      </w:r>
      <w:r>
        <w:t xml:space="preserve"> </w:t>
      </w:r>
      <w:r>
        <w:rPr>
          <w:vertAlign w:val="superscript"/>
        </w:rPr>
        <w:t xml:space="preserve">74</w:t>
      </w:r>
      <w:r>
        <w:t xml:space="preserve">. The optimal display shows the monthly equivalent on annual plans (</w:t>
      </w:r>
      <w:r>
        <w:t xml:space="preserve">“</w:t>
      </w:r>
      <w:r>
        <w:t xml:space="preserve">CHF 79/month, billed annually</w:t>
      </w:r>
      <w:r>
        <w:t xml:space="preserve">”</w:t>
      </w:r>
      <w:r>
        <w:t xml:space="preserve">) rather than the total annual amount, because the lower number anchors perception while the annual commitment locks in retention</w:t>
      </w:r>
      <w:r>
        <w:t xml:space="preserve"> </w:t>
      </w:r>
      <w:r>
        <w:rPr>
          <w:vertAlign w:val="superscript"/>
        </w:rPr>
        <w:t xml:space="preserve">115</w:t>
      </w:r>
      <w:r>
        <w:t xml:space="preserve">. Clear pricing communication increases conversions 20-30%</w:t>
      </w:r>
      <w:r>
        <w:t xml:space="preserve"> </w:t>
      </w:r>
      <w:r>
        <w:rPr>
          <w:vertAlign w:val="superscript"/>
        </w:rPr>
        <w:t xml:space="preserve">105</w:t>
      </w:r>
      <w:r>
        <w:t xml:space="preserve">. SRC’s pricing page should lead with annual plans, use</w:t>
      </w:r>
      <w:r>
        <w:t xml:space="preserve"> </w:t>
      </w:r>
      <w:r>
        <w:t xml:space="preserve">“</w:t>
      </w:r>
      <w:r>
        <w:t xml:space="preserve">2 months free</w:t>
      </w:r>
      <w:r>
        <w:t xml:space="preserve">”</w:t>
      </w:r>
      <w:r>
        <w:t xml:space="preserve"> </w:t>
      </w:r>
      <w:r>
        <w:t xml:space="preserve">throughout, and relegate monthly to a toggle — available for those who seek it, but not the path of least resistance.</w:t>
      </w:r>
    </w:p>
    <w:bookmarkEnd w:id="49"/>
    <w:bookmarkStart w:id="50" w:name="student-and-young-professional-discounts"/>
    <w:p>
      <w:pPr>
        <w:pStyle w:val="Heading4"/>
      </w:pPr>
      <w:r>
        <w:t xml:space="preserve">4.2.3 Student and Young Professional Discounts</w:t>
      </w:r>
    </w:p>
    <w:p>
      <w:pPr>
        <w:pStyle w:val="FirstParagraph"/>
      </w:pPr>
      <w:r>
        <w:t xml:space="preserve">Chatham House offers the gold-standard model: Full at £345/year, Under-30 at £220 (36% discount), Student at £190 (45% discount)</w:t>
      </w:r>
      <w:r>
        <w:t xml:space="preserve"> </w:t>
      </w:r>
      <w:r>
        <w:rPr>
          <w:vertAlign w:val="superscript"/>
        </w:rPr>
        <w:t xml:space="preserve">17</w:t>
      </w:r>
      <w:r>
        <w:t xml:space="preserve">. Critically, Chatham House positions Under-30</w:t>
      </w:r>
      <w:r>
        <w:t xml:space="preserve"> </w:t>
      </w:r>
      <w:r>
        <w:rPr>
          <w:iCs/>
          <w:i/>
        </w:rPr>
        <w:t xml:space="preserve">above</w:t>
      </w:r>
      <w:r>
        <w:t xml:space="preserve"> </w:t>
      </w:r>
      <w:r>
        <w:t xml:space="preserve">its Associate tier at £195 — the youth discount is not the cheapest option, protecting brand prestige while maintaining accessibility</w:t>
      </w:r>
      <w:r>
        <w:t xml:space="preserve"> </w:t>
      </w:r>
      <w:r>
        <w:rPr>
          <w:vertAlign w:val="superscript"/>
        </w:rPr>
        <w:t xml:space="preserve">17</w:t>
      </w:r>
      <w:r>
        <w:t xml:space="preserve">.</w:t>
      </w:r>
    </w:p>
    <w:p>
      <w:pPr>
        <w:pStyle w:val="BodyText"/>
      </w:pPr>
      <w:r>
        <w:t xml:space="preserve">SRC mirrors this structure: CHF 190/year for Under-30 (36% discount) and CHF 160/year for verified students (45% discount), both mapping to Professional-tier benefits. This ensures young members experience the full product and develop habits around the tier SRC wants them to maintain post-graduation. Verification uses .edu email for students and ID-based age confirmation for Under-30. Annual billing is required for all discounted plans. No free tier is offered to students — keeping them in the paid ecosystem establishes price acceptance and reduces future upgrade friction.</w:t>
      </w:r>
    </w:p>
    <w:bookmarkEnd w:id="50"/>
    <w:bookmarkStart w:id="51" w:name="trial-length-and-risk-reversal"/>
    <w:p>
      <w:pPr>
        <w:pStyle w:val="Heading4"/>
      </w:pPr>
      <w:r>
        <w:t xml:space="preserve">4.2.4 Trial Length and Risk Reversal</w:t>
      </w:r>
    </w:p>
    <w:p>
      <w:pPr>
        <w:pStyle w:val="FirstParagraph"/>
      </w:pPr>
      <w:r>
        <w:t xml:space="preserve">SRC’s 10-day free trial sits in the optimal conversion zone. Seven-day trials convert at 24% median, 14-day at 19%, and 30-day at only 14% — shorter trials outperform 30-day by 71%</w:t>
      </w:r>
      <w:r>
        <w:t xml:space="preserve"> </w:t>
      </w:r>
      <w:r>
        <w:rPr>
          <w:vertAlign w:val="superscript"/>
        </w:rPr>
        <w:t xml:space="preserve">15</w:t>
      </w:r>
      <w:r>
        <w:t xml:space="preserve">. The mechanism is urgency: shorter trials create focused evaluation pressure, while longer trials breed complacency</w:t>
      </w:r>
      <w:r>
        <w:t xml:space="preserve"> </w:t>
      </w:r>
      <w:r>
        <w:rPr>
          <w:vertAlign w:val="superscript"/>
        </w:rPr>
        <w:t xml:space="preserve">116</w:t>
      </w:r>
      <w:r>
        <w:t xml:space="preserve"> </w:t>
      </w:r>
      <w:r>
        <w:rPr>
          <w:vertAlign w:val="superscript"/>
        </w:rPr>
        <w:t xml:space="preserve">117</w:t>
      </w:r>
      <w:r>
        <w:t xml:space="preserve">. A randomized study of 337,724 users found only a 0.81-point difference between 7-day and 30-day conversion, confirming that trial length matters less than activation during the trial</w:t>
      </w:r>
      <w:r>
        <w:t xml:space="preserve"> </w:t>
      </w:r>
      <w:r>
        <w:rPr>
          <w:vertAlign w:val="superscript"/>
        </w:rPr>
        <w:t xml:space="preserve">118</w:t>
      </w:r>
      <w:r>
        <w:t xml:space="preserve">. SRC should maintain its 10-day trial and focus on guiding users through 3-5 activation actions rather than extending duration. The trial should remain opt-in without credit card, as 80% of SaaS trials are already opt-in</w:t>
      </w:r>
      <w:r>
        <w:t xml:space="preserve"> </w:t>
      </w:r>
      <w:r>
        <w:rPr>
          <w:vertAlign w:val="superscript"/>
        </w:rPr>
        <w:t xml:space="preserve">119</w:t>
      </w:r>
      <w:r>
        <w:t xml:space="preserve">.</w:t>
      </w:r>
    </w:p>
    <w:p>
      <w:pPr>
        <w:pStyle w:val="BodyText"/>
      </w:pPr>
      <w:r>
        <w:t xml:space="preserve">A 30-day money-back guarantee on all paid tiers drives 10-20% conversion increases</w:t>
      </w:r>
      <w:r>
        <w:t xml:space="preserve"> </w:t>
      </w:r>
      <w:r>
        <w:rPr>
          <w:vertAlign w:val="superscript"/>
        </w:rPr>
        <w:t xml:space="preserve">16</w:t>
      </w:r>
      <w:r>
        <w:t xml:space="preserve">, with one case study showing 26% lift from adding a simple guarantee</w:t>
      </w:r>
      <w:r>
        <w:t xml:space="preserve"> </w:t>
      </w:r>
      <w:r>
        <w:rPr>
          <w:vertAlign w:val="superscript"/>
        </w:rPr>
        <w:t xml:space="preserve">120</w:t>
      </w:r>
      <w:r>
        <w:t xml:space="preserve">. Extended guarantees produce even more dramatic results: moving from 90-day to 1-year guarantee doubled conversion (3% to 6%) with only a 3-point refund rate increase because the majority of refunds still occur within the original window</w:t>
      </w:r>
      <w:r>
        <w:t xml:space="preserve"> </w:t>
      </w:r>
      <w:r>
        <w:rPr>
          <w:vertAlign w:val="superscript"/>
        </w:rPr>
        <w:t xml:space="preserve">120</w:t>
      </w:r>
      <w:r>
        <w:t xml:space="preserve">. For SRC, the guarantee reduces perceived risk at the exact moment when a prospective member evaluates whether the analysis justifies the price, and drops cart abandonment by up to 15%</w:t>
      </w:r>
      <w:r>
        <w:t xml:space="preserve"> </w:t>
      </w:r>
      <w:r>
        <w:rPr>
          <w:vertAlign w:val="superscript"/>
        </w:rPr>
        <w:t xml:space="preserve">16</w:t>
      </w:r>
      <w:r>
        <w:t xml:space="preserve">.</w:t>
      </w:r>
    </w:p>
    <w:tbl>
      <w:tblPr>
        <w:tblStyle w:val="Table"/>
        <w:tblW w:type="pct" w:w="5000"/>
        <w:tblLook w:firstRow="1" w:lastRow="0" w:firstColumn="0" w:lastColumn="0" w:noHBand="0" w:noVBand="0" w:val="0020"/>
      </w:tblPr>
      <w:tblGrid>
        <w:gridCol w:w="1863"/>
        <w:gridCol w:w="1863"/>
        <w:gridCol w:w="2329"/>
        <w:gridCol w:w="1863"/>
      </w:tblGrid>
      <w:tr>
        <w:trPr>
          <w:tblHeader w:val="true"/>
        </w:trPr>
        <w:tc>
          <w:tcPr/>
          <w:p>
            <w:pPr>
              <w:pStyle w:val="Compact"/>
              <w:jc w:val="left"/>
            </w:pPr>
            <w:r>
              <w:t xml:space="preserve">Tactic</w:t>
            </w:r>
          </w:p>
        </w:tc>
        <w:tc>
          <w:tcPr/>
          <w:p>
            <w:pPr>
              <w:pStyle w:val="Compact"/>
              <w:jc w:val="left"/>
            </w:pPr>
            <w:r>
              <w:t xml:space="preserve">Psychological Mechanism</w:t>
            </w:r>
          </w:p>
        </w:tc>
        <w:tc>
          <w:tcPr/>
          <w:p>
            <w:pPr>
              <w:pStyle w:val="Compact"/>
              <w:jc w:val="center"/>
            </w:pPr>
            <w:r>
              <w:t xml:space="preserve">Expected Impact</w:t>
            </w:r>
          </w:p>
        </w:tc>
        <w:tc>
          <w:tcPr/>
          <w:p>
            <w:pPr>
              <w:pStyle w:val="Compact"/>
              <w:jc w:val="left"/>
            </w:pPr>
            <w:r>
              <w:t xml:space="preserve">Evidence Source</w:t>
            </w:r>
          </w:p>
        </w:tc>
      </w:tr>
      <w:tr>
        <w:tc>
          <w:tcPr/>
          <w:p>
            <w:pPr>
              <w:pStyle w:val="Compact"/>
              <w:jc w:val="left"/>
            </w:pPr>
            <w:r>
              <w:t xml:space="preserve">Decoy effect: Executive at CHF 149</w:t>
            </w:r>
          </w:p>
        </w:tc>
        <w:tc>
          <w:tcPr/>
          <w:p>
            <w:pPr>
              <w:pStyle w:val="Compact"/>
              <w:jc w:val="left"/>
            </w:pPr>
            <w:r>
              <w:t xml:space="preserve">Asymmetric dominance makes Professional appear affordable</w:t>
            </w:r>
            <w:r>
              <w:t xml:space="preserve"> </w:t>
            </w:r>
            <w:r>
              <w:rPr>
                <w:vertAlign w:val="superscript"/>
              </w:rPr>
              <w:t xml:space="preserve">112</w:t>
            </w:r>
            <w:r>
              <w:t xml:space="preserve"> </w:t>
            </w:r>
            <w:r>
              <w:rPr>
                <w:vertAlign w:val="superscript"/>
              </w:rPr>
              <w:t xml:space="preserve">113</w:t>
            </w:r>
          </w:p>
        </w:tc>
        <w:tc>
          <w:tcPr/>
          <w:p>
            <w:pPr>
              <w:pStyle w:val="Compact"/>
              <w:jc w:val="center"/>
            </w:pPr>
            <w:r>
              <w:t xml:space="preserve">17.5%+ middle-tier share</w:t>
            </w:r>
            <w:r>
              <w:t xml:space="preserve"> </w:t>
            </w:r>
            <w:r>
              <w:rPr>
                <w:vertAlign w:val="superscript"/>
              </w:rPr>
              <w:t xml:space="preserve">14</w:t>
            </w:r>
          </w:p>
        </w:tc>
        <w:tc>
          <w:tcPr/>
          <w:p>
            <w:pPr>
              <w:pStyle w:val="Compact"/>
              <w:jc w:val="left"/>
            </w:pPr>
            <w:r>
              <w:t xml:space="preserve">Simonson (1989): +7pp with upscale anchor; center-position adds +20.4-53.3%</w:t>
            </w:r>
            <w:r>
              <w:t xml:space="preserve"> </w:t>
            </w:r>
            <w:r>
              <w:rPr>
                <w:vertAlign w:val="superscript"/>
              </w:rPr>
              <w:t xml:space="preserve">114</w:t>
            </w:r>
          </w:p>
        </w:tc>
      </w:tr>
      <w:tr>
        <w:tc>
          <w:tcPr/>
          <w:p>
            <w:pPr>
              <w:pStyle w:val="Compact"/>
              <w:jc w:val="left"/>
            </w:pPr>
            <w:r>
              <w:t xml:space="preserve">“</w:t>
            </w:r>
            <w:r>
              <w:t xml:space="preserve">Most Popular</w:t>
            </w:r>
            <w:r>
              <w:t xml:space="preserve">”</w:t>
            </w:r>
            <w:r>
              <w:t xml:space="preserve"> </w:t>
            </w:r>
            <w:r>
              <w:t xml:space="preserve">badge on Professional</w:t>
            </w:r>
          </w:p>
        </w:tc>
        <w:tc>
          <w:tcPr/>
          <w:p>
            <w:pPr>
              <w:pStyle w:val="Compact"/>
              <w:jc w:val="left"/>
            </w:pPr>
            <w:r>
              <w:t xml:space="preserve">Social proof + compromise positioning</w:t>
            </w:r>
          </w:p>
        </w:tc>
        <w:tc>
          <w:tcPr/>
          <w:p>
            <w:pPr>
              <w:pStyle w:val="Compact"/>
              <w:jc w:val="center"/>
            </w:pPr>
            <w:r>
              <w:t xml:space="preserve">20-30% conversion lift</w:t>
            </w:r>
            <w:r>
              <w:t xml:space="preserve"> </w:t>
            </w:r>
            <w:r>
              <w:rPr>
                <w:vertAlign w:val="superscript"/>
              </w:rPr>
              <w:t xml:space="preserve">105</w:t>
            </w:r>
          </w:p>
        </w:tc>
        <w:tc>
          <w:tcPr/>
          <w:p>
            <w:pPr>
              <w:pStyle w:val="Compact"/>
              <w:jc w:val="left"/>
            </w:pPr>
            <w:r>
              <w:t xml:space="preserve">Badge outperforms</w:t>
            </w:r>
            <w:r>
              <w:t xml:space="preserve"> </w:t>
            </w:r>
            <w:r>
              <w:t xml:space="preserve">“</w:t>
            </w:r>
            <w:r>
              <w:t xml:space="preserve">Recommended</w:t>
            </w:r>
            <w:r>
              <w:t xml:space="preserve">”</w:t>
            </w:r>
            <w:r>
              <w:t xml:space="preserve"> </w:t>
            </w:r>
            <w:r>
              <w:rPr>
                <w:vertAlign w:val="superscript"/>
              </w:rPr>
              <w:t xml:space="preserve">115</w:t>
            </w:r>
          </w:p>
        </w:tc>
      </w:tr>
      <w:tr>
        <w:tc>
          <w:tcPr/>
          <w:p>
            <w:pPr>
              <w:pStyle w:val="Compact"/>
              <w:jc w:val="left"/>
            </w:pPr>
            <w:r>
              <w:t xml:space="preserve">Annual billing as default</w:t>
            </w:r>
          </w:p>
        </w:tc>
        <w:tc>
          <w:tcPr/>
          <w:p>
            <w:pPr>
              <w:pStyle w:val="Compact"/>
              <w:jc w:val="left"/>
            </w:pPr>
            <w:r>
              <w:t xml:space="preserve">Loss aversion + retention lock-in</w:t>
            </w:r>
          </w:p>
        </w:tc>
        <w:tc>
          <w:tcPr/>
          <w:p>
            <w:pPr>
              <w:pStyle w:val="Compact"/>
              <w:jc w:val="center"/>
            </w:pPr>
            <w:r>
              <w:t xml:space="preserve">2-3x annual adoption</w:t>
            </w:r>
            <w:r>
              <w:t xml:space="preserve"> </w:t>
            </w:r>
            <w:r>
              <w:rPr>
                <w:vertAlign w:val="superscript"/>
              </w:rPr>
              <w:t xml:space="preserve">110</w:t>
            </w:r>
          </w:p>
        </w:tc>
        <w:tc>
          <w:tcPr/>
          <w:p>
            <w:pPr>
              <w:pStyle w:val="Compact"/>
              <w:jc w:val="left"/>
            </w:pPr>
            <w:r>
              <w:t xml:space="preserve">92% vs 68% retention; 40-71% higher LTV</w:t>
            </w:r>
            <w:r>
              <w:t xml:space="preserve"> </w:t>
            </w:r>
            <w:r>
              <w:rPr>
                <w:vertAlign w:val="superscript"/>
              </w:rPr>
              <w:t xml:space="preserve">10</w:t>
            </w:r>
          </w:p>
        </w:tc>
      </w:tr>
      <w:tr>
        <w:tc>
          <w:tcPr/>
          <w:p>
            <w:pPr>
              <w:pStyle w:val="Compact"/>
              <w:jc w:val="left"/>
            </w:pPr>
            <w:r>
              <w:t xml:space="preserve">“</w:t>
            </w:r>
            <w:r>
              <w:t xml:space="preserve">2 months free</w:t>
            </w:r>
            <w:r>
              <w:t xml:space="preserve">”</w:t>
            </w:r>
            <w:r>
              <w:t xml:space="preserve"> </w:t>
            </w:r>
            <w:r>
              <w:t xml:space="preserve">framing</w:t>
            </w:r>
          </w:p>
        </w:tc>
        <w:tc>
          <w:tcPr/>
          <w:p>
            <w:pPr>
              <w:pStyle w:val="Compact"/>
              <w:jc w:val="left"/>
            </w:pPr>
            <w:r>
              <w:t xml:space="preserve">Absolute value outperforms percentage</w:t>
            </w:r>
          </w:p>
        </w:tc>
        <w:tc>
          <w:tcPr/>
          <w:p>
            <w:pPr>
              <w:pStyle w:val="Compact"/>
              <w:jc w:val="center"/>
            </w:pPr>
            <w:r>
              <w:t xml:space="preserve">Higher conversion than</w:t>
            </w:r>
            <w:r>
              <w:t xml:space="preserve"> </w:t>
            </w:r>
            <w:r>
              <w:t xml:space="preserve">“</w:t>
            </w:r>
            <w:r>
              <w:t xml:space="preserve">Save 17%</w:t>
            </w:r>
            <w:r>
              <w:t xml:space="preserve">”</w:t>
            </w:r>
            <w:r>
              <w:t xml:space="preserve"> </w:t>
            </w:r>
            <w:r>
              <w:rPr>
                <w:vertAlign w:val="superscript"/>
              </w:rPr>
              <w:t xml:space="preserve">110</w:t>
            </w:r>
          </w:p>
        </w:tc>
        <w:tc>
          <w:tcPr/>
          <w:p>
            <w:pPr>
              <w:pStyle w:val="Compact"/>
              <w:jc w:val="left"/>
            </w:pPr>
            <w:r>
              <w:t xml:space="preserve">Behavioral economics: loss aversion &gt; gain framing</w:t>
            </w:r>
          </w:p>
        </w:tc>
      </w:tr>
      <w:tr>
        <w:tc>
          <w:tcPr/>
          <w:p>
            <w:pPr>
              <w:pStyle w:val="Compact"/>
              <w:jc w:val="left"/>
            </w:pPr>
            <w:r>
              <w:t xml:space="preserve">Student/Under-30 at 36-45% off</w:t>
            </w:r>
          </w:p>
        </w:tc>
        <w:tc>
          <w:tcPr/>
          <w:p>
            <w:pPr>
              <w:pStyle w:val="Compact"/>
              <w:jc w:val="left"/>
            </w:pPr>
            <w:r>
              <w:t xml:space="preserve">Pipeline investment; price acceptance</w:t>
            </w:r>
          </w:p>
        </w:tc>
        <w:tc>
          <w:tcPr/>
          <w:p>
            <w:pPr>
              <w:pStyle w:val="Compact"/>
              <w:jc w:val="center"/>
            </w:pPr>
            <w:r>
              <w:t xml:space="preserve">Reduced young-professional CAC</w:t>
            </w:r>
          </w:p>
        </w:tc>
        <w:tc>
          <w:tcPr/>
          <w:p>
            <w:pPr>
              <w:pStyle w:val="Compact"/>
              <w:jc w:val="left"/>
            </w:pPr>
            <w:r>
              <w:t xml:space="preserve">Chatham House model: youth rate above entry tier</w:t>
            </w:r>
            <w:r>
              <w:t xml:space="preserve"> </w:t>
            </w:r>
            <w:r>
              <w:rPr>
                <w:vertAlign w:val="superscript"/>
              </w:rPr>
              <w:t xml:space="preserve">17</w:t>
            </w:r>
          </w:p>
        </w:tc>
      </w:tr>
      <w:tr>
        <w:tc>
          <w:tcPr/>
          <w:p>
            <w:pPr>
              <w:pStyle w:val="Compact"/>
              <w:jc w:val="left"/>
            </w:pPr>
            <w:r>
              <w:t xml:space="preserve">10-day opt-in trial</w:t>
            </w:r>
          </w:p>
        </w:tc>
        <w:tc>
          <w:tcPr/>
          <w:p>
            <w:pPr>
              <w:pStyle w:val="Compact"/>
              <w:jc w:val="left"/>
            </w:pPr>
            <w:r>
              <w:t xml:space="preserve">Urgency-driven activation</w:t>
            </w:r>
          </w:p>
        </w:tc>
        <w:tc>
          <w:tcPr/>
          <w:p>
            <w:pPr>
              <w:pStyle w:val="Compact"/>
              <w:jc w:val="center"/>
            </w:pPr>
            <w:r>
              <w:t xml:space="preserve">71% better than 30-day</w:t>
            </w:r>
            <w:r>
              <w:t xml:space="preserve"> </w:t>
            </w:r>
            <w:r>
              <w:rPr>
                <w:vertAlign w:val="superscript"/>
              </w:rPr>
              <w:t xml:space="preserve">15</w:t>
            </w:r>
          </w:p>
        </w:tc>
        <w:tc>
          <w:tcPr/>
          <w:p>
            <w:pPr>
              <w:pStyle w:val="Compact"/>
              <w:jc w:val="left"/>
            </w:pPr>
            <w:r>
              <w:t xml:space="preserve">337K-user RCT: activation &gt; trial length</w:t>
            </w:r>
            <w:r>
              <w:t xml:space="preserve"> </w:t>
            </w:r>
            <w:r>
              <w:rPr>
                <w:vertAlign w:val="superscript"/>
              </w:rPr>
              <w:t xml:space="preserve">118</w:t>
            </w:r>
          </w:p>
        </w:tc>
      </w:tr>
      <w:tr>
        <w:tc>
          <w:tcPr/>
          <w:p>
            <w:pPr>
              <w:pStyle w:val="Compact"/>
              <w:jc w:val="left"/>
            </w:pPr>
            <w:r>
              <w:t xml:space="preserve">30-day money-back guarantee</w:t>
            </w:r>
          </w:p>
        </w:tc>
        <w:tc>
          <w:tcPr/>
          <w:p>
            <w:pPr>
              <w:pStyle w:val="Compact"/>
              <w:jc w:val="left"/>
            </w:pPr>
            <w:r>
              <w:t xml:space="preserve">Risk reversal</w:t>
            </w:r>
          </w:p>
        </w:tc>
        <w:tc>
          <w:tcPr/>
          <w:p>
            <w:pPr>
              <w:pStyle w:val="Compact"/>
              <w:jc w:val="center"/>
            </w:pPr>
            <w:r>
              <w:t xml:space="preserve">10-20% conversion lift</w:t>
            </w:r>
            <w:r>
              <w:t xml:space="preserve"> </w:t>
            </w:r>
            <w:r>
              <w:rPr>
                <w:vertAlign w:val="superscript"/>
              </w:rPr>
              <w:t xml:space="preserve">16</w:t>
            </w:r>
          </w:p>
        </w:tc>
        <w:tc>
          <w:tcPr/>
          <w:p>
            <w:pPr>
              <w:pStyle w:val="Compact"/>
              <w:jc w:val="left"/>
            </w:pPr>
            <w:r>
              <w:t xml:space="preserve">Extended guarantees can double conversion</w:t>
            </w:r>
            <w:r>
              <w:t xml:space="preserve"> </w:t>
            </w:r>
            <w:r>
              <w:rPr>
                <w:vertAlign w:val="superscript"/>
              </w:rPr>
              <w:t xml:space="preserve">120</w:t>
            </w:r>
          </w:p>
        </w:tc>
      </w:tr>
    </w:tbl>
    <w:p>
      <w:pPr>
        <w:pStyle w:val="BodyText"/>
      </w:pPr>
      <w:r>
        <w:t xml:space="preserve">These tactics operate multiplicatively. The decoy effect drives attention to Professional, the badge validates that choice socially, the annual default locks in highest-LTV billing, the trial reduces signup friction, and the guarantee removes buyer’s remorse. Together they create a conversion architecture where Professional annual emerges as the self-evident choice for serious professionals — precisely the member profile SRC needs.</w:t>
      </w:r>
    </w:p>
    <w:bookmarkEnd w:id="51"/>
    <w:bookmarkEnd w:id="52"/>
    <w:bookmarkStart w:id="53" w:name="corporate-membership-pricing"/>
    <w:p>
      <w:pPr>
        <w:pStyle w:val="Heading3"/>
      </w:pPr>
      <w:r>
        <w:t xml:space="preserve">4.3 Corporate Membership Pricing</w:t>
      </w:r>
    </w:p>
    <w:p>
      <w:pPr>
        <w:pStyle w:val="FirstParagraph"/>
      </w:pPr>
      <w:r>
        <w:t xml:space="preserve">Individual memberships build the funnel and brand; corporate memberships drive revenue and embed SRC into institutional workflows. The two-track architecture — parallel individual and corporate paths with connected nomination mechanics — is employed by Chatham House, CFR, and the Conference Board</w:t>
      </w:r>
      <w:r>
        <w:t xml:space="preserve"> </w:t>
      </w:r>
      <w:r>
        <w:rPr>
          <w:vertAlign w:val="superscript"/>
        </w:rPr>
        <w:t xml:space="preserve">17</w:t>
      </w:r>
      <w:r>
        <w:t xml:space="preserve"> </w:t>
      </w:r>
      <w:r>
        <w:rPr>
          <w:vertAlign w:val="superscript"/>
        </w:rPr>
        <w:t xml:space="preserve">22</w:t>
      </w:r>
      <w:r>
        <w:t xml:space="preserve"> </w:t>
      </w:r>
      <w:r>
        <w:rPr>
          <w:vertAlign w:val="superscript"/>
        </w:rPr>
        <w:t xml:space="preserve">121</w:t>
      </w:r>
      <w:r>
        <w:t xml:space="preserve">. Corporate subscriptions provide 5-50 individual login accounts (nominated members), transforming the sale from</w:t>
      </w:r>
      <w:r>
        <w:t xml:space="preserve"> </w:t>
      </w:r>
      <w:r>
        <w:t xml:space="preserve">“</w:t>
      </w:r>
      <w:r>
        <w:t xml:space="preserve">content access for the team</w:t>
      </w:r>
      <w:r>
        <w:t xml:space="preserve">”</w:t>
      </w:r>
      <w:r>
        <w:t xml:space="preserve"> </w:t>
      </w:r>
      <w:r>
        <w:t xml:space="preserve">into</w:t>
      </w:r>
      <w:r>
        <w:t xml:space="preserve"> </w:t>
      </w:r>
      <w:r>
        <w:t xml:space="preserve">“</w:t>
      </w:r>
      <w:r>
        <w:t xml:space="preserve">seats at the table for your people.</w:t>
      </w:r>
      <w:r>
        <w:t xml:space="preserve">”</w:t>
      </w:r>
    </w:p>
    <w:p>
      <w:pPr>
        <w:pStyle w:val="BodyText"/>
      </w:pPr>
      <w:r>
        <w:t xml:space="preserve">SRC’s corporate pricing uses a headcount-band model with three operational tiers plus an academic/government exception. The Team tier at CHF 3,900/year covers 5 nominated seats with a shared dashboard, basic admin controls, and standard briefing access — CHF 65 per seat monthly, below the individual Professional rate of CHF 79, creating clear volume incentive. The Department tier at CHF 9,900/year for 20 seats adds usage analytics, a private quarterly briefing, and API access modeled on The Economist Pro’s content integration approach</w:t>
      </w:r>
      <w:r>
        <w:t xml:space="preserve"> </w:t>
      </w:r>
      <w:r>
        <w:rPr>
          <w:vertAlign w:val="superscript"/>
        </w:rPr>
        <w:t xml:space="preserve">122</w:t>
      </w:r>
      <w:r>
        <w:t xml:space="preserve">— at CHF 41.25 per seat monthly, a 48% per-seat discount that makes expansion compelling.</w:t>
      </w:r>
    </w:p>
    <w:p>
      <w:pPr>
        <w:pStyle w:val="BodyText"/>
      </w:pPr>
      <w:r>
        <w:t xml:space="preserve">The Enterprise tier at CHF 24,900/year for 50+ seats includes SAML/SSO integration (table stakes for enterprise procurement)</w:t>
      </w:r>
      <w:r>
        <w:t xml:space="preserve"> </w:t>
      </w:r>
      <w:r>
        <w:rPr>
          <w:vertAlign w:val="superscript"/>
        </w:rPr>
        <w:t xml:space="preserve">123</w:t>
      </w:r>
      <w:r>
        <w:t xml:space="preserve"> </w:t>
      </w:r>
      <w:r>
        <w:rPr>
          <w:vertAlign w:val="superscript"/>
        </w:rPr>
        <w:t xml:space="preserve">124</w:t>
      </w:r>
      <w:r>
        <w:t xml:space="preserve">, a dedicated account manager, custom Teams and Slack integrations</w:t>
      </w:r>
      <w:r>
        <w:t xml:space="preserve"> </w:t>
      </w:r>
      <w:r>
        <w:rPr>
          <w:vertAlign w:val="superscript"/>
        </w:rPr>
        <w:t xml:space="preserve">122</w:t>
      </w:r>
      <w:r>
        <w:t xml:space="preserve">, and up to 12 bespoke research engagements annually — effectively bundling advisory services into membership. Designed for annual invoice via QR-bill or SEPA</w:t>
      </w:r>
      <w:r>
        <w:t xml:space="preserve"> </w:t>
      </w:r>
      <w:r>
        <w:rPr>
          <w:vertAlign w:val="superscript"/>
        </w:rPr>
        <w:t xml:space="preserve">125</w:t>
      </w:r>
      <w:r>
        <w:t xml:space="preserve">, this price sits below CFR Gold at $100,000/year</w:t>
      </w:r>
      <w:r>
        <w:t xml:space="preserve"> </w:t>
      </w:r>
      <w:r>
        <w:rPr>
          <w:vertAlign w:val="superscript"/>
        </w:rPr>
        <w:t xml:space="preserve">22</w:t>
      </w:r>
      <w:r>
        <w:t xml:space="preserve">and Chatham House Partnership at GBP 50,000+</w:t>
      </w:r>
      <w:r>
        <w:t xml:space="preserve"> </w:t>
      </w:r>
      <w:r>
        <w:rPr>
          <w:vertAlign w:val="superscript"/>
        </w:rPr>
        <w:t xml:space="preserve">20</w:t>
      </w:r>
      <w:r>
        <w:t xml:space="preserve">, positioning SRC as accessible premium while commanding serious procurement consideration.</w:t>
      </w:r>
    </w:p>
    <w:tbl>
      <w:tblPr>
        <w:tblStyle w:val="Table"/>
        <w:tblW w:type="pct" w:w="5000"/>
        <w:tblLook w:firstRow="1" w:lastRow="0" w:firstColumn="0" w:lastColumn="0" w:noHBand="0" w:noVBand="0" w:val="0020"/>
      </w:tblPr>
      <w:tblGrid>
        <w:gridCol w:w="1377"/>
        <w:gridCol w:w="1721"/>
        <w:gridCol w:w="1721"/>
        <w:gridCol w:w="1721"/>
        <w:gridCol w:w="1377"/>
      </w:tblGrid>
      <w:tr>
        <w:trPr>
          <w:tblHeader w:val="true"/>
        </w:trPr>
        <w:tc>
          <w:tcPr/>
          <w:p>
            <w:pPr>
              <w:pStyle w:val="Compact"/>
              <w:jc w:val="left"/>
            </w:pPr>
            <w:r>
              <w:t xml:space="preserve">Tier</w:t>
            </w:r>
          </w:p>
        </w:tc>
        <w:tc>
          <w:tcPr/>
          <w:p>
            <w:pPr>
              <w:pStyle w:val="Compact"/>
              <w:jc w:val="center"/>
            </w:pPr>
            <w:r>
              <w:t xml:space="preserve">Seats</w:t>
            </w:r>
          </w:p>
        </w:tc>
        <w:tc>
          <w:tcPr/>
          <w:p>
            <w:pPr>
              <w:pStyle w:val="Compact"/>
              <w:jc w:val="center"/>
            </w:pPr>
            <w:r>
              <w:t xml:space="preserve">Annual Price (CHF)</w:t>
            </w:r>
          </w:p>
        </w:tc>
        <w:tc>
          <w:tcPr/>
          <w:p>
            <w:pPr>
              <w:pStyle w:val="Compact"/>
              <w:jc w:val="center"/>
            </w:pPr>
            <w:r>
              <w:t xml:space="preserve">Per-Seat Monthly</w:t>
            </w:r>
          </w:p>
        </w:tc>
        <w:tc>
          <w:tcPr/>
          <w:p>
            <w:pPr>
              <w:pStyle w:val="Compact"/>
              <w:jc w:val="left"/>
            </w:pPr>
            <w:r>
              <w:t xml:space="preserve">Key Features</w:t>
            </w:r>
          </w:p>
        </w:tc>
      </w:tr>
      <w:tr>
        <w:tc>
          <w:tcPr/>
          <w:p>
            <w:pPr>
              <w:pStyle w:val="Compact"/>
              <w:jc w:val="left"/>
            </w:pPr>
            <w:r>
              <w:t xml:space="preserve">Team</w:t>
            </w:r>
          </w:p>
        </w:tc>
        <w:tc>
          <w:tcPr/>
          <w:p>
            <w:pPr>
              <w:pStyle w:val="Compact"/>
              <w:jc w:val="center"/>
            </w:pPr>
            <w:r>
              <w:t xml:space="preserve">5</w:t>
            </w:r>
          </w:p>
        </w:tc>
        <w:tc>
          <w:tcPr/>
          <w:p>
            <w:pPr>
              <w:pStyle w:val="Compact"/>
              <w:jc w:val="center"/>
            </w:pPr>
            <w:r>
              <w:t xml:space="preserve">3,900</w:t>
            </w:r>
          </w:p>
        </w:tc>
        <w:tc>
          <w:tcPr/>
          <w:p>
            <w:pPr>
              <w:pStyle w:val="Compact"/>
              <w:jc w:val="center"/>
            </w:pPr>
            <w:r>
              <w:t xml:space="preserve">CHF 65</w:t>
            </w:r>
          </w:p>
        </w:tc>
        <w:tc>
          <w:tcPr/>
          <w:p>
            <w:pPr>
              <w:pStyle w:val="Compact"/>
              <w:jc w:val="left"/>
            </w:pPr>
            <w:r>
              <w:t xml:space="preserve">Shared dashboard, basic admin, standard briefings</w:t>
            </w:r>
          </w:p>
        </w:tc>
      </w:tr>
      <w:tr>
        <w:tc>
          <w:tcPr/>
          <w:p>
            <w:pPr>
              <w:pStyle w:val="Compact"/>
              <w:jc w:val="left"/>
            </w:pPr>
            <w:r>
              <w:t xml:space="preserve">Department</w:t>
            </w:r>
          </w:p>
        </w:tc>
        <w:tc>
          <w:tcPr/>
          <w:p>
            <w:pPr>
              <w:pStyle w:val="Compact"/>
              <w:jc w:val="center"/>
            </w:pPr>
            <w:r>
              <w:t xml:space="preserve">20</w:t>
            </w:r>
          </w:p>
        </w:tc>
        <w:tc>
          <w:tcPr/>
          <w:p>
            <w:pPr>
              <w:pStyle w:val="Compact"/>
              <w:jc w:val="center"/>
            </w:pPr>
            <w:r>
              <w:t xml:space="preserve">9,900</w:t>
            </w:r>
          </w:p>
        </w:tc>
        <w:tc>
          <w:tcPr/>
          <w:p>
            <w:pPr>
              <w:pStyle w:val="Compact"/>
              <w:jc w:val="center"/>
            </w:pPr>
            <w:r>
              <w:t xml:space="preserve">CHF 41</w:t>
            </w:r>
          </w:p>
        </w:tc>
        <w:tc>
          <w:tcPr/>
          <w:p>
            <w:pPr>
              <w:pStyle w:val="Compact"/>
              <w:jc w:val="left"/>
            </w:pPr>
            <w:r>
              <w:t xml:space="preserve">Admin dashboard, usage analytics, private quarterly briefing, API access</w:t>
            </w:r>
            <w:r>
              <w:t xml:space="preserve"> </w:t>
            </w:r>
            <w:r>
              <w:rPr>
                <w:vertAlign w:val="superscript"/>
              </w:rPr>
              <w:t xml:space="preserve">122</w:t>
            </w:r>
          </w:p>
        </w:tc>
      </w:tr>
      <w:tr>
        <w:tc>
          <w:tcPr/>
          <w:p>
            <w:pPr>
              <w:pStyle w:val="Compact"/>
              <w:jc w:val="left"/>
            </w:pPr>
            <w:r>
              <w:t xml:space="preserve">Enterprise</w:t>
            </w:r>
          </w:p>
        </w:tc>
        <w:tc>
          <w:tcPr/>
          <w:p>
            <w:pPr>
              <w:pStyle w:val="Compact"/>
              <w:jc w:val="center"/>
            </w:pPr>
            <w:r>
              <w:t xml:space="preserve">50+</w:t>
            </w:r>
          </w:p>
        </w:tc>
        <w:tc>
          <w:tcPr/>
          <w:p>
            <w:pPr>
              <w:pStyle w:val="Compact"/>
              <w:jc w:val="center"/>
            </w:pPr>
            <w:r>
              <w:t xml:space="preserve">24,900</w:t>
            </w:r>
          </w:p>
        </w:tc>
        <w:tc>
          <w:tcPr/>
          <w:p>
            <w:pPr>
              <w:pStyle w:val="Compact"/>
              <w:jc w:val="center"/>
            </w:pPr>
            <w:r>
              <w:t xml:space="preserve">&lt; CHF 42</w:t>
            </w:r>
          </w:p>
        </w:tc>
        <w:tc>
          <w:tcPr/>
          <w:p>
            <w:pPr>
              <w:pStyle w:val="Compact"/>
              <w:jc w:val="left"/>
            </w:pPr>
            <w:r>
              <w:t xml:space="preserve">SSO/SAML</w:t>
            </w:r>
            <w:r>
              <w:t xml:space="preserve"> </w:t>
            </w:r>
            <w:r>
              <w:rPr>
                <w:vertAlign w:val="superscript"/>
              </w:rPr>
              <w:t xml:space="preserve">123</w:t>
            </w:r>
            <w:r>
              <w:t xml:space="preserve">, dedicated account manager, custom integrations, bespoke research (12/year)</w:t>
            </w:r>
          </w:p>
        </w:tc>
      </w:tr>
      <w:tr>
        <w:tc>
          <w:tcPr/>
          <w:p>
            <w:pPr>
              <w:pStyle w:val="Compact"/>
              <w:jc w:val="left"/>
            </w:pPr>
            <w:r>
              <w:t xml:space="preserve">Academic / Government</w:t>
            </w:r>
          </w:p>
        </w:tc>
        <w:tc>
          <w:tcPr/>
          <w:p>
            <w:pPr>
              <w:pStyle w:val="Compact"/>
              <w:jc w:val="center"/>
            </w:pPr>
            <w:r>
              <w:t xml:space="preserve">5</w:t>
            </w:r>
          </w:p>
        </w:tc>
        <w:tc>
          <w:tcPr/>
          <w:p>
            <w:pPr>
              <w:pStyle w:val="Compact"/>
              <w:jc w:val="center"/>
            </w:pPr>
            <w:r>
              <w:t xml:space="preserve">2,900</w:t>
            </w:r>
          </w:p>
        </w:tc>
        <w:tc>
          <w:tcPr/>
          <w:p>
            <w:pPr>
              <w:pStyle w:val="Compact"/>
              <w:jc w:val="center"/>
            </w:pPr>
            <w:r>
              <w:t xml:space="preserve">CHF 48</w:t>
            </w:r>
          </w:p>
        </w:tc>
        <w:tc>
          <w:tcPr/>
          <w:p>
            <w:pPr>
              <w:pStyle w:val="Compact"/>
              <w:jc w:val="left"/>
            </w:pPr>
            <w:r>
              <w:t xml:space="preserve">Team-equivalent at concession pricing; institutional verification required</w:t>
            </w:r>
          </w:p>
        </w:tc>
      </w:tr>
    </w:tbl>
    <w:p>
      <w:pPr>
        <w:pStyle w:val="BodyText"/>
      </w:pPr>
      <w:r>
        <w:t xml:space="preserve">The Academic/Government tier at CHF 2,900/year — a 26% discount from Team — acknowledges constrained public-sector budgets while keeping SRC competitive with CIS SecureSuite’s $2,400/year entry for organizations up to 99 employees</w:t>
      </w:r>
      <w:r>
        <w:t xml:space="preserve"> </w:t>
      </w:r>
      <w:r>
        <w:rPr>
          <w:vertAlign w:val="superscript"/>
        </w:rPr>
        <w:t xml:space="preserve">126</w:t>
      </w:r>
      <w:r>
        <w:t xml:space="preserve">. Multi-year contracts should offer 5% for 2-year and 10% for 3-year commitments following the CIS model</w:t>
      </w:r>
      <w:r>
        <w:t xml:space="preserve"> </w:t>
      </w:r>
      <w:r>
        <w:rPr>
          <w:vertAlign w:val="superscript"/>
        </w:rPr>
        <w:t xml:space="preserve">126</w:t>
      </w:r>
      <w:r>
        <w:t xml:space="preserve">.</w:t>
      </w:r>
    </w:p>
    <w:p>
      <w:pPr>
        <w:pStyle w:val="BodyText"/>
      </w:pPr>
      <w:r>
        <w:t xml:space="preserve">The pricing architecture expands naturally within client organizations: an individual subscriber scales to Team for their direct reports, then to Department or Enterprise as usage proves ROI. SaaS benchmarks show that consistent quarterly business reviews maintain net retention 15-20 points higher than reactive approaches</w:t>
      </w:r>
      <w:r>
        <w:t xml:space="preserve"> </w:t>
      </w:r>
      <w:r>
        <w:rPr>
          <w:vertAlign w:val="superscript"/>
        </w:rPr>
        <w:t xml:space="preserve">127</w:t>
      </w:r>
      <w:r>
        <w:t xml:space="preserve"> </w:t>
      </w:r>
      <w:r>
        <w:rPr>
          <w:vertAlign w:val="superscript"/>
        </w:rPr>
        <w:t xml:space="preserve">128</w:t>
      </w:r>
      <w:r>
        <w:t xml:space="preserve">. The economics decisively favor SRC: one Enterprise client at CHF 24,900 generates revenue equivalent to approximately 32 individual Professional annual memberships, with lower support overhead, near-zero churn, and the compounding effect of institutional reliance that makes non-renewal a visible organizational decision rather than an individual’s silent cancellation.</w:t>
      </w:r>
      <w:r>
        <w:t xml:space="preserve"> </w:t>
      </w:r>
      <w:r>
        <w:t xml:space="preserve">## 5. Newsletter &amp; Briefing Strategy</w:t>
      </w:r>
    </w:p>
    <w:p>
      <w:pPr>
        <w:pStyle w:val="BodyText"/>
      </w:pPr>
      <w:r>
        <w:t xml:space="preserve">Newsletters are not a distribution channel for SRC — they are the primary product surface through which members experience value daily. The Financial Times found that newsletter access is</w:t>
      </w:r>
      <w:r>
        <w:t xml:space="preserve"> </w:t>
      </w:r>
      <w:r>
        <w:t xml:space="preserve">“</w:t>
      </w:r>
      <w:r>
        <w:t xml:space="preserve">one of the key reasons readers decide to stick with the Premium subscription</w:t>
      </w:r>
      <w:r>
        <w:t xml:space="preserve">”</w:t>
      </w:r>
      <w:r>
        <w:t xml:space="preserve"> </w:t>
      </w:r>
      <w:r>
        <w:t xml:space="preserve">despite costing several hundred dollars more annually</w:t>
      </w:r>
      <w:r>
        <w:t xml:space="preserve"> </w:t>
      </w:r>
      <w:r>
        <w:rPr>
          <w:vertAlign w:val="superscript"/>
        </w:rPr>
        <w:t xml:space="preserve">129</w:t>
      </w:r>
      <w:r>
        <w:t xml:space="preserve">. The New York Times’ The Morning reaches 17 million free subscribers and converts 42% to paid plans within six months by strategically triggering paywalls on linked articles</w:t>
      </w:r>
      <w:r>
        <w:t xml:space="preserve"> </w:t>
      </w:r>
      <w:r>
        <w:rPr>
          <w:vertAlign w:val="superscript"/>
        </w:rPr>
        <w:t xml:space="preserve">130</w:t>
      </w:r>
      <w:r>
        <w:t xml:space="preserve">. For SRC, this means newsletter architecture must be designed as a tiered value ladder where each upgrade unlocks meaningfully different information products — not simply</w:t>
      </w:r>
      <w:r>
        <w:t xml:space="preserve"> </w:t>
      </w:r>
      <w:r>
        <w:t xml:space="preserve">“</w:t>
      </w:r>
      <w:r>
        <w:t xml:space="preserve">more of the same.</w:t>
      </w:r>
      <w:r>
        <w:t xml:space="preserve">”</w:t>
      </w:r>
    </w:p>
    <w:bookmarkEnd w:id="53"/>
    <w:bookmarkStart w:id="58" w:name="newsletter-architecture"/>
    <w:p>
      <w:pPr>
        <w:pStyle w:val="Heading3"/>
      </w:pPr>
      <w:r>
        <w:t xml:space="preserve">5.1 Newsletter Architecture</w:t>
      </w:r>
    </w:p>
    <w:bookmarkStart w:id="54" w:name="free-tier-src-daily-brief"/>
    <w:p>
      <w:pPr>
        <w:pStyle w:val="Heading4"/>
      </w:pPr>
      <w:r>
        <w:t xml:space="preserve">5.1.1 Free Tier:</w:t>
      </w:r>
      <w:r>
        <w:t xml:space="preserve"> </w:t>
      </w:r>
      <w:r>
        <w:t xml:space="preserve">“</w:t>
      </w:r>
      <w:r>
        <w:t xml:space="preserve">SRC Daily Brief</w:t>
      </w:r>
      <w:r>
        <w:t xml:space="preserve">”</w:t>
      </w:r>
    </w:p>
    <w:p>
      <w:pPr>
        <w:pStyle w:val="FirstParagraph"/>
      </w:pPr>
      <w:r>
        <w:t xml:space="preserve">The free-tier newsletter serves dual purposes: habit formation and quality demonstration. Research across B2B intelligence publishers confirms the</w:t>
      </w:r>
      <w:r>
        <w:t xml:space="preserve"> </w:t>
      </w:r>
      <w:r>
        <w:t xml:space="preserve">“</w:t>
      </w:r>
      <w:r>
        <w:t xml:space="preserve">magic ratio</w:t>
      </w:r>
      <w:r>
        <w:t xml:space="preserve">”</w:t>
      </w:r>
      <w:r>
        <w:t xml:space="preserve"> </w:t>
      </w:r>
      <w:r>
        <w:t xml:space="preserve">of free-to-paid content is 3:1</w:t>
      </w:r>
      <w:r>
        <w:t xml:space="preserve"> </w:t>
      </w:r>
      <w:r>
        <w:rPr>
          <w:vertAlign w:val="superscript"/>
        </w:rPr>
        <w:t xml:space="preserve">131</w:t>
      </w:r>
      <w:r>
        <w:t xml:space="preserve">. The SRC Daily Brief should publish Monday-Friday mornings (8-10 AM recipient timezone, Tuesday-Thursday being peak engagement days)</w:t>
      </w:r>
      <w:r>
        <w:t xml:space="preserve"> </w:t>
      </w:r>
      <w:r>
        <w:rPr>
          <w:vertAlign w:val="superscript"/>
        </w:rPr>
        <w:t xml:space="preserve">132</w:t>
      </w:r>
      <w:r>
        <w:t xml:space="preserve">with a five-section structure: a lead original insight of 2-3 paragraphs; four to five curated items with one-line SRC context each; one data point with brief interpretation; a preview of upcoming SRC publications; and a paid conversion CTA. This hybrid model mirrors the NYT The Morning format, which increased average read time by 4.2 minutes versus link-only newsletters</w:t>
      </w:r>
      <w:r>
        <w:t xml:space="preserve"> </w:t>
      </w:r>
      <w:r>
        <w:rPr>
          <w:vertAlign w:val="superscript"/>
        </w:rPr>
        <w:t xml:space="preserve">130</w:t>
      </w:r>
      <w:r>
        <w:t xml:space="preserve">. The newsletter itself remains free, but linked deep-dive content hits a soft paywall after three articles — embodying the principle that</w:t>
      </w:r>
      <w:r>
        <w:t xml:space="preserve"> </w:t>
      </w:r>
      <w:r>
        <w:t xml:space="preserve">“</w:t>
      </w:r>
      <w:r>
        <w:t xml:space="preserve">if this is free, I wonder what’s behind the paywall</w:t>
      </w:r>
      <w:r>
        <w:t xml:space="preserve">”</w:t>
      </w:r>
      <w:r>
        <w:t xml:space="preserve"> </w:t>
      </w:r>
      <w:r>
        <w:rPr>
          <w:vertAlign w:val="superscript"/>
        </w:rPr>
        <w:t xml:space="preserve">65</w:t>
      </w:r>
      <w:r>
        <w:t xml:space="preserve">.</w:t>
      </w:r>
    </w:p>
    <w:bookmarkEnd w:id="54"/>
    <w:bookmarkStart w:id="55" w:name="X9bd72d59baa7622646eaf2e54f76d03e7e5197c"/>
    <w:p>
      <w:pPr>
        <w:pStyle w:val="Heading4"/>
      </w:pPr>
      <w:r>
        <w:t xml:space="preserve">5.1.2 Essential+:</w:t>
      </w:r>
      <w:r>
        <w:t xml:space="preserve"> </w:t>
      </w:r>
      <w:r>
        <w:t xml:space="preserve">“</w:t>
      </w:r>
      <w:r>
        <w:t xml:space="preserve">SRC Weekly Deep-Dive</w:t>
      </w:r>
      <w:r>
        <w:t xml:space="preserve">”</w:t>
      </w:r>
      <w:r>
        <w:t xml:space="preserve"> </w:t>
      </w:r>
      <w:r>
        <w:t xml:space="preserve">and</w:t>
      </w:r>
      <w:r>
        <w:t xml:space="preserve"> </w:t>
      </w:r>
      <w:r>
        <w:t xml:space="preserve">“</w:t>
      </w:r>
      <w:r>
        <w:t xml:space="preserve">SRC Signal</w:t>
      </w:r>
      <w:r>
        <w:t xml:space="preserve">”</w:t>
      </w:r>
    </w:p>
    <w:p>
      <w:pPr>
        <w:pStyle w:val="FirstParagraph"/>
      </w:pPr>
      <w:r>
        <w:t xml:space="preserve">Essential members unlock two additional newsletter products. The SRC Weekly Deep-Dive is original long-form analysis of 1,500-2,500 words published every Saturday, subscriber-only — following the Stratechery model where Ben Thompson publishes 2,000+ word analyses behind a paid wall, demonstrating that long-form works when expertise is unavailable elsewhere</w:t>
      </w:r>
      <w:r>
        <w:t xml:space="preserve"> </w:t>
      </w:r>
      <w:r>
        <w:rPr>
          <w:vertAlign w:val="superscript"/>
        </w:rPr>
        <w:t xml:space="preserve">133</w:t>
      </w:r>
      <w:r>
        <w:t xml:space="preserve">. The NYT found that</w:t>
      </w:r>
      <w:r>
        <w:t xml:space="preserve"> </w:t>
      </w:r>
      <w:r>
        <w:t xml:space="preserve">“</w:t>
      </w:r>
      <w:r>
        <w:t xml:space="preserve">subscribers who receive at least one of the subscriber-only newsletters in the portfolio retain better than those with free newsletters</w:t>
      </w:r>
      <w:r>
        <w:t xml:space="preserve">”</w:t>
      </w:r>
      <w:r>
        <w:t xml:space="preserve"> </w:t>
      </w:r>
      <w:r>
        <w:rPr>
          <w:vertAlign w:val="superscript"/>
        </w:rPr>
        <w:t xml:space="preserve">134</w:t>
      </w:r>
      <w:r>
        <w:t xml:space="preserve">, with subscriber-only products requiring full narrative pieces, specific topical focus, and community elements</w:t>
      </w:r>
      <w:r>
        <w:t xml:space="preserve"> </w:t>
      </w:r>
      <w:r>
        <w:rPr>
          <w:vertAlign w:val="superscript"/>
        </w:rPr>
        <w:t xml:space="preserve">135</w:t>
      </w:r>
      <w:r>
        <w:t xml:space="preserve">. The second product is SRC Signal — a topic-filtered alert newsletter allowing members to select from geopolitics, defense, cybersecurity, economic security, or energy/climate verticals, delivering when developments occur in their chosen focus areas.</w:t>
      </w:r>
    </w:p>
    <w:bookmarkEnd w:id="55"/>
    <w:bookmarkStart w:id="56" w:name="Xcea20f6f37720ff951fc7ef9dda601bb045f6ef"/>
    <w:p>
      <w:pPr>
        <w:pStyle w:val="Heading4"/>
      </w:pPr>
      <w:r>
        <w:t xml:space="preserve">5.1.3 Professional+:</w:t>
      </w:r>
      <w:r>
        <w:t xml:space="preserve"> </w:t>
      </w:r>
      <w:r>
        <w:t xml:space="preserve">“</w:t>
      </w:r>
      <w:r>
        <w:t xml:space="preserve">SRC Forecast</w:t>
      </w:r>
      <w:r>
        <w:t xml:space="preserve">”</w:t>
      </w:r>
      <w:r>
        <w:t xml:space="preserve"> </w:t>
      </w:r>
      <w:r>
        <w:t xml:space="preserve">and</w:t>
      </w:r>
      <w:r>
        <w:t xml:space="preserve"> </w:t>
      </w:r>
      <w:r>
        <w:t xml:space="preserve">“</w:t>
      </w:r>
      <w:r>
        <w:t xml:space="preserve">Behind the Scenes</w:t>
      </w:r>
      <w:r>
        <w:t xml:space="preserve">”</w:t>
      </w:r>
    </w:p>
    <w:p>
      <w:pPr>
        <w:pStyle w:val="FirstParagraph"/>
      </w:pPr>
      <w:r>
        <w:t xml:space="preserve">Professional members receive two exclusive newsletter products demonstrating methodological transparency and forward-looking capability. SRC Forecast publishes quarterly scenario analysis examining three plausible futures for major geopolitical or security issues over 12-24 month horizons, with probability assessments and indicator tracking — addressing the premium-tier demand for forward-looking analysis over backward-looking reporting</w:t>
      </w:r>
      <w:r>
        <w:t xml:space="preserve"> </w:t>
      </w:r>
      <w:r>
        <w:rPr>
          <w:vertAlign w:val="superscript"/>
        </w:rPr>
        <w:t xml:space="preserve">80</w:t>
      </w:r>
      <w:r>
        <w:t xml:space="preserve">. Behind the Scenes exposes SRC’s methodology, source evaluation criteria, and analytical reasoning, building trust through the</w:t>
      </w:r>
      <w:r>
        <w:t xml:space="preserve"> </w:t>
      </w:r>
      <w:r>
        <w:t xml:space="preserve">“</w:t>
      </w:r>
      <w:r>
        <w:t xml:space="preserve">AI Disclosure Trust Premium</w:t>
      </w:r>
      <w:r>
        <w:t xml:space="preserve">”</w:t>
      </w:r>
      <w:r>
        <w:t xml:space="preserve"> </w:t>
      </w:r>
      <w:r>
        <w:t xml:space="preserve">effect where visible AI-to-analyst-to-publication pipelines signal rigor rather than corner-cutting</w:t>
      </w:r>
      <w:r>
        <w:t xml:space="preserve"> </w:t>
      </w:r>
      <w:r>
        <w:rPr>
          <w:vertAlign w:val="superscript"/>
        </w:rPr>
        <w:t xml:space="preserve">88</w:t>
      </w:r>
      <w:r>
        <w:t xml:space="preserve">. Professional newsletters include audio versions via AI narration at near-zero marginal cost — 48% of Americans consume spoken-word audio daily, with publishers like Berlingske reporting 50% completion rates for narrated subscriber articles</w:t>
      </w:r>
      <w:r>
        <w:t xml:space="preserve"> </w:t>
      </w:r>
      <w:r>
        <w:rPr>
          <w:vertAlign w:val="superscript"/>
        </w:rPr>
        <w:t xml:space="preserve">136</w:t>
      </w:r>
      <w:r>
        <w:t xml:space="preserve"> </w:t>
      </w:r>
      <w:r>
        <w:rPr>
          <w:vertAlign w:val="superscript"/>
        </w:rPr>
        <w:t xml:space="preserve">137</w:t>
      </w:r>
      <w:r>
        <w:t xml:space="preserve">.</w:t>
      </w:r>
    </w:p>
    <w:bookmarkEnd w:id="56"/>
    <w:bookmarkStart w:id="57" w:name="X9d2d3251111d19366d5676de5fa283e64d99d2d"/>
    <w:p>
      <w:pPr>
        <w:pStyle w:val="Heading4"/>
      </w:pPr>
      <w:r>
        <w:t xml:space="preserve">5.1.4 All Tiers: Customization and Personalization</w:t>
      </w:r>
    </w:p>
    <w:p>
      <w:pPr>
        <w:pStyle w:val="FirstParagraph"/>
      </w:pPr>
      <w:r>
        <w:t xml:space="preserve">Every tier, including free, offers customizable topic preferences, regional focus selection (Europe, Asia-Pacific, Americas, Middle East), and frequency control. FT’s FirstFT operates three regional editions for timezone-optimized delivery</w:t>
      </w:r>
      <w:r>
        <w:t xml:space="preserve"> </w:t>
      </w:r>
      <w:r>
        <w:rPr>
          <w:vertAlign w:val="superscript"/>
        </w:rPr>
        <w:t xml:space="preserve">138</w:t>
      </w:r>
      <w:r>
        <w:t xml:space="preserve">— SRC should replicate this. Well-executed segmentation delivers 50% higher click-through rates</w:t>
      </w:r>
      <w:r>
        <w:t xml:space="preserve"> </w:t>
      </w:r>
      <w:r>
        <w:rPr>
          <w:vertAlign w:val="superscript"/>
        </w:rPr>
        <w:t xml:space="preserve">139</w:t>
      </w:r>
      <w:r>
        <w:t xml:space="preserve">, and publishers using AI-powered dynamic content curation report 41% revenue increases from email</w:t>
      </w:r>
      <w:r>
        <w:t xml:space="preserve"> </w:t>
      </w:r>
      <w:r>
        <w:rPr>
          <w:vertAlign w:val="superscript"/>
        </w:rPr>
        <w:t xml:space="preserve">139</w:t>
      </w:r>
      <w:r>
        <w:t xml:space="preserve">. For MVP, SRC should implement a preference center allowing geographic focus, topic preferences, frequency (daily brief, weekly digest, or both), and format preference — demonstrably reducing unsubscribes by giving readers control</w:t>
      </w:r>
      <w:r>
        <w:t xml:space="preserve"> </w:t>
      </w:r>
      <w:r>
        <w:rPr>
          <w:vertAlign w:val="superscript"/>
        </w:rPr>
        <w:t xml:space="preserve">140</w:t>
      </w:r>
      <w:r>
        <w:t xml:space="preserve">. Personalization should mature progressively: basic industry/title segmentation → behavioral tracking → predictive targeting → account-based personalization for corporate memberships.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Newsletter Product</w:t>
            </w:r>
          </w:p>
        </w:tc>
        <w:tc>
          <w:tcPr/>
          <w:p>
            <w:pPr>
              <w:pStyle w:val="Compact"/>
              <w:jc w:val="left"/>
            </w:pPr>
            <w:r>
              <w:t xml:space="preserve">Free</w:t>
            </w:r>
          </w:p>
        </w:tc>
        <w:tc>
          <w:tcPr/>
          <w:p>
            <w:pPr>
              <w:pStyle w:val="Compact"/>
              <w:jc w:val="left"/>
            </w:pPr>
            <w:r>
              <w:t xml:space="preserve">Essential</w:t>
            </w:r>
          </w:p>
        </w:tc>
        <w:tc>
          <w:tcPr/>
          <w:p>
            <w:pPr>
              <w:pStyle w:val="Compact"/>
              <w:jc w:val="left"/>
            </w:pPr>
            <w:r>
              <w:t xml:space="preserve">Professional</w:t>
            </w:r>
          </w:p>
        </w:tc>
        <w:tc>
          <w:tcPr/>
          <w:p>
            <w:pPr>
              <w:pStyle w:val="Compact"/>
              <w:jc w:val="left"/>
            </w:pPr>
            <w:r>
              <w:t xml:space="preserve">Executive</w:t>
            </w:r>
          </w:p>
        </w:tc>
      </w:tr>
      <w:tr>
        <w:tc>
          <w:tcPr/>
          <w:p>
            <w:pPr>
              <w:pStyle w:val="Compact"/>
              <w:jc w:val="left"/>
            </w:pPr>
            <w:r>
              <w:t xml:space="preserve">SRC Daily Brief (Mon-Fri)</w:t>
            </w:r>
          </w:p>
        </w:tc>
        <w:tc>
          <w:tcPr/>
          <w:p>
            <w:pPr>
              <w:pStyle w:val="Compact"/>
              <w:jc w:val="left"/>
            </w:pPr>
            <w:r>
              <w:t xml:space="preserve">✓ (lead insight + curated items + CTA)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SRC Weekly Deep-Dive (Sat)</w:t>
            </w:r>
          </w:p>
        </w:tc>
        <w:tc>
          <w:tcPr/>
          <w:p>
            <w:pPr>
              <w:pStyle w:val="Compact"/>
              <w:jc w:val="left"/>
            </w:pPr>
            <w:r>
              <w:t xml:space="preserve">Preview only (first 40%)</w:t>
            </w:r>
          </w:p>
        </w:tc>
        <w:tc>
          <w:tcPr/>
          <w:p>
            <w:pPr>
              <w:pStyle w:val="Compact"/>
              <w:jc w:val="left"/>
            </w:pPr>
            <w:r>
              <w:t xml:space="preserve">✓ Full access</w:t>
            </w:r>
          </w:p>
        </w:tc>
        <w:tc>
          <w:tcPr/>
          <w:p>
            <w:pPr>
              <w:pStyle w:val="Compact"/>
              <w:jc w:val="left"/>
            </w:pPr>
            <w:r>
              <w:t xml:space="preserve">✓ Full access</w:t>
            </w:r>
          </w:p>
        </w:tc>
        <w:tc>
          <w:tcPr/>
          <w:p>
            <w:pPr>
              <w:pStyle w:val="Compact"/>
              <w:jc w:val="left"/>
            </w:pPr>
            <w:r>
              <w:t xml:space="preserve">✓ Full access</w:t>
            </w:r>
          </w:p>
        </w:tc>
      </w:tr>
      <w:tr>
        <w:tc>
          <w:tcPr/>
          <w:p>
            <w:pPr>
              <w:pStyle w:val="Compact"/>
              <w:jc w:val="left"/>
            </w:pPr>
            <w:r>
              <w:t xml:space="preserve">SRC Signal (topic alerts)</w:t>
            </w:r>
          </w:p>
        </w:tc>
        <w:tc>
          <w:tcPr/>
          <w:p>
            <w:pPr>
              <w:pStyle w:val="Compact"/>
              <w:jc w:val="left"/>
            </w:pPr>
            <w:r>
              <w:t xml:space="preserve">—</w:t>
            </w:r>
          </w:p>
        </w:tc>
        <w:tc>
          <w:tcPr/>
          <w:p>
            <w:pPr>
              <w:pStyle w:val="Compact"/>
              <w:jc w:val="left"/>
            </w:pPr>
            <w:r>
              <w:t xml:space="preserve">✓ (1 topic)</w:t>
            </w:r>
          </w:p>
        </w:tc>
        <w:tc>
          <w:tcPr/>
          <w:p>
            <w:pPr>
              <w:pStyle w:val="Compact"/>
              <w:jc w:val="left"/>
            </w:pPr>
            <w:r>
              <w:t xml:space="preserve">✓ (3 topics)</w:t>
            </w:r>
          </w:p>
        </w:tc>
        <w:tc>
          <w:tcPr/>
          <w:p>
            <w:pPr>
              <w:pStyle w:val="Compact"/>
              <w:jc w:val="left"/>
            </w:pPr>
            <w:r>
              <w:t xml:space="preserve">✓ (unlimited)</w:t>
            </w:r>
          </w:p>
        </w:tc>
      </w:tr>
      <w:tr>
        <w:tc>
          <w:tcPr/>
          <w:p>
            <w:pPr>
              <w:pStyle w:val="Compact"/>
              <w:jc w:val="left"/>
            </w:pPr>
            <w:r>
              <w:t xml:space="preserve">SRC Forecast (quarterly)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 exclusive briefing</w:t>
            </w:r>
          </w:p>
        </w:tc>
      </w:tr>
      <w:tr>
        <w:tc>
          <w:tcPr/>
          <w:p>
            <w:pPr>
              <w:pStyle w:val="Compact"/>
              <w:jc w:val="left"/>
            </w:pPr>
            <w:r>
              <w:t xml:space="preserve">Behind the Scenes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SRC Alert (breaking news)</w:t>
            </w:r>
          </w:p>
        </w:tc>
        <w:tc>
          <w:tcPr/>
          <w:p>
            <w:pPr>
              <w:pStyle w:val="Compact"/>
              <w:jc w:val="left"/>
            </w:pPr>
            <w:r>
              <w:t xml:space="preserve">Weekly digest only</w:t>
            </w:r>
          </w:p>
        </w:tc>
        <w:tc>
          <w:tcPr/>
          <w:p>
            <w:pPr>
              <w:pStyle w:val="Compact"/>
              <w:jc w:val="left"/>
            </w:pPr>
            <w:r>
              <w:t xml:space="preserve">250-500 word updates</w:t>
            </w:r>
          </w:p>
        </w:tc>
        <w:tc>
          <w:tcPr/>
          <w:p>
            <w:pPr>
              <w:pStyle w:val="Compact"/>
              <w:jc w:val="left"/>
            </w:pPr>
            <w:r>
              <w:t xml:space="preserve">150-250 word newsbreaks</w:t>
            </w:r>
          </w:p>
        </w:tc>
        <w:tc>
          <w:tcPr/>
          <w:p>
            <w:pPr>
              <w:pStyle w:val="Compact"/>
              <w:jc w:val="left"/>
            </w:pPr>
            <w:r>
              <w:t xml:space="preserve">&lt;100 word flash alerts</w:t>
            </w:r>
          </w:p>
        </w:tc>
      </w:tr>
      <w:tr>
        <w:tc>
          <w:tcPr/>
          <w:p>
            <w:pPr>
              <w:pStyle w:val="Compact"/>
              <w:jc w:val="left"/>
            </w:pPr>
            <w:r>
              <w:t xml:space="preserve">Audio versions</w:t>
            </w:r>
          </w:p>
        </w:tc>
        <w:tc>
          <w:tcPr/>
          <w:p>
            <w:pPr>
              <w:pStyle w:val="Compact"/>
              <w:jc w:val="left"/>
            </w:pPr>
            <w:r>
              <w:t xml:space="preserve">—</w:t>
            </w:r>
          </w:p>
        </w:tc>
        <w:tc>
          <w:tcPr/>
          <w:p>
            <w:pPr>
              <w:pStyle w:val="Compact"/>
              <w:jc w:val="left"/>
            </w:pPr>
            <w:r>
              <w:t xml:space="preserve">Daily Brief only</w:t>
            </w:r>
          </w:p>
        </w:tc>
        <w:tc>
          <w:tcPr/>
          <w:p>
            <w:pPr>
              <w:pStyle w:val="Compact"/>
              <w:jc w:val="left"/>
            </w:pPr>
            <w:r>
              <w:t xml:space="preserve">All newsletters</w:t>
            </w:r>
          </w:p>
        </w:tc>
        <w:tc>
          <w:tcPr/>
          <w:p>
            <w:pPr>
              <w:pStyle w:val="Compact"/>
              <w:jc w:val="left"/>
            </w:pPr>
            <w:r>
              <w:t xml:space="preserve">All + podcast interviews</w:t>
            </w:r>
          </w:p>
        </w:tc>
      </w:tr>
      <w:tr>
        <w:tc>
          <w:tcPr/>
          <w:p>
            <w:pPr>
              <w:pStyle w:val="Compact"/>
              <w:jc w:val="left"/>
            </w:pPr>
            <w:r>
              <w:t xml:space="preserve">Archive access</w:t>
            </w:r>
          </w:p>
        </w:tc>
        <w:tc>
          <w:tcPr/>
          <w:p>
            <w:pPr>
              <w:pStyle w:val="Compact"/>
              <w:jc w:val="left"/>
            </w:pPr>
            <w:r>
              <w:t xml:space="preserve">Last 30 days</w:t>
            </w:r>
          </w:p>
        </w:tc>
        <w:tc>
          <w:tcPr/>
          <w:p>
            <w:pPr>
              <w:pStyle w:val="Compact"/>
              <w:jc w:val="left"/>
            </w:pPr>
            <w:r>
              <w:t xml:space="preserve">Last 6 months</w:t>
            </w:r>
          </w:p>
        </w:tc>
        <w:tc>
          <w:tcPr/>
          <w:p>
            <w:pPr>
              <w:pStyle w:val="Compact"/>
              <w:jc w:val="left"/>
            </w:pPr>
            <w:r>
              <w:t xml:space="preserve">Last 2 years</w:t>
            </w:r>
          </w:p>
        </w:tc>
        <w:tc>
          <w:tcPr/>
          <w:p>
            <w:pPr>
              <w:pStyle w:val="Compact"/>
              <w:jc w:val="left"/>
            </w:pPr>
            <w:r>
              <w:t xml:space="preserve">Full (founding)</w:t>
            </w:r>
          </w:p>
        </w:tc>
      </w:tr>
      <w:tr>
        <w:tc>
          <w:tcPr/>
          <w:p>
            <w:pPr>
              <w:pStyle w:val="Compact"/>
              <w:jc w:val="left"/>
            </w:pPr>
            <w:r>
              <w:t xml:space="preserve">Custom topic filters</w:t>
            </w:r>
          </w:p>
        </w:tc>
        <w:tc>
          <w:tcPr/>
          <w:p>
            <w:pPr>
              <w:pStyle w:val="Compact"/>
              <w:jc w:val="left"/>
            </w:pPr>
            <w:r>
              <w:t xml:space="preserve">—</w:t>
            </w:r>
          </w:p>
        </w:tc>
        <w:tc>
          <w:tcPr/>
          <w:p>
            <w:pPr>
              <w:pStyle w:val="Compact"/>
              <w:jc w:val="left"/>
            </w:pPr>
            <w:r>
              <w:t xml:space="preserve">1 region + 1 topic</w:t>
            </w:r>
          </w:p>
        </w:tc>
        <w:tc>
          <w:tcPr/>
          <w:p>
            <w:pPr>
              <w:pStyle w:val="Compact"/>
              <w:jc w:val="left"/>
            </w:pPr>
            <w:r>
              <w:t xml:space="preserve">2 regions + 3 topics</w:t>
            </w:r>
          </w:p>
        </w:tc>
        <w:tc>
          <w:tcPr/>
          <w:p>
            <w:pPr>
              <w:pStyle w:val="Compact"/>
              <w:jc w:val="left"/>
            </w:pPr>
            <w:r>
              <w:t xml:space="preserve">Unlimited + watchlists</w:t>
            </w:r>
          </w:p>
        </w:tc>
      </w:tr>
    </w:tbl>
    <w:p>
      <w:pPr>
        <w:pStyle w:val="BodyText"/>
      </w:pPr>
      <w:r>
        <w:t xml:space="preserve">The table above reveals a deliberate content-format progression designed to make each tier upgrade feel substantively different rather than merely incremental. Free subscribers receive curated intelligence with original framing; Essential members unlock depth through long-form analysis and topic filtering; Professional members gain methodological transparency and forward-looking scenario work; Executive members access real-time alerts and personalized intelligence services. This architecture follows the</w:t>
      </w:r>
      <w:r>
        <w:t xml:space="preserve"> </w:t>
      </w:r>
      <w:r>
        <w:t xml:space="preserve">“</w:t>
      </w:r>
      <w:r>
        <w:t xml:space="preserve">Content Format Taxonomy</w:t>
      </w:r>
      <w:r>
        <w:t xml:space="preserve">”</w:t>
      </w:r>
      <w:r>
        <w:t xml:space="preserve"> </w:t>
      </w:r>
      <w:r>
        <w:t xml:space="preserve">principle: tier by format type rather than arbitrary volume limits, because format inherently signals value — opinions are quick takes, reports are structured analysis, studies are comprehensive research, and briefings are interactive intelligence</w:t>
      </w:r>
      <w:r>
        <w:t xml:space="preserve"> </w:t>
      </w:r>
      <w:r>
        <w:rPr>
          <w:vertAlign w:val="superscript"/>
        </w:rPr>
        <w:t xml:space="preserve">133</w:t>
      </w:r>
      <w:r>
        <w:t xml:space="preserve">. The 3:1 free-to-paid content ratio applies specifically to the Daily Brief: for every one piece that links to paywalled content, three pieces should be fully accessible. B2B newsletters command $25-100+ monthly</w:t>
      </w:r>
      <w:r>
        <w:t xml:space="preserve"> </w:t>
      </w:r>
      <w:r>
        <w:rPr>
          <w:vertAlign w:val="superscript"/>
        </w:rPr>
        <w:t xml:space="preserve">13</w:t>
      </w:r>
      <w:r>
        <w:t xml:space="preserve">, and the newsletter portfolio must justify this pricing through clear format differentiation.</w:t>
      </w:r>
    </w:p>
    <w:bookmarkEnd w:id="57"/>
    <w:bookmarkEnd w:id="58"/>
    <w:bookmarkStart w:id="62" w:name="breaking-news-alert-system"/>
    <w:p>
      <w:pPr>
        <w:pStyle w:val="Heading3"/>
      </w:pPr>
      <w:r>
        <w:t xml:space="preserve">5.2 Breaking News Alert System</w:t>
      </w:r>
    </w:p>
    <w:bookmarkStart w:id="59" w:name="five-tier-alert-hierarchy"/>
    <w:p>
      <w:pPr>
        <w:pStyle w:val="Heading4"/>
      </w:pPr>
      <w:r>
        <w:t xml:space="preserve">5.2.1 Five-Tier Alert Hierarchy</w:t>
      </w:r>
    </w:p>
    <w:p>
      <w:pPr>
        <w:pStyle w:val="FirstParagraph"/>
      </w:pPr>
      <w:r>
        <w:t xml:space="preserve">Breaking news delivery speed functions as a precise tier differentiator that costs little to implement but creates powerful upgrade incentives. In security and resilience, speed is mission-critical — a corporate security chief will pay premium prices for a guaranteed four-hour analyst response</w:t>
      </w:r>
      <w:r>
        <w:t xml:space="preserve"> </w:t>
      </w:r>
      <w:r>
        <w:rPr>
          <w:vertAlign w:val="superscript"/>
        </w:rPr>
        <w:t xml:space="preserve">86</w:t>
      </w:r>
      <w:r>
        <w:t xml:space="preserve">. SRC’s five-tier alert hierarchy mirrors the intelligence industry standard: GCTI reserves real-time flash alerts for its SOVEREIGN tier ($9,970/year), RANE Worldview delivers daily briefs only to Essential+ subscribers, and Control Risks ONE provides 24/7 analyst-validated alerts exclusively to enterprise clients</w:t>
      </w:r>
      <w:r>
        <w:t xml:space="preserve"> </w:t>
      </w:r>
      <w:r>
        <w:rPr>
          <w:vertAlign w:val="superscript"/>
        </w:rPr>
        <w:t xml:space="preserve">9</w:t>
      </w:r>
      <w:r>
        <w:t xml:space="preserve"> </w:t>
      </w:r>
      <w:r>
        <w:rPr>
          <w:vertAlign w:val="superscript"/>
        </w:rPr>
        <w:t xml:space="preserve">4</w:t>
      </w:r>
      <w:r>
        <w:t xml:space="preserve"> </w:t>
      </w:r>
      <w:r>
        <w:rPr>
          <w:vertAlign w:val="superscript"/>
        </w:rPr>
        <w:t xml:space="preserve">141</w:t>
      </w:r>
      <w:r>
        <w:t xml:space="preserve">. The hierarchy maps directly to tiers: Flash Alerts (Executive only, under 100 words, SMS+push, 5-15 minutes); Newsbreaks (Professional+, 150-250 words, 15-30 minutes); Updates (Essential+, 250-500 words, 30-60 minutes); Analysis (all paid, 500-800 words, 2-12 hours); and Weekly Roundup (all tiers, Friday AM).</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Alert Tier</w:t>
            </w:r>
          </w:p>
        </w:tc>
        <w:tc>
          <w:tcPr/>
          <w:p>
            <w:pPr>
              <w:pStyle w:val="Compact"/>
              <w:jc w:val="left"/>
            </w:pPr>
            <w:r>
              <w:t xml:space="preserve">Word Count</w:t>
            </w:r>
          </w:p>
        </w:tc>
        <w:tc>
          <w:tcPr/>
          <w:p>
            <w:pPr>
              <w:pStyle w:val="Compact"/>
              <w:jc w:val="left"/>
            </w:pPr>
            <w:r>
              <w:t xml:space="preserve">Delivery Time</w:t>
            </w:r>
          </w:p>
        </w:tc>
        <w:tc>
          <w:tcPr/>
          <w:p>
            <w:pPr>
              <w:pStyle w:val="Compact"/>
              <w:jc w:val="left"/>
            </w:pPr>
            <w:r>
              <w:t xml:space="preserve">Channels</w:t>
            </w:r>
          </w:p>
        </w:tc>
        <w:tc>
          <w:tcPr/>
          <w:p>
            <w:pPr>
              <w:pStyle w:val="Compact"/>
              <w:jc w:val="left"/>
            </w:pPr>
            <w:r>
              <w:t xml:space="preserve">Eligible Tiers</w:t>
            </w:r>
          </w:p>
        </w:tc>
        <w:tc>
          <w:tcPr/>
          <w:p>
            <w:pPr>
              <w:pStyle w:val="Compact"/>
              <w:jc w:val="left"/>
            </w:pPr>
            <w:r>
              <w:t xml:space="preserve">Example Trigger</w:t>
            </w:r>
          </w:p>
        </w:tc>
      </w:tr>
      <w:tr>
        <w:tc>
          <w:tcPr/>
          <w:p>
            <w:pPr>
              <w:pStyle w:val="Compact"/>
              <w:jc w:val="left"/>
            </w:pPr>
            <w:r>
              <w:t xml:space="preserve">Flash Alert</w:t>
            </w:r>
          </w:p>
        </w:tc>
        <w:tc>
          <w:tcPr/>
          <w:p>
            <w:pPr>
              <w:pStyle w:val="Compact"/>
              <w:jc w:val="left"/>
            </w:pPr>
            <w:r>
              <w:t xml:space="preserve">&lt;100 words</w:t>
            </w:r>
          </w:p>
        </w:tc>
        <w:tc>
          <w:tcPr/>
          <w:p>
            <w:pPr>
              <w:pStyle w:val="Compact"/>
              <w:jc w:val="left"/>
            </w:pPr>
            <w:r>
              <w:t xml:space="preserve">5-15 min</w:t>
            </w:r>
          </w:p>
        </w:tc>
        <w:tc>
          <w:tcPr/>
          <w:p>
            <w:pPr>
              <w:pStyle w:val="Compact"/>
              <w:jc w:val="left"/>
            </w:pPr>
            <w:r>
              <w:t xml:space="preserve">SMS + push + email</w:t>
            </w:r>
          </w:p>
        </w:tc>
        <w:tc>
          <w:tcPr/>
          <w:p>
            <w:pPr>
              <w:pStyle w:val="Compact"/>
              <w:jc w:val="left"/>
            </w:pPr>
            <w:r>
              <w:t xml:space="preserve">Executive only</w:t>
            </w:r>
          </w:p>
        </w:tc>
        <w:tc>
          <w:tcPr/>
          <w:p>
            <w:pPr>
              <w:pStyle w:val="Compact"/>
              <w:jc w:val="left"/>
            </w:pPr>
            <w:r>
              <w:t xml:space="preserve">Major military engagement, critical infrastructure attack</w:t>
            </w:r>
          </w:p>
        </w:tc>
      </w:tr>
      <w:tr>
        <w:tc>
          <w:tcPr/>
          <w:p>
            <w:pPr>
              <w:pStyle w:val="Compact"/>
              <w:jc w:val="left"/>
            </w:pPr>
            <w:r>
              <w:t xml:space="preserve">Newsbreak</w:t>
            </w:r>
          </w:p>
        </w:tc>
        <w:tc>
          <w:tcPr/>
          <w:p>
            <w:pPr>
              <w:pStyle w:val="Compact"/>
              <w:jc w:val="left"/>
            </w:pPr>
            <w:r>
              <w:t xml:space="preserve">150-250 words</w:t>
            </w:r>
          </w:p>
        </w:tc>
        <w:tc>
          <w:tcPr/>
          <w:p>
            <w:pPr>
              <w:pStyle w:val="Compact"/>
              <w:jc w:val="left"/>
            </w:pPr>
            <w:r>
              <w:t xml:space="preserve">15-30 min</w:t>
            </w:r>
          </w:p>
        </w:tc>
        <w:tc>
          <w:tcPr/>
          <w:p>
            <w:pPr>
              <w:pStyle w:val="Compact"/>
              <w:jc w:val="left"/>
            </w:pPr>
            <w:r>
              <w:t xml:space="preserve">Push + email</w:t>
            </w:r>
          </w:p>
        </w:tc>
        <w:tc>
          <w:tcPr/>
          <w:p>
            <w:pPr>
              <w:pStyle w:val="Compact"/>
              <w:jc w:val="left"/>
            </w:pPr>
            <w:r>
              <w:t xml:space="preserve">Professional+</w:t>
            </w:r>
          </w:p>
        </w:tc>
        <w:tc>
          <w:tcPr/>
          <w:p>
            <w:pPr>
              <w:pStyle w:val="Compact"/>
              <w:jc w:val="left"/>
            </w:pPr>
            <w:r>
              <w:t xml:space="preserve">Sanctions regime change, significant cyber incident</w:t>
            </w:r>
          </w:p>
        </w:tc>
      </w:tr>
      <w:tr>
        <w:tc>
          <w:tcPr/>
          <w:p>
            <w:pPr>
              <w:pStyle w:val="Compact"/>
              <w:jc w:val="left"/>
            </w:pPr>
            <w:r>
              <w:t xml:space="preserve">Update</w:t>
            </w:r>
          </w:p>
        </w:tc>
        <w:tc>
          <w:tcPr/>
          <w:p>
            <w:pPr>
              <w:pStyle w:val="Compact"/>
              <w:jc w:val="left"/>
            </w:pPr>
            <w:r>
              <w:t xml:space="preserve">250-500 words</w:t>
            </w:r>
          </w:p>
        </w:tc>
        <w:tc>
          <w:tcPr/>
          <w:p>
            <w:pPr>
              <w:pStyle w:val="Compact"/>
              <w:jc w:val="left"/>
            </w:pPr>
            <w:r>
              <w:t xml:space="preserve">30-60 min</w:t>
            </w:r>
          </w:p>
        </w:tc>
        <w:tc>
          <w:tcPr/>
          <w:p>
            <w:pPr>
              <w:pStyle w:val="Compact"/>
              <w:jc w:val="left"/>
            </w:pPr>
            <w:r>
              <w:t xml:space="preserve">Email + dashboard</w:t>
            </w:r>
          </w:p>
        </w:tc>
        <w:tc>
          <w:tcPr/>
          <w:p>
            <w:pPr>
              <w:pStyle w:val="Compact"/>
              <w:jc w:val="left"/>
            </w:pPr>
            <w:r>
              <w:t xml:space="preserve">Essential+</w:t>
            </w:r>
          </w:p>
        </w:tc>
        <w:tc>
          <w:tcPr/>
          <w:p>
            <w:pPr>
              <w:pStyle w:val="Compact"/>
              <w:jc w:val="left"/>
            </w:pPr>
            <w:r>
              <w:t xml:space="preserve">Policy shifts, emerging threat indicators</w:t>
            </w:r>
          </w:p>
        </w:tc>
      </w:tr>
      <w:tr>
        <w:tc>
          <w:tcPr/>
          <w:p>
            <w:pPr>
              <w:pStyle w:val="Compact"/>
              <w:jc w:val="left"/>
            </w:pPr>
            <w:r>
              <w:t xml:space="preserve">Analysis</w:t>
            </w:r>
          </w:p>
        </w:tc>
        <w:tc>
          <w:tcPr/>
          <w:p>
            <w:pPr>
              <w:pStyle w:val="Compact"/>
              <w:jc w:val="left"/>
            </w:pPr>
            <w:r>
              <w:t xml:space="preserve">500-800 words</w:t>
            </w:r>
          </w:p>
        </w:tc>
        <w:tc>
          <w:tcPr/>
          <w:p>
            <w:pPr>
              <w:pStyle w:val="Compact"/>
              <w:jc w:val="left"/>
            </w:pPr>
            <w:r>
              <w:t xml:space="preserve">2-12 hours</w:t>
            </w:r>
          </w:p>
        </w:tc>
        <w:tc>
          <w:tcPr/>
          <w:p>
            <w:pPr>
              <w:pStyle w:val="Compact"/>
              <w:jc w:val="left"/>
            </w:pPr>
            <w:r>
              <w:t xml:space="preserve">Email + portal</w:t>
            </w:r>
          </w:p>
        </w:tc>
        <w:tc>
          <w:tcPr/>
          <w:p>
            <w:pPr>
              <w:pStyle w:val="Compact"/>
              <w:jc w:val="left"/>
            </w:pPr>
            <w:r>
              <w:t xml:space="preserve">All paid</w:t>
            </w:r>
          </w:p>
        </w:tc>
        <w:tc>
          <w:tcPr/>
          <w:p>
            <w:pPr>
              <w:pStyle w:val="Compact"/>
              <w:jc w:val="left"/>
            </w:pPr>
            <w:r>
              <w:t xml:space="preserve">Full incident assessment with scenario implications</w:t>
            </w:r>
          </w:p>
        </w:tc>
      </w:tr>
      <w:tr>
        <w:tc>
          <w:tcPr/>
          <w:p>
            <w:pPr>
              <w:pStyle w:val="Compact"/>
              <w:jc w:val="left"/>
            </w:pPr>
            <w:r>
              <w:t xml:space="preserve">Weekly Roundup</w:t>
            </w:r>
          </w:p>
        </w:tc>
        <w:tc>
          <w:tcPr/>
          <w:p>
            <w:pPr>
              <w:pStyle w:val="Compact"/>
              <w:jc w:val="left"/>
            </w:pPr>
            <w:r>
              <w:t xml:space="preserve">Variable</w:t>
            </w:r>
          </w:p>
        </w:tc>
        <w:tc>
          <w:tcPr/>
          <w:p>
            <w:pPr>
              <w:pStyle w:val="Compact"/>
              <w:jc w:val="left"/>
            </w:pPr>
            <w:r>
              <w:t xml:space="preserve">Friday AM</w:t>
            </w:r>
          </w:p>
        </w:tc>
        <w:tc>
          <w:tcPr/>
          <w:p>
            <w:pPr>
              <w:pStyle w:val="Compact"/>
              <w:jc w:val="left"/>
            </w:pPr>
            <w:r>
              <w:t xml:space="preserve">Email</w:t>
            </w:r>
          </w:p>
        </w:tc>
        <w:tc>
          <w:tcPr/>
          <w:p>
            <w:pPr>
              <w:pStyle w:val="Compact"/>
              <w:jc w:val="left"/>
            </w:pPr>
            <w:r>
              <w:t xml:space="preserve">All tiers</w:t>
            </w:r>
          </w:p>
        </w:tc>
        <w:tc>
          <w:tcPr/>
          <w:p>
            <w:pPr>
              <w:pStyle w:val="Compact"/>
              <w:jc w:val="left"/>
            </w:pPr>
            <w:r>
              <w:t xml:space="preserve">Cross-domain synthesis and trend identification</w:t>
            </w:r>
          </w:p>
        </w:tc>
      </w:tr>
    </w:tbl>
    <w:p>
      <w:pPr>
        <w:pStyle w:val="BodyText"/>
      </w:pPr>
      <w:r>
        <w:t xml:space="preserve">The alert hierarchy creates a</w:t>
      </w:r>
      <w:r>
        <w:t xml:space="preserve"> </w:t>
      </w:r>
      <w:r>
        <w:t xml:space="preserve">“</w:t>
      </w:r>
      <w:r>
        <w:t xml:space="preserve">Breaking News Speed Ladder</w:t>
      </w:r>
      <w:r>
        <w:t xml:space="preserve">”</w:t>
      </w:r>
      <w:r>
        <w:t xml:space="preserve"> </w:t>
      </w:r>
      <w:r>
        <w:t xml:space="preserve">where each tier upgrade meaningfully accelerates information access. Flash Alerts follow Reuters journalism standards: filed at priority one, present tense, upper case, containing only verified facts with source attribution — no analysis or speculation</w:t>
      </w:r>
      <w:r>
        <w:t xml:space="preserve"> </w:t>
      </w:r>
      <w:r>
        <w:rPr>
          <w:vertAlign w:val="superscript"/>
        </w:rPr>
        <w:t xml:space="preserve">80</w:t>
      </w:r>
      <w:r>
        <w:t xml:space="preserve">. The critical discipline is restraint: Reuters explicitly warns against flooding subscribers with excessive alerts, instructing journalists to</w:t>
      </w:r>
      <w:r>
        <w:t xml:space="preserve"> </w:t>
      </w:r>
      <w:r>
        <w:t xml:space="preserve">“</w:t>
      </w:r>
      <w:r>
        <w:t xml:space="preserve">think twice if you are filing more than about five alerts on a single newsbreak</w:t>
      </w:r>
      <w:r>
        <w:t xml:space="preserve">”</w:t>
      </w:r>
      <w:r>
        <w:t xml:space="preserve"> </w:t>
      </w:r>
      <w:r>
        <w:t xml:space="preserve">because clients complain about screen clutter</w:t>
      </w:r>
      <w:r>
        <w:t xml:space="preserve"> </w:t>
      </w:r>
      <w:r>
        <w:rPr>
          <w:vertAlign w:val="superscript"/>
        </w:rPr>
        <w:t xml:space="preserve">80</w:t>
      </w:r>
      <w:r>
        <w:t xml:space="preserve">. SRC should enforce a hard cap of three Flash Alerts per week for Executive members to preserve their signalling value — unlimited alerts that are rarely used carry more psychological weight than frequent alerts that train recipients to ignore them.</w:t>
      </w:r>
    </w:p>
    <w:bookmarkEnd w:id="59"/>
    <w:bookmarkStart w:id="60" w:name="ai-human-hybrid-signal-to-alert-pipeline"/>
    <w:p>
      <w:pPr>
        <w:pStyle w:val="Heading4"/>
      </w:pPr>
      <w:r>
        <w:t xml:space="preserve">5.2.2 AI-Human Hybrid Signal-to-Alert Pipeline</w:t>
      </w:r>
    </w:p>
    <w:p>
      <w:pPr>
        <w:pStyle w:val="FirstParagraph"/>
      </w:pPr>
      <w:r>
        <w:t xml:space="preserve">Speed without accuracy destroys trust. SRC should implement an AI-human hybrid pipeline processing signals in under 25 minutes with a 3% error rate, matching Seerist’s Control Risks partnership benchmarks (6.8 million OSINT sources monitored, 200+ analyst-validated events)</w:t>
      </w:r>
      <w:r>
        <w:t xml:space="preserve"> </w:t>
      </w:r>
      <w:r>
        <w:rPr>
          <w:vertAlign w:val="superscript"/>
        </w:rPr>
        <w:t xml:space="preserve">86</w:t>
      </w:r>
      <w:r>
        <w:t xml:space="preserve"> </w:t>
      </w:r>
      <w:r>
        <w:rPr>
          <w:vertAlign w:val="superscript"/>
        </w:rPr>
        <w:t xml:space="preserve">87</w:t>
      </w:r>
      <w:r>
        <w:t xml:space="preserve">. The five-stage pipeline runs: automated AI detection flags events in under five minutes; analyst triage confirms significance and assigns tier priority in 5-10 minutes; initial Flash Alert with verified facts in 10-15 minutes; context brief with implications in 30-60 minutes; and full multi-source analysis in 2-24 hours. Human validation is non-negotiable — the Reuters standard mandates</w:t>
      </w:r>
      <w:r>
        <w:t xml:space="preserve"> </w:t>
      </w:r>
      <w:r>
        <w:t xml:space="preserve">“</w:t>
      </w:r>
      <w:r>
        <w:t xml:space="preserve">a second pair of eyes</w:t>
      </w:r>
      <w:r>
        <w:t xml:space="preserve">”</w:t>
      </w:r>
      <w:r>
        <w:t xml:space="preserve"> </w:t>
      </w:r>
      <w:r>
        <w:t xml:space="preserve">for accuracy and fairness</w:t>
      </w:r>
      <w:r>
        <w:t xml:space="preserve"> </w:t>
      </w:r>
      <w:r>
        <w:rPr>
          <w:vertAlign w:val="superscript"/>
        </w:rPr>
        <w:t xml:space="preserve">80</w:t>
      </w:r>
      <w:r>
        <w:t xml:space="preserve">. AI fact-checking reduces headline errors from 15% to 3%, but final editorial judgment must remain human</w:t>
      </w:r>
      <w:r>
        <w:t xml:space="preserve"> </w:t>
      </w:r>
      <w:r>
        <w:rPr>
          <w:vertAlign w:val="superscript"/>
        </w:rPr>
        <w:t xml:space="preserve">88</w:t>
      </w:r>
      <w:r>
        <w:t xml:space="preserve">.</w:t>
      </w:r>
    </w:p>
    <w:bookmarkEnd w:id="60"/>
    <w:bookmarkStart w:id="61" w:name="alert-fatigue-prevention"/>
    <w:p>
      <w:pPr>
        <w:pStyle w:val="Heading4"/>
      </w:pPr>
      <w:r>
        <w:t xml:space="preserve">5.2.3 Alert Fatigue Prevention</w:t>
      </w:r>
    </w:p>
    <w:p>
      <w:pPr>
        <w:pStyle w:val="FirstParagraph"/>
      </w:pPr>
      <w:r>
        <w:t xml:space="preserve">Alert fatigue is the single greatest threat to a breaking news system’s effectiveness. Push notification research reveals a paradox: while 3-6 irrelevant pushes per week cause 40% of users to disable notifications, more than 20 relevant messages cause minimal opt-outs</w:t>
      </w:r>
      <w:r>
        <w:t xml:space="preserve"> </w:t>
      </w:r>
      <w:r>
        <w:rPr>
          <w:vertAlign w:val="superscript"/>
        </w:rPr>
        <w:t xml:space="preserve">89</w:t>
      </w:r>
      <w:r>
        <w:t xml:space="preserve">. Relevance matters 300-400% more than volume — targeting improves reaction rates by 300% and personalization by 400%</w:t>
      </w:r>
      <w:r>
        <w:t xml:space="preserve"> </w:t>
      </w:r>
      <w:r>
        <w:rPr>
          <w:vertAlign w:val="superscript"/>
        </w:rPr>
        <w:t xml:space="preserve">89</w:t>
      </w:r>
      <w:r>
        <w:t xml:space="preserve">. SRC should set a default maximum of three push alerts per week, with members filtering by topic, region, and severity. B2B audiences are particularly sensitive to signal-to-noise ratio — 73% unsubscribe from notifications due to irrelevant messages, and 52% who disable push notifications eventually churn entirely</w:t>
      </w:r>
      <w:r>
        <w:t xml:space="preserve"> </w:t>
      </w:r>
      <w:r>
        <w:rPr>
          <w:vertAlign w:val="superscript"/>
        </w:rPr>
        <w:t xml:space="preserve">142</w:t>
      </w:r>
      <w:r>
        <w:t xml:space="preserve">. Weekend protocols should follow the Control Risks model: Critical events trigger 24/7/365 push+SMS+phone escalation; High events trigger push+SMS after hours; Medium and Low events batch into the next digest</w:t>
      </w:r>
      <w:r>
        <w:t xml:space="preserve"> </w:t>
      </w:r>
      <w:r>
        <w:rPr>
          <w:vertAlign w:val="superscript"/>
        </w:rPr>
        <w:t xml:space="preserve">141</w:t>
      </w:r>
      <w:r>
        <w:t xml:space="preserve"> </w:t>
      </w:r>
      <w:r>
        <w:rPr>
          <w:vertAlign w:val="superscript"/>
        </w:rPr>
        <w:t xml:space="preserve">143</w:t>
      </w:r>
      <w:r>
        <w:t xml:space="preserve">.</w:t>
      </w:r>
    </w:p>
    <w:p>
      <w:r>
        <w:pict>
          <v:rect style="width:0;height:1.5pt" o:hralign="center" o:hrstd="t" o:hr="t"/>
        </w:pict>
      </w:r>
    </w:p>
    <w:bookmarkEnd w:id="61"/>
    <w:bookmarkEnd w:id="62"/>
    <w:bookmarkEnd w:id="63"/>
    <w:bookmarkStart w:id="91" w:name="member-journey-conversion-funnel"/>
    <w:p>
      <w:pPr>
        <w:pStyle w:val="Heading2"/>
      </w:pPr>
      <w:r>
        <w:t xml:space="preserve">6. Member Journey &amp; Conversion Funnel</w:t>
      </w:r>
    </w:p>
    <w:p>
      <w:pPr>
        <w:pStyle w:val="FirstParagraph"/>
      </w:pPr>
      <w:r>
        <w:t xml:space="preserve">The difference between a thriving membership business and a struggling one often comes down to a single metric: stop rate. Publishers with stop rates above 6% had</w:t>
      </w:r>
      <w:r>
        <w:t xml:space="preserve"> </w:t>
      </w:r>
      <w:r>
        <w:t xml:space="preserve">“</w:t>
      </w:r>
      <w:r>
        <w:t xml:space="preserve">thriving</w:t>
      </w:r>
      <w:r>
        <w:t xml:space="preserve">”</w:t>
      </w:r>
      <w:r>
        <w:t xml:space="preserve"> </w:t>
      </w:r>
      <w:r>
        <w:t xml:space="preserve">digital subscription businesses, while the median publisher stopped only 1.8% of readers</w:t>
      </w:r>
      <w:r>
        <w:t xml:space="preserve"> </w:t>
      </w:r>
      <w:r>
        <w:rPr>
          <w:vertAlign w:val="superscript"/>
        </w:rPr>
        <w:t xml:space="preserve">144</w:t>
      </w:r>
      <w:r>
        <w:t xml:space="preserve"> </w:t>
      </w:r>
      <w:r>
        <w:rPr>
          <w:vertAlign w:val="superscript"/>
        </w:rPr>
        <w:t xml:space="preserve">145</w:t>
      </w:r>
      <w:r>
        <w:t xml:space="preserve">. Yet 68% of readers view only one article in a 30-day period, and 23% view just two to five — meaning generous content meters miss most of the audience entirely</w:t>
      </w:r>
      <w:r>
        <w:t xml:space="preserve"> </w:t>
      </w:r>
      <w:r>
        <w:rPr>
          <w:vertAlign w:val="superscript"/>
        </w:rPr>
        <w:t xml:space="preserve">146</w:t>
      </w:r>
      <w:r>
        <w:t xml:space="preserve">. SRC’s funnel must be architected around one counterintuitive principle: tight gates encountered early convert dramatically better than generous gates encountered rarely. Salem Reporter’s registration wall after one article generated 16 times more signups than in-content newsletter forms, and 20% of those registered users eventually converted to paid subscribers</w:t>
      </w:r>
      <w:r>
        <w:t xml:space="preserve"> </w:t>
      </w:r>
      <w:r>
        <w:rPr>
          <w:vertAlign w:val="superscript"/>
        </w:rPr>
        <w:t xml:space="preserve">147</w:t>
      </w:r>
      <w:r>
        <w:t xml:space="preserve"> </w:t>
      </w:r>
      <w:r>
        <w:rPr>
          <w:vertAlign w:val="superscript"/>
        </w:rPr>
        <w:t xml:space="preserve">148</w:t>
      </w:r>
      <w:r>
        <w:t xml:space="preserve">. Piano’s benchmark data puts the magnitude in stark terms: anonymous visitors convert at 0.22%, while known registered users convert at 9.88% — a 45-fold difference</w:t>
      </w:r>
      <w:r>
        <w:t xml:space="preserve"> </w:t>
      </w:r>
      <w:r>
        <w:rPr>
          <w:vertAlign w:val="superscript"/>
        </w:rPr>
        <w:t xml:space="preserve">149</w:t>
      </w:r>
      <w:r>
        <w:t xml:space="preserve">.</w:t>
      </w:r>
    </w:p>
    <w:bookmarkStart w:id="71" w:name="funnel-architecture"/>
    <w:p>
      <w:pPr>
        <w:pStyle w:val="Heading3"/>
      </w:pPr>
      <w:r>
        <w:t xml:space="preserve">6.1 Funnel Architecture</w:t>
      </w:r>
    </w:p>
    <w:bookmarkStart w:id="64" w:name="anonymous-to-free-the-registration-wall"/>
    <w:p>
      <w:pPr>
        <w:pStyle w:val="Heading4"/>
      </w:pPr>
      <w:r>
        <w:t xml:space="preserve">6.1.1 Anonymous to Free: The Registration Wall</w:t>
      </w:r>
    </w:p>
    <w:p>
      <w:pPr>
        <w:pStyle w:val="FirstParagraph"/>
      </w:pPr>
      <w:r>
        <w:t xml:space="preserve">SRC should implement a registration wall (requiring email and password, not just email) after three articles — tight enough to capture engaged visitors while preserving discoverability. Social proof on the registration modal (</w:t>
      </w:r>
      <w:r>
        <w:t xml:space="preserve">“</w:t>
      </w:r>
      <w:r>
        <w:t xml:space="preserve">2,000+ security professionals read SRC weekly</w:t>
      </w:r>
      <w:r>
        <w:t xml:space="preserve">”</w:t>
      </w:r>
      <w:r>
        <w:t xml:space="preserve">) builds credibility. Piano research confirms registered users convert to paid subscribers at 10 times the rate of anonymous visitors</w:t>
      </w:r>
      <w:r>
        <w:t xml:space="preserve"> </w:t>
      </w:r>
      <w:r>
        <w:rPr>
          <w:vertAlign w:val="superscript"/>
        </w:rPr>
        <w:t xml:space="preserve">150</w:t>
      </w:r>
      <w:r>
        <w:t xml:space="preserve">, and The Telegraph saw registration requirements triple daily subscriber acquisition</w:t>
      </w:r>
      <w:r>
        <w:t xml:space="preserve"> </w:t>
      </w:r>
      <w:r>
        <w:rPr>
          <w:vertAlign w:val="superscript"/>
        </w:rPr>
        <w:t xml:space="preserve">150</w:t>
      </w:r>
      <w:r>
        <w:t xml:space="preserve">. The i-Paper found registered users were 30 times more likely to subscribe after implementing Piano’s Likelihood to Subscribe model, yielding a five-fold conversion increase</w:t>
      </w:r>
      <w:r>
        <w:t xml:space="preserve"> </w:t>
      </w:r>
      <w:r>
        <w:rPr>
          <w:vertAlign w:val="superscript"/>
        </w:rPr>
        <w:t xml:space="preserve">151</w:t>
      </w:r>
      <w:r>
        <w:t xml:space="preserve">. The principle is clear: if average visitors read only 1.7-1.8 articles per session, a meter set at 5+ means most traffic never sees any conversion prompt</w:t>
      </w:r>
      <w:r>
        <w:t xml:space="preserve"> </w:t>
      </w:r>
      <w:r>
        <w:rPr>
          <w:vertAlign w:val="superscript"/>
        </w:rPr>
        <w:t xml:space="preserve">147</w:t>
      </w:r>
      <w:r>
        <w:t xml:space="preserve">. SRC’s three-article threshold is the single highest-ROI architectural decision in the entire funnel.</w:t>
      </w:r>
    </w:p>
    <w:bookmarkEnd w:id="64"/>
    <w:bookmarkStart w:id="65" w:name="Xde6737ba0f8118bd99c229f357a6996ebded3d6"/>
    <w:p>
      <w:pPr>
        <w:pStyle w:val="Heading4"/>
      </w:pPr>
      <w:r>
        <w:t xml:space="preserve">6.1.2 Free to Essential: Usage Triggers and Contextual Gates</w:t>
      </w:r>
    </w:p>
    <w:p>
      <w:pPr>
        <w:pStyle w:val="FirstParagraph"/>
      </w:pPr>
      <w:r>
        <w:t xml:space="preserve">Once registered, free members encounter strategic friction points at moments of peak engagement. Contextual upgrade prompts convert three to five times higher than generic buttons — Notion’s contextual gates convert at 4.2% versus 1.3% for generic prompts</w:t>
      </w:r>
      <w:r>
        <w:t xml:space="preserve"> </w:t>
      </w:r>
      <w:r>
        <w:rPr>
          <w:vertAlign w:val="superscript"/>
        </w:rPr>
        <w:t xml:space="preserve">152</w:t>
      </w:r>
      <w:r>
        <w:t xml:space="preserve">. SRC should deploy four triggers: a usage limit warning approaching the article cap (</w:t>
      </w:r>
      <w:r>
        <w:t xml:space="preserve">“</w:t>
      </w:r>
      <w:r>
        <w:t xml:space="preserve">90% of free reports used</w:t>
      </w:r>
      <w:r>
        <w:t xml:space="preserve">”</w:t>
      </w:r>
      <w:r>
        <w:t xml:space="preserve">); a PDF download gate requiring Essential membership; exclusive content previews showing the first 40% of Professional-tier analysis; and behavior-triggered prompts (repeated topic visits, high time-on-page, breaking news engagement). Users who hit usage limits convert at approximately 40% versus 8% who never hit limits</w:t>
      </w:r>
      <w:r>
        <w:t xml:space="preserve"> </w:t>
      </w:r>
      <w:r>
        <w:rPr>
          <w:vertAlign w:val="superscript"/>
        </w:rPr>
        <w:t xml:space="preserve">153</w:t>
      </w:r>
      <w:r>
        <w:t xml:space="preserve">. Progressive engagement gates at 85% of the limit convert three to five times higher than hard gates</w:t>
      </w:r>
      <w:r>
        <w:t xml:space="preserve"> </w:t>
      </w:r>
      <w:r>
        <w:rPr>
          <w:vertAlign w:val="superscript"/>
        </w:rPr>
        <w:t xml:space="preserve">152</w:t>
      </w:r>
      <w:r>
        <w:t xml:space="preserve">, yet 70% of free users never encounter prompts or dismiss them reflexively. Most conversions happen within 30 days of signup or 7 days of hitting a meaningful limit</w:t>
      </w:r>
      <w:r>
        <w:t xml:space="preserve"> </w:t>
      </w:r>
      <w:r>
        <w:rPr>
          <w:vertAlign w:val="superscript"/>
        </w:rPr>
        <w:t xml:space="preserve">154</w:t>
      </w:r>
      <w:r>
        <w:t xml:space="preserve">.</w:t>
      </w:r>
    </w:p>
    <w:bookmarkEnd w:id="65"/>
    <w:bookmarkStart w:id="66" w:name="X29b41517966d57717f5a27fca1bb68844ad7163"/>
    <w:p>
      <w:pPr>
        <w:pStyle w:val="Heading4"/>
      </w:pPr>
      <w:r>
        <w:t xml:space="preserve">6.1.3 Essential to Professional: Feature Gates and Experience Teasing</w:t>
      </w:r>
    </w:p>
    <w:p>
      <w:pPr>
        <w:pStyle w:val="FirstParagraph"/>
      </w:pPr>
      <w:r>
        <w:t xml:space="preserve">The Essential-to-Professional transition requires demonstrating capabilities members have come to need but cannot access. The upgrade triggers at 70% usage of Essential features — following the</w:t>
      </w:r>
      <w:r>
        <w:t xml:space="preserve"> </w:t>
      </w:r>
      <w:r>
        <w:t xml:space="preserve">“</w:t>
      </w:r>
      <w:r>
        <w:t xml:space="preserve">70% Rule</w:t>
      </w:r>
      <w:r>
        <w:t xml:space="preserve">”</w:t>
      </w:r>
      <w:r>
        <w:t xml:space="preserve"> </w:t>
      </w:r>
      <w:r>
        <w:t xml:space="preserve">(give away 70% of value, gate the remaining 30% plus power features)</w:t>
      </w:r>
      <w:r>
        <w:t xml:space="preserve"> </w:t>
      </w:r>
      <w:r>
        <w:rPr>
          <w:vertAlign w:val="superscript"/>
        </w:rPr>
        <w:t xml:space="preserve">153</w:t>
      </w:r>
      <w:r>
        <w:t xml:space="preserve">. SRC deploys four mechanisms: a feature gate at 70% usage with Professional preview; a vAvatar (AI video briefing) preview where Essential members watch 60 seconds before hitting an upgrade gate; early access teasing showing Professional members receive breaking news 2-4 hours earlier; and annual plan promotion with</w:t>
      </w:r>
      <w:r>
        <w:t xml:space="preserve"> </w:t>
      </w:r>
      <w:r>
        <w:t xml:space="preserve">“</w:t>
      </w:r>
      <w:r>
        <w:t xml:space="preserve">2 months free</w:t>
      </w:r>
      <w:r>
        <w:t xml:space="preserve">”</w:t>
      </w:r>
      <w:r>
        <w:t xml:space="preserve"> </w:t>
      </w:r>
      <w:r>
        <w:t xml:space="preserve">framing</w:t>
      </w:r>
      <w:r>
        <w:t xml:space="preserve"> </w:t>
      </w:r>
      <w:r>
        <w:rPr>
          <w:vertAlign w:val="superscript"/>
        </w:rPr>
        <w:t xml:space="preserve">1</w:t>
      </w:r>
      <w:r>
        <w:t xml:space="preserve">. The vAvatar preview is particularly powerful — it transforms abstract tier differences into tangible experiences. Product Qualified Lead (PQL) based conversion achieves 25-30% versus 2-4% for all freemium users</w:t>
      </w:r>
      <w:r>
        <w:t xml:space="preserve"> </w:t>
      </w:r>
      <w:r>
        <w:rPr>
          <w:vertAlign w:val="superscript"/>
        </w:rPr>
        <w:t xml:space="preserve">153</w:t>
      </w:r>
      <w:r>
        <w:t xml:space="preserve">. An SRC PQL means a member reaching an activation milestone (10+ articles read, webinar attended, preferences set), an engagement threshold (3+ weekly visits), and an intent signal (pricing page visited, upgrade clicked).</w:t>
      </w:r>
    </w:p>
    <w:bookmarkEnd w:id="66"/>
    <w:bookmarkStart w:id="70" w:name="Xe2144a3b89cb733e9140700c1a66d8649646440"/>
    <w:p>
      <w:pPr>
        <w:pStyle w:val="Heading4"/>
      </w:pPr>
      <w:r>
        <w:t xml:space="preserve">6.1.4 Professional to Executive: Invitation and Exclusivity</w:t>
      </w:r>
    </w:p>
    <w:p>
      <w:pPr>
        <w:pStyle w:val="FirstParagraph"/>
      </w:pPr>
      <w:r>
        <w:t xml:space="preserve">The top-tier conversion cannot be self-service — it requires personal outreach, limited cohort size, and experiential proof. The Conference Board structures its highest tier as Council Membership: peer groups of approximately 40 executives, carefully vetted, operating under Chatham House Rule</w:t>
      </w:r>
      <w:r>
        <w:t xml:space="preserve"> </w:t>
      </w:r>
      <w:r>
        <w:rPr>
          <w:vertAlign w:val="superscript"/>
        </w:rPr>
        <w:t xml:space="preserve">121</w:t>
      </w:r>
      <w:r>
        <w:t xml:space="preserve">. SRC should adopt a similar invitation model targeting the top 5% of Professional members by engagement, seniority, and organizational influence. The conversion sequence includes: a personal invitation from SRC leadership; a preview invitation to the annual</w:t>
      </w:r>
      <w:r>
        <w:t xml:space="preserve"> </w:t>
      </w:r>
      <w:r>
        <w:t xml:space="preserve">“</w:t>
      </w:r>
      <w:r>
        <w:t xml:space="preserve">SRC Summit</w:t>
      </w:r>
      <w:r>
        <w:t xml:space="preserve">”</w:t>
      </w:r>
      <w:r>
        <w:t xml:space="preserve"> </w:t>
      </w:r>
      <w:r>
        <w:t xml:space="preserve">in Switzerland; and a 30-minute trial analyst call. On Think Tanks uses progressive tier rollout — launching Essential first, then introducing additional tiers with live webinars and deeper expert engagement, allowing members to</w:t>
      </w:r>
      <w:r>
        <w:t xml:space="preserve"> </w:t>
      </w:r>
      <w:r>
        <w:t xml:space="preserve">“</w:t>
      </w:r>
      <w:r>
        <w:t xml:space="preserve">grow with the programme as it evolves</w:t>
      </w:r>
      <w:r>
        <w:t xml:space="preserve">”</w:t>
      </w:r>
      <w:r>
        <w:t xml:space="preserve"> </w:t>
      </w:r>
      <w:r>
        <w:rPr>
          <w:vertAlign w:val="superscript"/>
        </w:rPr>
        <w:t xml:space="preserve">155</w:t>
      </w:r>
      <w:r>
        <w:t xml:space="preserve">. The Executive tier should maintain an application element ensuring cohort quality, because exclusivity is itself the product at this level.</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Funnel Stage</w:t>
            </w:r>
          </w:p>
        </w:tc>
        <w:tc>
          <w:tcPr/>
          <w:p>
            <w:pPr>
              <w:pStyle w:val="Compact"/>
              <w:jc w:val="left"/>
            </w:pPr>
            <w:r>
              <w:t xml:space="preserve">Conversion Trigger</w:t>
            </w:r>
          </w:p>
        </w:tc>
        <w:tc>
          <w:tcPr/>
          <w:p>
            <w:pPr>
              <w:pStyle w:val="Compact"/>
              <w:jc w:val="left"/>
            </w:pPr>
            <w:r>
              <w:t xml:space="preserve">Target Rate</w:t>
            </w:r>
          </w:p>
        </w:tc>
        <w:tc>
          <w:tcPr/>
          <w:p>
            <w:pPr>
              <w:pStyle w:val="Compact"/>
              <w:jc w:val="left"/>
            </w:pPr>
            <w:r>
              <w:t xml:space="preserve">Key Mechanism</w:t>
            </w:r>
          </w:p>
        </w:tc>
        <w:tc>
          <w:tcPr/>
          <w:p>
            <w:pPr>
              <w:pStyle w:val="Compact"/>
              <w:jc w:val="left"/>
            </w:pPr>
            <w:r>
              <w:t xml:space="preserve">Timeline</w:t>
            </w:r>
          </w:p>
        </w:tc>
      </w:tr>
      <w:tr>
        <w:tc>
          <w:tcPr/>
          <w:p>
            <w:pPr>
              <w:pStyle w:val="Compact"/>
              <w:jc w:val="left"/>
            </w:pPr>
            <w:r>
              <w:t xml:space="preserve">Anonymous → Free</w:t>
            </w:r>
          </w:p>
        </w:tc>
        <w:tc>
          <w:tcPr/>
          <w:p>
            <w:pPr>
              <w:pStyle w:val="Compact"/>
              <w:jc w:val="left"/>
            </w:pPr>
            <w:r>
              <w:t xml:space="preserve">3-article registration wall</w:t>
            </w:r>
          </w:p>
        </w:tc>
        <w:tc>
          <w:tcPr/>
          <w:p>
            <w:pPr>
              <w:pStyle w:val="Compact"/>
              <w:jc w:val="left"/>
            </w:pPr>
            <w:r>
              <w:t xml:space="preserve">6-8% visitor-to-registered</w:t>
            </w:r>
          </w:p>
        </w:tc>
        <w:tc>
          <w:tcPr/>
          <w:p>
            <w:pPr>
              <w:pStyle w:val="Compact"/>
              <w:jc w:val="left"/>
            </w:pPr>
            <w:r>
              <w:t xml:space="preserve">Social proof + quality demonstration</w:t>
            </w:r>
          </w:p>
        </w:tc>
        <w:tc>
          <w:tcPr/>
          <w:p>
            <w:pPr>
              <w:pStyle w:val="Compact"/>
              <w:jc w:val="left"/>
            </w:pPr>
            <w:r>
              <w:t xml:space="preserve">Immediate</w:t>
            </w:r>
          </w:p>
        </w:tc>
      </w:tr>
      <w:tr>
        <w:tc>
          <w:tcPr/>
          <w:p>
            <w:pPr>
              <w:pStyle w:val="Compact"/>
              <w:jc w:val="left"/>
            </w:pPr>
            <w:r>
              <w:t xml:space="preserve">Free → Essential</w:t>
            </w:r>
          </w:p>
        </w:tc>
        <w:tc>
          <w:tcPr/>
          <w:p>
            <w:pPr>
              <w:pStyle w:val="Compact"/>
              <w:jc w:val="left"/>
            </w:pPr>
            <w:r>
              <w:t xml:space="preserve">Usage limit + content gate</w:t>
            </w:r>
          </w:p>
        </w:tc>
        <w:tc>
          <w:tcPr/>
          <w:p>
            <w:pPr>
              <w:pStyle w:val="Compact"/>
              <w:jc w:val="left"/>
            </w:pPr>
            <w:r>
              <w:t xml:space="preserve">3-5% (5-10% aspirational)</w:t>
            </w:r>
            <w:r>
              <w:t xml:space="preserve"> </w:t>
            </w:r>
            <w:r>
              <w:rPr>
                <w:vertAlign w:val="superscript"/>
              </w:rPr>
              <w:t xml:space="preserve">156</w:t>
            </w:r>
            <w:r>
              <w:t xml:space="preserve"> </w:t>
            </w:r>
            <w:r>
              <w:rPr>
                <w:vertAlign w:val="superscript"/>
              </w:rPr>
              <w:t xml:space="preserve">157</w:t>
            </w:r>
          </w:p>
        </w:tc>
        <w:tc>
          <w:tcPr/>
          <w:p>
            <w:pPr>
              <w:pStyle w:val="Compact"/>
              <w:jc w:val="left"/>
            </w:pPr>
            <w:r>
              <w:t xml:space="preserve">Contextual prompts at 85% usage limit</w:t>
            </w:r>
          </w:p>
        </w:tc>
        <w:tc>
          <w:tcPr/>
          <w:p>
            <w:pPr>
              <w:pStyle w:val="Compact"/>
              <w:jc w:val="left"/>
            </w:pPr>
            <w:r>
              <w:t xml:space="preserve">Within 30 days of signup</w:t>
            </w:r>
          </w:p>
        </w:tc>
      </w:tr>
      <w:tr>
        <w:tc>
          <w:tcPr/>
          <w:p>
            <w:pPr>
              <w:pStyle w:val="Compact"/>
              <w:jc w:val="left"/>
            </w:pPr>
            <w:r>
              <w:t xml:space="preserve">Essential → Professional</w:t>
            </w:r>
          </w:p>
        </w:tc>
        <w:tc>
          <w:tcPr/>
          <w:p>
            <w:pPr>
              <w:pStyle w:val="Compact"/>
              <w:jc w:val="left"/>
            </w:pPr>
            <w:r>
              <w:t xml:space="preserve">Feature gate at 70% usage</w:t>
            </w:r>
          </w:p>
        </w:tc>
        <w:tc>
          <w:tcPr/>
          <w:p>
            <w:pPr>
              <w:pStyle w:val="Compact"/>
              <w:jc w:val="left"/>
            </w:pPr>
            <w:r>
              <w:t xml:space="preserve">25-30% PQL-based</w:t>
            </w:r>
            <w:r>
              <w:t xml:space="preserve"> </w:t>
            </w:r>
            <w:r>
              <w:rPr>
                <w:vertAlign w:val="superscript"/>
              </w:rPr>
              <w:t xml:space="preserve">153</w:t>
            </w:r>
          </w:p>
        </w:tc>
        <w:tc>
          <w:tcPr/>
          <w:p>
            <w:pPr>
              <w:pStyle w:val="Compact"/>
              <w:jc w:val="left"/>
            </w:pPr>
            <w:r>
              <w:t xml:space="preserve">vAvatar preview + early access tease</w:t>
            </w:r>
          </w:p>
        </w:tc>
        <w:tc>
          <w:tcPr/>
          <w:p>
            <w:pPr>
              <w:pStyle w:val="Compact"/>
              <w:jc w:val="left"/>
            </w:pPr>
            <w:r>
              <w:t xml:space="preserve">Month 2-4 of subscription</w:t>
            </w:r>
          </w:p>
        </w:tc>
      </w:tr>
      <w:tr>
        <w:tc>
          <w:tcPr/>
          <w:p>
            <w:pPr>
              <w:pStyle w:val="Compact"/>
              <w:jc w:val="left"/>
            </w:pPr>
            <w:r>
              <w:t xml:space="preserve">Professional → Executive</w:t>
            </w:r>
          </w:p>
        </w:tc>
        <w:tc>
          <w:tcPr/>
          <w:p>
            <w:pPr>
              <w:pStyle w:val="Compact"/>
              <w:jc w:val="left"/>
            </w:pPr>
            <w:r>
              <w:t xml:space="preserve">Personal invitation only</w:t>
            </w:r>
          </w:p>
        </w:tc>
        <w:tc>
          <w:tcPr/>
          <w:p>
            <w:pPr>
              <w:pStyle w:val="Compact"/>
              <w:jc w:val="left"/>
            </w:pPr>
            <w:r>
              <w:t xml:space="preserve">5-10% of Professionals</w:t>
            </w:r>
          </w:p>
        </w:tc>
        <w:tc>
          <w:tcPr/>
          <w:p>
            <w:pPr>
              <w:pStyle w:val="Compact"/>
              <w:jc w:val="left"/>
            </w:pPr>
            <w:r>
              <w:t xml:space="preserve">Summit preview + analyst call trial</w:t>
            </w:r>
          </w:p>
        </w:tc>
        <w:tc>
          <w:tcPr/>
          <w:p>
            <w:pPr>
              <w:pStyle w:val="Compact"/>
              <w:jc w:val="left"/>
            </w:pPr>
            <w:r>
              <w:t xml:space="preserve">Month 6-12 of engagement</w:t>
            </w:r>
          </w:p>
        </w:tc>
      </w:tr>
    </w:tbl>
    <w:p>
      <w:pPr>
        <w:pStyle w:val="BodyText"/>
      </w:pPr>
      <w:r>
        <w:t xml:space="preserve">The funnel architecture reflects a fundamental principle: conversion efficiency increases with engagement depth. The anonymous-to-free stage relies on broad gates and social proof; the free-to-essential stage deploys behavioral triggers at moments of maximum value perception; the essential-to-professional stage uses experiential previews that make abstract tier differences tangible; and the professional-to-executive stage requires human touch because no automated prompt can convey the value of peer-level access. Industry benchmarks confirm this progression: Substack’s median paid conversion rate is 3% (not the 5-10% claimed), with only 20% of publications exceeding 5%</w:t>
      </w:r>
      <w:r>
        <w:t xml:space="preserve"> </w:t>
      </w:r>
      <w:r>
        <w:rPr>
          <w:vertAlign w:val="superscript"/>
        </w:rPr>
        <w:t xml:space="preserve">157</w:t>
      </w:r>
      <w:r>
        <w:t xml:space="preserve">; however, top-performing sites see over 12% conversion from registered users within a year</w:t>
      </w:r>
      <w:r>
        <w:t xml:space="preserve"> </w:t>
      </w:r>
      <w:r>
        <w:rPr>
          <w:vertAlign w:val="superscript"/>
        </w:rPr>
        <w:t xml:space="preserve">149</w:t>
      </w:r>
      <w:r>
        <w:t xml:space="preserve">. SRC’s target of 3-5% free-to-paid conversion with 5-10% as aspirational is realistic for a B2B intelligence context where professional value drives purchasing decisions. Piano’s 2024 benchmarks show average conversion from registered user to subscriber reached 19%, with top performers exceeding 2.2% from anonymous visitor to subscriber</w:t>
      </w:r>
      <w:r>
        <w:t xml:space="preserve"> </w:t>
      </w:r>
      <w:r>
        <w:rPr>
          <w:vertAlign w:val="superscript"/>
        </w:rPr>
        <w:t xml:space="preserve">158</w:t>
      </w:r>
      <w:r>
        <w:t xml:space="preserve">.</w:t>
      </w:r>
    </w:p>
    <w:p>
      <w:pPr>
        <w:pStyle w:val="CaptionedFigure"/>
      </w:pPr>
      <w:r>
        <w:drawing>
          <wp:inline>
            <wp:extent cx="5334000" cy="2636654"/>
            <wp:effectExtent b="0" l="0" r="0" t="0"/>
            <wp:docPr descr="SRC Member Conversion Funnel: Target Benchmarks" title="" id="68" name="Picture"/>
            <a:graphic>
              <a:graphicData uri="http://schemas.openxmlformats.org/drawingml/2006/picture">
                <pic:pic>
                  <pic:nvPicPr>
                    <pic:cNvPr descr="/mnt/agents/output/src_funnel_chart.png" id="69" name="Picture"/>
                    <pic:cNvPicPr>
                      <a:picLocks noChangeArrowheads="1" noChangeAspect="1"/>
                    </pic:cNvPicPr>
                  </pic:nvPicPr>
                  <pic:blipFill>
                    <a:blip r:embed="rId67"/>
                    <a:stretch>
                      <a:fillRect/>
                    </a:stretch>
                  </pic:blipFill>
                  <pic:spPr bwMode="auto">
                    <a:xfrm>
                      <a:off x="0" y="0"/>
                      <a:ext cx="5334000" cy="2636654"/>
                    </a:xfrm>
                    <a:prstGeom prst="rect">
                      <a:avLst/>
                    </a:prstGeom>
                    <a:noFill/>
                    <a:ln w="9525">
                      <a:noFill/>
                      <a:headEnd/>
                      <a:tailEnd/>
                    </a:ln>
                  </pic:spPr>
                </pic:pic>
              </a:graphicData>
            </a:graphic>
          </wp:inline>
        </w:drawing>
      </w:r>
    </w:p>
    <w:p>
      <w:pPr>
        <w:pStyle w:val="ImageCaption"/>
      </w:pPr>
      <w:r>
        <w:t xml:space="preserve">SRC Member Conversion Funnel: Target Benchmarks</w:t>
      </w:r>
    </w:p>
    <w:bookmarkEnd w:id="70"/>
    <w:bookmarkEnd w:id="71"/>
    <w:bookmarkStart w:id="76" w:name="retention-expansion-mechanics"/>
    <w:p>
      <w:pPr>
        <w:pStyle w:val="Heading3"/>
      </w:pPr>
      <w:r>
        <w:t xml:space="preserve">6.2 Retention &amp; Expansion Mechanics</w:t>
      </w:r>
    </w:p>
    <w:bookmarkStart w:id="72" w:name="behavioral-onboarding"/>
    <w:p>
      <w:pPr>
        <w:pStyle w:val="Heading4"/>
      </w:pPr>
      <w:r>
        <w:t xml:space="preserve">6.2.1 Behavioral Onboarding</w:t>
      </w:r>
    </w:p>
    <w:p>
      <w:pPr>
        <w:pStyle w:val="FirstParagraph"/>
      </w:pPr>
      <w:r>
        <w:t xml:space="preserve">The first 10-21 days determine whether a member becomes active or dormant. The standard high-performing sequence delivers 5-7 emails over 10-21 days, front-loaded in week one: Welcome, Setup Prompt, Feature Education, First-Milestone Celebration, Social Proof, Trial Warning, and Upgrade CTA</w:t>
      </w:r>
      <w:r>
        <w:t xml:space="preserve"> </w:t>
      </w:r>
      <w:r>
        <w:rPr>
          <w:vertAlign w:val="superscript"/>
        </w:rPr>
        <w:t xml:space="preserve">159</w:t>
      </w:r>
      <w:r>
        <w:t xml:space="preserve">. Welcome email open rates range from 50-86%, dropping to 25-40% by the fifth email</w:t>
      </w:r>
      <w:r>
        <w:t xml:space="preserve"> </w:t>
      </w:r>
      <w:r>
        <w:rPr>
          <w:vertAlign w:val="superscript"/>
        </w:rPr>
        <w:t xml:space="preserve">160</w:t>
      </w:r>
      <w:r>
        <w:t xml:space="preserve">— the first message must arrive within 5 minutes of signup. Critically, behavior-triggered sequences convert three to five times better than time-based drips</w:t>
      </w:r>
      <w:r>
        <w:t xml:space="preserve"> </w:t>
      </w:r>
      <w:r>
        <w:rPr>
          <w:vertAlign w:val="superscript"/>
        </w:rPr>
        <w:t xml:space="preserve">161</w:t>
      </w:r>
      <w:r>
        <w:t xml:space="preserve">: if a new member reads three articles on cybersecurity, the next email should highlight SRC’s cybersecurity coverage and Signal newsletter; if a member attends a webinar, the follow-up should reference that event. Never send more than two onboarding emails in the first 48 hours</w:t>
      </w:r>
      <w:r>
        <w:t xml:space="preserve"> </w:t>
      </w:r>
      <w:r>
        <w:rPr>
          <w:vertAlign w:val="superscript"/>
        </w:rPr>
        <w:t xml:space="preserve">159</w:t>
      </w:r>
      <w:r>
        <w:t xml:space="preserve">. Checklists with 3-5 steps work best — celebrate each completion to build momentum</w:t>
      </w:r>
      <w:r>
        <w:t xml:space="preserve"> </w:t>
      </w:r>
      <w:r>
        <w:rPr>
          <w:vertAlign w:val="superscript"/>
        </w:rPr>
        <w:t xml:space="preserve">153</w:t>
      </w:r>
      <w:r>
        <w:t xml:space="preserve">. Slack’s re-engagement sequence recovers 22% of drop-offs and improves 14-day retention by 18%</w:t>
      </w:r>
      <w:r>
        <w:t xml:space="preserve"> </w:t>
      </w:r>
      <w:r>
        <w:rPr>
          <w:vertAlign w:val="superscript"/>
        </w:rPr>
        <w:t xml:space="preserve">162</w:t>
      </w:r>
      <w:r>
        <w:t xml:space="preserve">.</w:t>
      </w:r>
    </w:p>
    <w:bookmarkEnd w:id="72"/>
    <w:bookmarkStart w:id="73" w:name="annual-plan-promotion"/>
    <w:p>
      <w:pPr>
        <w:pStyle w:val="Heading4"/>
      </w:pPr>
      <w:r>
        <w:t xml:space="preserve">6.2.2 Annual Plan Promotion</w:t>
      </w:r>
    </w:p>
    <w:p>
      <w:pPr>
        <w:pStyle w:val="FirstParagraph"/>
      </w:pPr>
      <w:r>
        <w:t xml:space="preserve">Monthly subscribers receive targeted annual plan promotions during month three — after experiencing value but before payment fatigue sets in. The offer should frame as</w:t>
      </w:r>
      <w:r>
        <w:t xml:space="preserve"> </w:t>
      </w:r>
      <w:r>
        <w:t xml:space="preserve">“</w:t>
      </w:r>
      <w:r>
        <w:t xml:space="preserve">switch to annual, get 2 months free</w:t>
      </w:r>
      <w:r>
        <w:t xml:space="preserve">”</w:t>
      </w:r>
      <w:r>
        <w:t xml:space="preserve"> </w:t>
      </w:r>
      <w:r>
        <w:t xml:space="preserve">rather than a percentage discount</w:t>
      </w:r>
      <w:r>
        <w:t xml:space="preserve"> </w:t>
      </w:r>
      <w:r>
        <w:rPr>
          <w:vertAlign w:val="superscript"/>
        </w:rPr>
        <w:t xml:space="preserve">1</w:t>
      </w:r>
      <w:r>
        <w:t xml:space="preserve">. Annual subscribers are three to five times more likely to renew, and year-two renewal rates are meaningfully higher than monthly data would predict</w:t>
      </w:r>
      <w:r>
        <w:t xml:space="preserve"> </w:t>
      </w:r>
      <w:r>
        <w:rPr>
          <w:vertAlign w:val="superscript"/>
        </w:rPr>
        <w:t xml:space="preserve">1</w:t>
      </w:r>
      <w:r>
        <w:t xml:space="preserve">. Codecademy’s case study demonstrates retention-based pricing power: structuring annual prices around actual cohort retention increased lifetime value by 25-50% and enabled higher acquisition spend</w:t>
      </w:r>
      <w:r>
        <w:t xml:space="preserve"> </w:t>
      </w:r>
      <w:r>
        <w:rPr>
          <w:vertAlign w:val="superscript"/>
        </w:rPr>
        <w:t xml:space="preserve">1</w:t>
      </w:r>
      <w:r>
        <w:t xml:space="preserve">. The pricing page should default to annual billing, leveraging the default effect</w:t>
      </w:r>
      <w:r>
        <w:t xml:space="preserve"> </w:t>
      </w:r>
      <w:r>
        <w:rPr>
          <w:vertAlign w:val="superscript"/>
        </w:rPr>
        <w:t xml:space="preserve">1</w:t>
      </w:r>
      <w:r>
        <w:t xml:space="preserve">. The most common industry discount is 16.7% (10 months for 12)</w:t>
      </w:r>
      <w:r>
        <w:t xml:space="preserve"> </w:t>
      </w:r>
      <w:r>
        <w:rPr>
          <w:vertAlign w:val="superscript"/>
        </w:rPr>
        <w:t xml:space="preserve">27</w:t>
      </w:r>
      <w:r>
        <w:t xml:space="preserve">, though optimal sizing varies: short-lifecycle B2C requires 67-79% effective discounts, while long-lifecycle B2B subscriptions require only 0-17%</w:t>
      </w:r>
      <w:r>
        <w:t xml:space="preserve"> </w:t>
      </w:r>
      <w:r>
        <w:rPr>
          <w:vertAlign w:val="superscript"/>
        </w:rPr>
        <w:t xml:space="preserve">1</w:t>
      </w:r>
      <w:r>
        <w:t xml:space="preserve">. For SRC’s B2B context, an annual price equivalent to 10 months of monthly billing (16.7% discount) represents a reasonable starting point.</w:t>
      </w:r>
    </w:p>
    <w:bookmarkEnd w:id="73"/>
    <w:bookmarkStart w:id="74" w:name="win-back-campaigns"/>
    <w:p>
      <w:pPr>
        <w:pStyle w:val="Heading4"/>
      </w:pPr>
      <w:r>
        <w:t xml:space="preserve">6.2.3 Win-Back Campaigns</w:t>
      </w:r>
    </w:p>
    <w:p>
      <w:pPr>
        <w:pStyle w:val="FirstParagraph"/>
      </w:pPr>
      <w:r>
        <w:t xml:space="preserve">Not all churn is permanent. Well-executed win-back campaigns recover 10-15% of churned customers at effectively zero acquisition cost</w:t>
      </w:r>
      <w:r>
        <w:t xml:space="preserve"> </w:t>
      </w:r>
      <w:r>
        <w:rPr>
          <w:vertAlign w:val="superscript"/>
        </w:rPr>
        <w:t xml:space="preserve">163</w:t>
      </w:r>
      <w:r>
        <w:t xml:space="preserve">. The optimal first touchpoint is 7-14 days after cancellation — too soon feels reactive, too late and emotional connection fades</w:t>
      </w:r>
      <w:r>
        <w:t xml:space="preserve"> </w:t>
      </w:r>
      <w:r>
        <w:rPr>
          <w:vertAlign w:val="superscript"/>
        </w:rPr>
        <w:t xml:space="preserve">164</w:t>
      </w:r>
      <w:r>
        <w:t xml:space="preserve">. Campaigns must be segmented by cancellation reason: price-sensitive churners receive discount offers; product-fit churners receive tier-swap offers; no-reason churners receive soft re-introduction highlighting what they are missing</w:t>
      </w:r>
      <w:r>
        <w:t xml:space="preserve"> </w:t>
      </w:r>
      <w:r>
        <w:rPr>
          <w:vertAlign w:val="superscript"/>
        </w:rPr>
        <w:t xml:space="preserve">164</w:t>
      </w:r>
      <w:r>
        <w:t xml:space="preserve">. Two to three emails over 2-4 weeks suffice: warm check-in, matched offer, and respectful farewell leaving the door open</w:t>
      </w:r>
      <w:r>
        <w:t xml:space="preserve"> </w:t>
      </w:r>
      <w:r>
        <w:rPr>
          <w:vertAlign w:val="superscript"/>
        </w:rPr>
        <w:t xml:space="preserve">164</w:t>
      </w:r>
      <w:r>
        <w:t xml:space="preserve">. Smart cancellation flows with exit surveys, pause offers, and targeted discounts reduce churn by 15-30% before members even leave</w:t>
      </w:r>
      <w:r>
        <w:t xml:space="preserve"> </w:t>
      </w:r>
      <w:r>
        <w:rPr>
          <w:vertAlign w:val="superscript"/>
        </w:rPr>
        <w:t xml:space="preserve">163</w:t>
      </w:r>
      <w:r>
        <w:t xml:space="preserve">. The recommended flow: offer pause first, then discount, then a smart survey with conditional logic, and finally remind subscribers what they will lose. Re-churn rate (reactivated subscribers who cancel again within 90 days) must be monitored — a high rate signals offer-driven returns without genuine intent</w:t>
      </w:r>
      <w:r>
        <w:t xml:space="preserve"> </w:t>
      </w:r>
      <w:r>
        <w:rPr>
          <w:vertAlign w:val="superscript"/>
        </w:rPr>
        <w:t xml:space="preserve">164</w:t>
      </w:r>
      <w:r>
        <w:t xml:space="preserve">.</w:t>
      </w:r>
    </w:p>
    <w:bookmarkEnd w:id="74"/>
    <w:bookmarkStart w:id="75" w:name="key-performance-metrics"/>
    <w:p>
      <w:pPr>
        <w:pStyle w:val="Heading4"/>
      </w:pPr>
      <w:r>
        <w:t xml:space="preserve">6.2.4 Key Performance Metrics</w:t>
      </w:r>
    </w:p>
    <w:p>
      <w:pPr>
        <w:pStyle w:val="FirstParagraph"/>
      </w:pPr>
      <w:r>
        <w:t xml:space="preserve">Membership health should be tracked through a focused dashboard of leading and lagging indicators. The free-to-paid conversion rate is the primary leading indicator, with 3-5% as the baseline target and 5-10% as aspirational. Independent analysis confirms Substack’s median conversion is 3%, with only 20% of publications exceeding 5%</w:t>
      </w:r>
      <w:r>
        <w:t xml:space="preserve"> </w:t>
      </w:r>
      <w:r>
        <w:rPr>
          <w:vertAlign w:val="superscript"/>
        </w:rPr>
        <w:t xml:space="preserve">157</w:t>
      </w:r>
      <w:r>
        <w:t xml:space="preserve">; B2B newsletters typically outperform consumer content because professional value justifies business expenditure</w:t>
      </w:r>
      <w:r>
        <w:t xml:space="preserve"> </w:t>
      </w:r>
      <w:r>
        <w:rPr>
          <w:vertAlign w:val="superscript"/>
        </w:rPr>
        <w:t xml:space="preserve">13</w:t>
      </w:r>
      <w:r>
        <w:t xml:space="preserve">. Monthly churn must stay below 5% — publishers using dynamic paywalls average 4.2% monthly churn</w:t>
      </w:r>
      <w:r>
        <w:t xml:space="preserve"> </w:t>
      </w:r>
      <w:r>
        <w:rPr>
          <w:vertAlign w:val="superscript"/>
        </w:rPr>
        <w:t xml:space="preserve">158</w:t>
      </w:r>
      <w:r>
        <w:t xml:space="preserve">, while consistent high-value newsletters maintain rates as low as 1%</w:t>
      </w:r>
      <w:r>
        <w:t xml:space="preserve"> </w:t>
      </w:r>
      <w:r>
        <w:rPr>
          <w:vertAlign w:val="superscript"/>
        </w:rPr>
        <w:t xml:space="preserve">165</w:t>
      </w:r>
      <w:r>
        <w:t xml:space="preserve">. Net Revenue Retention (NRR) above 100% indicates that expansion revenue (upgrades, annual conversions) exceeds churn losses; best-in-class B2B SaaS achieves 120-130%+</w:t>
      </w:r>
      <w:r>
        <w:t xml:space="preserve"> </w:t>
      </w:r>
      <w:r>
        <w:rPr>
          <w:vertAlign w:val="superscript"/>
        </w:rPr>
        <w:t xml:space="preserve">166</w:t>
      </w:r>
      <w:r>
        <w:t xml:space="preserve">. The stop rate — the percentage of readers who hit a paywall or gate — should target 6%+ for a thriving business, per the Shorenstein Center’s study of 500+ U.S. newspapers</w:t>
      </w:r>
      <w:r>
        <w:t xml:space="preserve"> </w:t>
      </w:r>
      <w:r>
        <w:rPr>
          <w:vertAlign w:val="superscript"/>
        </w:rPr>
        <w:t xml:space="preserve">144</w:t>
      </w:r>
      <w:r>
        <w:t xml:space="preserve"> </w:t>
      </w:r>
      <w:r>
        <w:rPr>
          <w:vertAlign w:val="superscript"/>
        </w:rPr>
        <w:t xml:space="preserve">145</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Baseline</w:t>
            </w:r>
          </w:p>
        </w:tc>
        <w:tc>
          <w:tcPr/>
          <w:p>
            <w:pPr>
              <w:pStyle w:val="Compact"/>
              <w:jc w:val="left"/>
            </w:pPr>
            <w:r>
              <w:t xml:space="preserve">Source Benchmark</w:t>
            </w:r>
          </w:p>
        </w:tc>
        <w:tc>
          <w:tcPr/>
          <w:p>
            <w:pPr>
              <w:pStyle w:val="Compact"/>
              <w:jc w:val="left"/>
            </w:pPr>
            <w:r>
              <w:t xml:space="preserve">Measurement Frequency</w:t>
            </w:r>
          </w:p>
        </w:tc>
      </w:tr>
      <w:tr>
        <w:tc>
          <w:tcPr/>
          <w:p>
            <w:pPr>
              <w:pStyle w:val="Compact"/>
              <w:jc w:val="left"/>
            </w:pPr>
            <w:r>
              <w:t xml:space="preserve">Free-to-paid conversion</w:t>
            </w:r>
          </w:p>
        </w:tc>
        <w:tc>
          <w:tcPr/>
          <w:p>
            <w:pPr>
              <w:pStyle w:val="Compact"/>
              <w:jc w:val="left"/>
            </w:pPr>
            <w:r>
              <w:t xml:space="preserve">5-10%</w:t>
            </w:r>
          </w:p>
        </w:tc>
        <w:tc>
          <w:tcPr/>
          <w:p>
            <w:pPr>
              <w:pStyle w:val="Compact"/>
              <w:jc w:val="left"/>
            </w:pPr>
            <w:r>
              <w:t xml:space="preserve">3-5%</w:t>
            </w:r>
            <w:r>
              <w:t xml:space="preserve"> </w:t>
            </w:r>
            <w:r>
              <w:rPr>
                <w:vertAlign w:val="superscript"/>
              </w:rPr>
              <w:t xml:space="preserve">156</w:t>
            </w:r>
          </w:p>
        </w:tc>
        <w:tc>
          <w:tcPr/>
          <w:p>
            <w:pPr>
              <w:pStyle w:val="Compact"/>
              <w:jc w:val="left"/>
            </w:pPr>
            <w:r>
              <w:t xml:space="preserve">Substack median 3%; top 20% exceed 5%</w:t>
            </w:r>
            <w:r>
              <w:t xml:space="preserve"> </w:t>
            </w:r>
            <w:r>
              <w:rPr>
                <w:vertAlign w:val="superscript"/>
              </w:rPr>
              <w:t xml:space="preserve">157</w:t>
            </w:r>
          </w:p>
        </w:tc>
        <w:tc>
          <w:tcPr/>
          <w:p>
            <w:pPr>
              <w:pStyle w:val="Compact"/>
              <w:jc w:val="left"/>
            </w:pPr>
            <w:r>
              <w:t xml:space="preserve">Monthly</w:t>
            </w:r>
          </w:p>
        </w:tc>
      </w:tr>
      <w:tr>
        <w:tc>
          <w:tcPr/>
          <w:p>
            <w:pPr>
              <w:pStyle w:val="Compact"/>
              <w:jc w:val="left"/>
            </w:pPr>
            <w:r>
              <w:t xml:space="preserve">Monthly churn rate</w:t>
            </w:r>
          </w:p>
        </w:tc>
        <w:tc>
          <w:tcPr/>
          <w:p>
            <w:pPr>
              <w:pStyle w:val="Compact"/>
              <w:jc w:val="left"/>
            </w:pPr>
            <w:r>
              <w:t xml:space="preserve">&lt;3%</w:t>
            </w:r>
          </w:p>
        </w:tc>
        <w:tc>
          <w:tcPr/>
          <w:p>
            <w:pPr>
              <w:pStyle w:val="Compact"/>
              <w:jc w:val="left"/>
            </w:pPr>
            <w:r>
              <w:t xml:space="preserve">&lt;5%</w:t>
            </w:r>
          </w:p>
        </w:tc>
        <w:tc>
          <w:tcPr/>
          <w:p>
            <w:pPr>
              <w:pStyle w:val="Compact"/>
              <w:jc w:val="left"/>
            </w:pPr>
            <w:r>
              <w:t xml:space="preserve">PLG strong: &lt;3%</w:t>
            </w:r>
            <w:r>
              <w:t xml:space="preserve"> </w:t>
            </w:r>
            <w:r>
              <w:rPr>
                <w:vertAlign w:val="superscript"/>
              </w:rPr>
              <w:t xml:space="preserve">167</w:t>
            </w:r>
            <w:r>
              <w:t xml:space="preserve">; publishers: 4.2%</w:t>
            </w:r>
            <w:r>
              <w:t xml:space="preserve"> </w:t>
            </w:r>
            <w:r>
              <w:rPr>
                <w:vertAlign w:val="superscript"/>
              </w:rPr>
              <w:t xml:space="preserve">158</w:t>
            </w:r>
          </w:p>
        </w:tc>
        <w:tc>
          <w:tcPr/>
          <w:p>
            <w:pPr>
              <w:pStyle w:val="Compact"/>
              <w:jc w:val="left"/>
            </w:pPr>
            <w:r>
              <w:t xml:space="preserve">Monthly</w:t>
            </w:r>
          </w:p>
        </w:tc>
      </w:tr>
      <w:tr>
        <w:tc>
          <w:tcPr/>
          <w:p>
            <w:pPr>
              <w:pStyle w:val="Compact"/>
              <w:jc w:val="left"/>
            </w:pPr>
            <w:r>
              <w:t xml:space="preserve">Net Revenue Retention</w:t>
            </w:r>
          </w:p>
        </w:tc>
        <w:tc>
          <w:tcPr/>
          <w:p>
            <w:pPr>
              <w:pStyle w:val="Compact"/>
              <w:jc w:val="left"/>
            </w:pPr>
            <w:r>
              <w:t xml:space="preserve">100%+</w:t>
            </w:r>
          </w:p>
        </w:tc>
        <w:tc>
          <w:tcPr/>
          <w:p>
            <w:pPr>
              <w:pStyle w:val="Compact"/>
              <w:jc w:val="left"/>
            </w:pPr>
            <w:r>
              <w:t xml:space="preserve">95%+</w:t>
            </w:r>
          </w:p>
        </w:tc>
        <w:tc>
          <w:tcPr/>
          <w:p>
            <w:pPr>
              <w:pStyle w:val="Compact"/>
              <w:jc w:val="left"/>
            </w:pPr>
            <w:r>
              <w:t xml:space="preserve">B2B median 100-104%; best-in-class 120-130%+</w:t>
            </w:r>
            <w:r>
              <w:t xml:space="preserve"> </w:t>
            </w:r>
            <w:r>
              <w:rPr>
                <w:vertAlign w:val="superscript"/>
              </w:rPr>
              <w:t xml:space="preserve">166</w:t>
            </w:r>
          </w:p>
        </w:tc>
        <w:tc>
          <w:tcPr/>
          <w:p>
            <w:pPr>
              <w:pStyle w:val="Compact"/>
              <w:jc w:val="left"/>
            </w:pPr>
            <w:r>
              <w:t xml:space="preserve">Quarterly</w:t>
            </w:r>
          </w:p>
        </w:tc>
      </w:tr>
      <w:tr>
        <w:tc>
          <w:tcPr/>
          <w:p>
            <w:pPr>
              <w:pStyle w:val="Compact"/>
              <w:jc w:val="left"/>
            </w:pPr>
            <w:r>
              <w:t xml:space="preserve">Stop rate</w:t>
            </w:r>
          </w:p>
        </w:tc>
        <w:tc>
          <w:tcPr/>
          <w:p>
            <w:pPr>
              <w:pStyle w:val="Compact"/>
              <w:jc w:val="left"/>
            </w:pPr>
            <w:r>
              <w:t xml:space="preserve">6%+</w:t>
            </w:r>
          </w:p>
        </w:tc>
        <w:tc>
          <w:tcPr/>
          <w:p>
            <w:pPr>
              <w:pStyle w:val="Compact"/>
              <w:jc w:val="left"/>
            </w:pPr>
            <w:r>
              <w:t xml:space="preserve">3-5%</w:t>
            </w:r>
          </w:p>
        </w:tc>
        <w:tc>
          <w:tcPr/>
          <w:p>
            <w:pPr>
              <w:pStyle w:val="Compact"/>
              <w:jc w:val="left"/>
            </w:pPr>
            <w:r>
              <w:t xml:space="preserve">Thriving publishers: 6%+; median: 1.8%</w:t>
            </w:r>
            <w:r>
              <w:t xml:space="preserve"> </w:t>
            </w:r>
            <w:r>
              <w:rPr>
                <w:vertAlign w:val="superscript"/>
              </w:rPr>
              <w:t xml:space="preserve">144</w:t>
            </w:r>
            <w:r>
              <w:t xml:space="preserve"> </w:t>
            </w:r>
            <w:r>
              <w:rPr>
                <w:vertAlign w:val="superscript"/>
              </w:rPr>
              <w:t xml:space="preserve">145</w:t>
            </w:r>
          </w:p>
        </w:tc>
        <w:tc>
          <w:tcPr/>
          <w:p>
            <w:pPr>
              <w:pStyle w:val="Compact"/>
              <w:jc w:val="left"/>
            </w:pPr>
            <w:r>
              <w:t xml:space="preserve">Monthly</w:t>
            </w:r>
          </w:p>
        </w:tc>
      </w:tr>
      <w:tr>
        <w:tc>
          <w:tcPr/>
          <w:p>
            <w:pPr>
              <w:pStyle w:val="Compact"/>
              <w:jc w:val="left"/>
            </w:pPr>
            <w:r>
              <w:t xml:space="preserve">Activation rate (7-day)</w:t>
            </w:r>
          </w:p>
        </w:tc>
        <w:tc>
          <w:tcPr/>
          <w:p>
            <w:pPr>
              <w:pStyle w:val="Compact"/>
              <w:jc w:val="left"/>
            </w:pPr>
            <w:r>
              <w:t xml:space="preserve">65%+</w:t>
            </w:r>
          </w:p>
        </w:tc>
        <w:tc>
          <w:tcPr/>
          <w:p>
            <w:pPr>
              <w:pStyle w:val="Compact"/>
              <w:jc w:val="left"/>
            </w:pPr>
            <w:r>
              <w:t xml:space="preserve">33%</w:t>
            </w:r>
          </w:p>
        </w:tc>
        <w:tc>
          <w:tcPr/>
          <w:p>
            <w:pPr>
              <w:pStyle w:val="Compact"/>
              <w:jc w:val="left"/>
            </w:pPr>
            <w:r>
              <w:t xml:space="preserve">Top 10%: 65%+; best-in-class: 80%+</w:t>
            </w:r>
            <w:r>
              <w:t xml:space="preserve"> </w:t>
            </w:r>
            <w:r>
              <w:rPr>
                <w:vertAlign w:val="superscript"/>
              </w:rPr>
              <w:t xml:space="preserve">153</w:t>
            </w:r>
          </w:p>
        </w:tc>
        <w:tc>
          <w:tcPr/>
          <w:p>
            <w:pPr>
              <w:pStyle w:val="Compact"/>
              <w:jc w:val="left"/>
            </w:pPr>
            <w:r>
              <w:t xml:space="preserve">Weekly</w:t>
            </w:r>
          </w:p>
        </w:tc>
      </w:tr>
      <w:tr>
        <w:tc>
          <w:tcPr/>
          <w:p>
            <w:pPr>
              <w:pStyle w:val="Compact"/>
              <w:jc w:val="left"/>
            </w:pPr>
            <w:r>
              <w:t xml:space="preserve">Win-back recovery</w:t>
            </w:r>
          </w:p>
        </w:tc>
        <w:tc>
          <w:tcPr/>
          <w:p>
            <w:pPr>
              <w:pStyle w:val="Compact"/>
              <w:jc w:val="left"/>
            </w:pPr>
            <w:r>
              <w:t xml:space="preserve">10-15%</w:t>
            </w:r>
          </w:p>
        </w:tc>
        <w:tc>
          <w:tcPr/>
          <w:p>
            <w:pPr>
              <w:pStyle w:val="Compact"/>
              <w:jc w:val="left"/>
            </w:pPr>
            <w:r>
              <w:t xml:space="preserve">5-10%</w:t>
            </w:r>
          </w:p>
        </w:tc>
        <w:tc>
          <w:tcPr/>
          <w:p>
            <w:pPr>
              <w:pStyle w:val="Compact"/>
              <w:jc w:val="left"/>
            </w:pPr>
            <w:r>
              <w:t xml:space="preserve">Best practice: 10-15% at zero CAC</w:t>
            </w:r>
            <w:r>
              <w:t xml:space="preserve"> </w:t>
            </w:r>
            <w:r>
              <w:rPr>
                <w:vertAlign w:val="superscript"/>
              </w:rPr>
              <w:t xml:space="preserve">163</w:t>
            </w:r>
          </w:p>
        </w:tc>
        <w:tc>
          <w:tcPr/>
          <w:p>
            <w:pPr>
              <w:pStyle w:val="Compact"/>
              <w:jc w:val="left"/>
            </w:pPr>
            <w:r>
              <w:t xml:space="preserve">Per campaign</w:t>
            </w:r>
          </w:p>
        </w:tc>
      </w:tr>
      <w:tr>
        <w:tc>
          <w:tcPr/>
          <w:p>
            <w:pPr>
              <w:pStyle w:val="Compact"/>
              <w:jc w:val="left"/>
            </w:pPr>
            <w:r>
              <w:t xml:space="preserve">Annual plan attach rate</w:t>
            </w:r>
          </w:p>
        </w:tc>
        <w:tc>
          <w:tcPr/>
          <w:p>
            <w:pPr>
              <w:pStyle w:val="Compact"/>
              <w:jc w:val="left"/>
            </w:pPr>
            <w:r>
              <w:t xml:space="preserve">40%+</w:t>
            </w:r>
          </w:p>
        </w:tc>
        <w:tc>
          <w:tcPr/>
          <w:p>
            <w:pPr>
              <w:pStyle w:val="Compact"/>
              <w:jc w:val="left"/>
            </w:pPr>
            <w:r>
              <w:t xml:space="preserve">25%</w:t>
            </w:r>
          </w:p>
        </w:tc>
        <w:tc>
          <w:tcPr/>
          <w:p>
            <w:pPr>
              <w:pStyle w:val="Compact"/>
              <w:jc w:val="left"/>
            </w:pPr>
            <w:r>
              <w:t xml:space="preserve">Annual subscribers 3-5x more likely to renew</w:t>
            </w:r>
            <w:r>
              <w:t xml:space="preserve"> </w:t>
            </w:r>
            <w:r>
              <w:rPr>
                <w:vertAlign w:val="superscript"/>
              </w:rPr>
              <w:t xml:space="preserve">1</w:t>
            </w:r>
          </w:p>
        </w:tc>
        <w:tc>
          <w:tcPr/>
          <w:p>
            <w:pPr>
              <w:pStyle w:val="Compact"/>
              <w:jc w:val="left"/>
            </w:pPr>
            <w:r>
              <w:t xml:space="preserve">Quarterly</w:t>
            </w:r>
          </w:p>
        </w:tc>
      </w:tr>
    </w:tbl>
    <w:p>
      <w:pPr>
        <w:pStyle w:val="BodyText"/>
      </w:pPr>
      <w:r>
        <w:t xml:space="preserve">The metrics framework reveals two critical leading indicators that predict downstream performance. Stop rate is the strongest predictor of subscription success — publishers above 6% stop rates consistently build thriving digital businesses, while those at the 1.8% median struggle regardless of content quality</w:t>
      </w:r>
      <w:r>
        <w:t xml:space="preserve"> </w:t>
      </w:r>
      <w:r>
        <w:rPr>
          <w:vertAlign w:val="superscript"/>
        </w:rPr>
        <w:t xml:space="preserve">144</w:t>
      </w:r>
      <w:r>
        <w:t xml:space="preserve">. This means SRC must ensure its registration wall, content gates, and upgrade prompts are actually encountered by engaged readers rather than set so generously that most traffic never experiences them. The second leading indicator is 7-day activation rate — the percentage of new members who reach an</w:t>
      </w:r>
      <w:r>
        <w:t xml:space="preserve"> </w:t>
      </w:r>
      <w:r>
        <w:t xml:space="preserve">“</w:t>
      </w:r>
      <w:r>
        <w:t xml:space="preserve">aha moment</w:t>
      </w:r>
      <w:r>
        <w:t xml:space="preserve">”</w:t>
      </w:r>
      <w:r>
        <w:t xml:space="preserve"> </w:t>
      </w:r>
      <w:r>
        <w:t xml:space="preserve">within their first week. Top-performing platforms achieve 65%+ activation versus an average of 33%</w:t>
      </w:r>
      <w:r>
        <w:t xml:space="preserve"> </w:t>
      </w:r>
      <w:r>
        <w:rPr>
          <w:vertAlign w:val="superscript"/>
        </w:rPr>
        <w:t xml:space="preserve">153</w:t>
      </w:r>
      <w:r>
        <w:t xml:space="preserve">. For SRC, the aha moment might be completing a newsletter preference setup, downloading a first report, or attending a live briefing. Members who experience this moment are 5-10 times more likely to convert to paid</w:t>
      </w:r>
      <w:r>
        <w:t xml:space="preserve"> </w:t>
      </w:r>
      <w:r>
        <w:rPr>
          <w:vertAlign w:val="superscript"/>
        </w:rPr>
        <w:t xml:space="preserve">153</w:t>
      </w:r>
      <w:r>
        <w:t xml:space="preserve">. Reducing churn by just 5% can double a company’s growth rate — for a membership business at scale, the difference between 5% and 2% monthly churn translates to hundreds of thousands of francs in saved acquisition costs and retained revenue annually</w:t>
      </w:r>
      <w:r>
        <w:t xml:space="preserve"> </w:t>
      </w:r>
      <w:r>
        <w:rPr>
          <w:vertAlign w:val="superscript"/>
        </w:rPr>
        <w:t xml:space="preserve">163</w:t>
      </w:r>
      <w:r>
        <w:t xml:space="preserve"> </w:t>
      </w:r>
      <w:r>
        <w:rPr>
          <w:vertAlign w:val="superscript"/>
        </w:rPr>
        <w:t xml:space="preserve">168</w:t>
      </w:r>
      <w:r>
        <w:t xml:space="preserve">.</w:t>
      </w:r>
      <w:r>
        <w:t xml:space="preserve"> </w:t>
      </w:r>
      <w:r>
        <w:t xml:space="preserve">## 7. Technical Platform &amp; Implementation Roadmap</w:t>
      </w:r>
    </w:p>
    <w:p>
      <w:pPr>
        <w:pStyle w:val="BodyText"/>
      </w:pPr>
      <w:r>
        <w:t xml:space="preserve">The membership model designed in preceding chapters delivers value only if the underlying technology gates content reliably, processes payments seamlessly, and scales from launch through enterprise tiers. The wrong platform choice traps SRC in vendor lock-in with escalating fees; the right choice creates a Swiss-hosted foundation costing under CHF 550 per month at 1,000 members rather than the CHF 3,000 or more demanded by all-in-one platforms</w:t>
      </w:r>
      <w:r>
        <w:t xml:space="preserve"> </w:t>
      </w:r>
      <w:r>
        <w:rPr>
          <w:vertAlign w:val="superscript"/>
        </w:rPr>
        <w:t xml:space="preserve">31</w:t>
      </w:r>
      <w:r>
        <w:t xml:space="preserve"> </w:t>
      </w:r>
      <w:r>
        <w:rPr>
          <w:vertAlign w:val="superscript"/>
        </w:rPr>
        <w:t xml:space="preserve">169</w:t>
      </w:r>
      <w:r>
        <w:t xml:space="preserve">. This chapter specifies the recommended stack, maps the compliance landscape, and lays out a 12-month roadmap from registration wall to operational corporate memberships.</w:t>
      </w:r>
    </w:p>
    <w:bookmarkEnd w:id="75"/>
    <w:bookmarkEnd w:id="76"/>
    <w:bookmarkStart w:id="81" w:name="recommended-technology-stack"/>
    <w:p>
      <w:pPr>
        <w:pStyle w:val="Heading3"/>
      </w:pPr>
      <w:r>
        <w:t xml:space="preserve">7.1 Recommended Technology Stack</w:t>
      </w:r>
    </w:p>
    <w:p>
      <w:pPr>
        <w:pStyle w:val="FirstParagraph"/>
      </w:pPr>
      <w:r>
        <w:t xml:space="preserve">SRC’s architecture follows a modular, best-of-breed approach: each component is replaceable independently, data remains under Swiss jurisdiction, and monthly operating costs at 1,000 members stay under CHF 550 — roughly one-sixth the cost of a Piano or Zuora/Zephr deployment</w:t>
      </w:r>
      <w:r>
        <w:t xml:space="preserve"> </w:t>
      </w:r>
      <w:r>
        <w:rPr>
          <w:vertAlign w:val="superscript"/>
        </w:rPr>
        <w:t xml:space="preserve">31</w:t>
      </w:r>
      <w:r>
        <w:t xml:space="preserve"> </w:t>
      </w:r>
      <w:r>
        <w:rPr>
          <w:vertAlign w:val="superscript"/>
        </w:rPr>
        <w:t xml:space="preserve">170</w:t>
      </w:r>
      <w:r>
        <w:t xml:space="preserve">.</w:t>
      </w:r>
    </w:p>
    <w:bookmarkStart w:id="77" w:name="X81c8f18877e442fcfed546d717b0f6cbd0744f7"/>
    <w:p>
      <w:pPr>
        <w:pStyle w:val="Heading4"/>
      </w:pPr>
      <w:r>
        <w:t xml:space="preserve">7.1.1 Swiss-Hosted Core: Strapi, Next.js, Stripe Switzerland, and Ghost</w:t>
      </w:r>
    </w:p>
    <w:p>
      <w:pPr>
        <w:pStyle w:val="FirstParagraph"/>
      </w:pPr>
      <w:r>
        <w:t xml:space="preserve">The content backbone should be</w:t>
      </w:r>
      <w:r>
        <w:t xml:space="preserve"> </w:t>
      </w:r>
      <w:r>
        <w:rPr>
          <w:bCs/>
          <w:b/>
        </w:rPr>
        <w:t xml:space="preserve">Strapi</w:t>
      </w:r>
      <w:r>
        <w:t xml:space="preserve"> </w:t>
      </w:r>
      <w:r>
        <w:t xml:space="preserve">self-hosted on a Swiss cloud provider (Exoscale or Infomaniak). Strapi offers unlimited API calls on its free open-source tier, role-based access control for tiered gating, and full data residency — a prerequisite for FADP compliance that SaaS-only alternatives such as Contentful cannot match without EU-hosted instances</w:t>
      </w:r>
      <w:r>
        <w:t xml:space="preserve"> </w:t>
      </w:r>
      <w:r>
        <w:rPr>
          <w:vertAlign w:val="superscript"/>
        </w:rPr>
        <w:t xml:space="preserve">171</w:t>
      </w:r>
      <w:r>
        <w:t xml:space="preserve"> </w:t>
      </w:r>
      <w:r>
        <w:rPr>
          <w:vertAlign w:val="superscript"/>
        </w:rPr>
        <w:t xml:space="preserve">167</w:t>
      </w:r>
      <w:r>
        <w:t xml:space="preserve">. The frontend uses</w:t>
      </w:r>
      <w:r>
        <w:t xml:space="preserve"> </w:t>
      </w:r>
      <w:r>
        <w:rPr>
          <w:bCs/>
          <w:b/>
        </w:rPr>
        <w:t xml:space="preserve">Next.js</w:t>
      </w:r>
      <w:r>
        <w:t xml:space="preserve"> </w:t>
      </w:r>
      <w:r>
        <w:t xml:space="preserve">with server-side rendering for SEO and client-side authentication for member content</w:t>
      </w:r>
      <w:r>
        <w:t xml:space="preserve"> </w:t>
      </w:r>
      <w:r>
        <w:rPr>
          <w:vertAlign w:val="superscript"/>
        </w:rPr>
        <w:t xml:space="preserve">172</w:t>
      </w:r>
      <w:r>
        <w:t xml:space="preserve">.</w:t>
      </w:r>
    </w:p>
    <w:p>
      <w:pPr>
        <w:pStyle w:val="BodyText"/>
      </w:pPr>
      <w:r>
        <w:t xml:space="preserve">Payment processing runs through</w:t>
      </w:r>
      <w:r>
        <w:t xml:space="preserve"> </w:t>
      </w:r>
      <w:r>
        <w:rPr>
          <w:bCs/>
          <w:b/>
        </w:rPr>
        <w:t xml:space="preserve">Stripe Switzerland</w:t>
      </w:r>
      <w:r>
        <w:t xml:space="preserve"> </w:t>
      </w:r>
      <w:r>
        <w:t xml:space="preserve">at 2.9% plus CHF 0.30 per transaction, with TWINT support since 2023</w:t>
      </w:r>
      <w:r>
        <w:t xml:space="preserve"> </w:t>
      </w:r>
      <w:r>
        <w:rPr>
          <w:vertAlign w:val="superscript"/>
        </w:rPr>
        <w:t xml:space="preserve">37</w:t>
      </w:r>
      <w:r>
        <w:t xml:space="preserve"> </w:t>
      </w:r>
      <w:r>
        <w:rPr>
          <w:vertAlign w:val="superscript"/>
        </w:rPr>
        <w:t xml:space="preserve">173</w:t>
      </w:r>
      <w:r>
        <w:t xml:space="preserve">. TWINT commands 55-65% of Swiss mobile checkout share among 5 million-plus users, and its 1.1-1.4% fees are 30-50% cheaper than cards</w:t>
      </w:r>
      <w:r>
        <w:t xml:space="preserve"> </w:t>
      </w:r>
      <w:r>
        <w:rPr>
          <w:vertAlign w:val="superscript"/>
        </w:rPr>
        <w:t xml:space="preserve">173</w:t>
      </w:r>
      <w:r>
        <w:t xml:space="preserve">. TWINT should be the default Swiss payment method, supplemented by SEPA Direct Debit for EU members. Social login via LinkedIn and Google through Auth0 or NextAuth.js lifts registration conversion by 20-50%</w:t>
      </w:r>
      <w:r>
        <w:t xml:space="preserve"> </w:t>
      </w:r>
      <w:r>
        <w:rPr>
          <w:vertAlign w:val="superscript"/>
        </w:rPr>
        <w:t xml:space="preserve">174</w:t>
      </w:r>
      <w:r>
        <w:t xml:space="preserve">. Newsletter delivery uses</w:t>
      </w:r>
      <w:r>
        <w:t xml:space="preserve"> </w:t>
      </w:r>
      <w:r>
        <w:rPr>
          <w:bCs/>
          <w:b/>
        </w:rPr>
        <w:t xml:space="preserve">Ghost Publisher</w:t>
      </w:r>
      <w:r>
        <w:t xml:space="preserve"> </w:t>
      </w:r>
      <w:r>
        <w:t xml:space="preserve">at $29 per month with 0% transaction fees — versus Substack’s 10% cut — and built-in tiered gating</w:t>
      </w:r>
      <w:r>
        <w:t xml:space="preserve"> </w:t>
      </w:r>
      <w:r>
        <w:rPr>
          <w:vertAlign w:val="superscript"/>
        </w:rPr>
        <w:t xml:space="preserve">175</w:t>
      </w:r>
      <w:r>
        <w:t xml:space="preserve"> </w:t>
      </w:r>
      <w:r>
        <w:rPr>
          <w:vertAlign w:val="superscript"/>
        </w:rPr>
        <w:t xml:space="preserve">174</w:t>
      </w:r>
      <w:r>
        <w:t xml:space="preserve">.</w:t>
      </w:r>
    </w:p>
    <w:bookmarkEnd w:id="77"/>
    <w:bookmarkStart w:id="78" w:name="Xd4fcfb4c264263950ab6bbdb694a35b2ef71dfe"/>
    <w:p>
      <w:pPr>
        <w:pStyle w:val="Heading4"/>
      </w:pPr>
      <w:r>
        <w:t xml:space="preserve">7.1.2 Paywall: Custom Implementation Over Enterprise SaaS</w:t>
      </w:r>
    </w:p>
    <w:p>
      <w:pPr>
        <w:pStyle w:val="FirstParagraph"/>
      </w:pPr>
      <w:r>
        <w:t xml:space="preserve">Enterprise paywall platforms such as Piano (CHF 3,000-5,000-plus per month) and Zuora/Zephr (CHF 6,000-plus per month) deliver sophisticated dynamic rules, but their pricing is tightly coupled to their billing ecosystems and requires professional services</w:t>
      </w:r>
      <w:r>
        <w:t xml:space="preserve"> </w:t>
      </w:r>
      <w:r>
        <w:rPr>
          <w:vertAlign w:val="superscript"/>
        </w:rPr>
        <w:t xml:space="preserve">31</w:t>
      </w:r>
      <w:r>
        <w:t xml:space="preserve"> </w:t>
      </w:r>
      <w:r>
        <w:rPr>
          <w:vertAlign w:val="superscript"/>
        </w:rPr>
        <w:t xml:space="preserve">144</w:t>
      </w:r>
      <w:r>
        <w:t xml:space="preserve">. A custom paywall built with</w:t>
      </w:r>
      <w:r>
        <w:t xml:space="preserve"> </w:t>
      </w:r>
      <w:r>
        <w:rPr>
          <w:bCs/>
          <w:b/>
        </w:rPr>
        <w:t xml:space="preserve">ThumbmarkJS</w:t>
      </w:r>
      <w:r>
        <w:t xml:space="preserve"> </w:t>
      </w:r>
      <w:r>
        <w:t xml:space="preserve">for browser fingerprinting and</w:t>
      </w:r>
      <w:r>
        <w:t xml:space="preserve"> </w:t>
      </w:r>
      <w:r>
        <w:rPr>
          <w:bCs/>
          <w:b/>
        </w:rPr>
        <w:t xml:space="preserve">Redis</w:t>
      </w:r>
      <w:r>
        <w:t xml:space="preserve"> </w:t>
      </w:r>
      <w:r>
        <w:t xml:space="preserve">for meter tracking achieves 5-10 free articles before gating with a 5-7% stop-rate target at a fraction of the cost</w:t>
      </w:r>
      <w:r>
        <w:t xml:space="preserve"> </w:t>
      </w:r>
      <w:r>
        <w:rPr>
          <w:vertAlign w:val="superscript"/>
        </w:rPr>
        <w:t xml:space="preserve">176</w:t>
      </w:r>
      <w:r>
        <w:t xml:space="preserve"> </w:t>
      </w:r>
      <w:r>
        <w:rPr>
          <w:vertAlign w:val="superscript"/>
        </w:rPr>
        <w:t xml:space="preserve">164</w:t>
      </w:r>
      <w:r>
        <w:t xml:space="preserve">. This also keeps behavioral data inside SRC’s Swiss-hosted environment rather than inside a US vendor’s ecosystem — meaningful given the FDPIC’s removal of the US from its data-protection whitelist post-Schrems II</w:t>
      </w:r>
      <w:r>
        <w:t xml:space="preserve"> </w:t>
      </w:r>
      <w:r>
        <w:rPr>
          <w:vertAlign w:val="superscript"/>
        </w:rPr>
        <w:t xml:space="preserve">153</w:t>
      </w:r>
      <w:r>
        <w:t xml:space="preserve">. Piano can be introduced later if SRC scales beyond 5,000 members.</w:t>
      </w:r>
    </w:p>
    <w:bookmarkEnd w:id="78"/>
    <w:bookmarkStart w:id="79" w:name="X492b8f3ff7e0970b1ec2284812572ea83e3431e"/>
    <w:p>
      <w:pPr>
        <w:pStyle w:val="Heading4"/>
      </w:pPr>
      <w:r>
        <w:t xml:space="preserve">7.1.3 Video: Vimeo Pro and AI Avatar Infrastructure</w:t>
      </w:r>
    </w:p>
    <w:p>
      <w:pPr>
        <w:pStyle w:val="FirstParagraph"/>
      </w:pPr>
      <w:r>
        <w:t xml:space="preserve">Video content with active viewing sees roughly half the churn of text-only memberships</w:t>
      </w:r>
      <w:r>
        <w:t xml:space="preserve"> </w:t>
      </w:r>
      <w:r>
        <w:rPr>
          <w:vertAlign w:val="superscript"/>
        </w:rPr>
        <w:t xml:space="preserve">177</w:t>
      </w:r>
      <w:r>
        <w:t xml:space="preserve">.</w:t>
      </w:r>
      <w:r>
        <w:t xml:space="preserve"> </w:t>
      </w:r>
      <w:r>
        <w:rPr>
          <w:bCs/>
          <w:b/>
        </w:rPr>
        <w:t xml:space="preserve">Vimeo Premium</w:t>
      </w:r>
      <w:r>
        <w:t xml:space="preserve"> </w:t>
      </w:r>
      <w:r>
        <w:t xml:space="preserve">at $65 per month offers domain restriction, with an upgrade path to Vimeo OTT or tokenized HLS protection as volumes grow</w:t>
      </w:r>
      <w:r>
        <w:t xml:space="preserve"> </w:t>
      </w:r>
      <w:r>
        <w:rPr>
          <w:vertAlign w:val="superscript"/>
        </w:rPr>
        <w:t xml:space="preserve">177</w:t>
      </w:r>
      <w:r>
        <w:t xml:space="preserve">. For AI avatar generation,</w:t>
      </w:r>
      <w:r>
        <w:t xml:space="preserve"> </w:t>
      </w:r>
      <w:r>
        <w:rPr>
          <w:bCs/>
          <w:b/>
        </w:rPr>
        <w:t xml:space="preserve">Synthesia</w:t>
      </w:r>
      <w:r>
        <w:t xml:space="preserve"> </w:t>
      </w:r>
      <w:r>
        <w:t xml:space="preserve">is the primary platform: its European language lip-sync scores 4.1 out of 5 for French and German, superior to HeyGen’s 3.7 out of 5, and it holds SOC 2 Type II and ISO/IEC 42001:2023 certifications</w:t>
      </w:r>
      <w:r>
        <w:t xml:space="preserve"> </w:t>
      </w:r>
      <w:r>
        <w:rPr>
          <w:vertAlign w:val="superscript"/>
        </w:rPr>
        <w:t xml:space="preserve">95</w:t>
      </w:r>
      <w:r>
        <w:t xml:space="preserve"> </w:t>
      </w:r>
      <w:r>
        <w:rPr>
          <w:vertAlign w:val="superscript"/>
        </w:rPr>
        <w:t xml:space="preserve">12</w:t>
      </w:r>
      <w:r>
        <w:t xml:space="preserve">. The Creator tier at $89 per month provides 30 minutes and API access</w:t>
      </w:r>
      <w:r>
        <w:t xml:space="preserve"> </w:t>
      </w:r>
      <w:r>
        <w:rPr>
          <w:vertAlign w:val="superscript"/>
        </w:rPr>
        <w:t xml:space="preserve">34</w:t>
      </w:r>
      <w:r>
        <w:t xml:space="preserve">. For social clips,</w:t>
      </w:r>
      <w:r>
        <w:t xml:space="preserve"> </w:t>
      </w:r>
      <w:r>
        <w:rPr>
          <w:bCs/>
          <w:b/>
        </w:rPr>
        <w:t xml:space="preserve">HeyGen Creator</w:t>
      </w:r>
      <w:r>
        <w:t xml:space="preserve"> </w:t>
      </w:r>
      <w:r>
        <w:t xml:space="preserve">at $29 per month delivers ~30 minutes of Avatar IV output in 175 languages with vertical 9:16 format</w:t>
      </w:r>
      <w:r>
        <w:t xml:space="preserve"> </w:t>
      </w:r>
      <w:r>
        <w:rPr>
          <w:vertAlign w:val="superscript"/>
        </w:rPr>
        <w:t xml:space="preserve">178</w:t>
      </w:r>
      <w:r>
        <w:t xml:space="preserve">.</w:t>
      </w:r>
    </w:p>
    <w:bookmarkEnd w:id="79"/>
    <w:bookmarkStart w:id="80" w:name="X9b18159782a814aa9e17c70f9ad03489deb73a4"/>
    <w:p>
      <w:pPr>
        <w:pStyle w:val="Heading4"/>
      </w:pPr>
      <w:r>
        <w:t xml:space="preserve">7.1.4 AI Avatar Integration: The Automated Pipeline</w:t>
      </w:r>
    </w:p>
    <w:p>
      <w:pPr>
        <w:pStyle w:val="FirstParagraph"/>
      </w:pPr>
      <w:r>
        <w:t xml:space="preserve">The automation pipeline runs six steps: RSS monitoring captures developments; an AI script generator (GPT-4 or Claude) drafts briefings capped at 90-120 seconds for the 70% viewer-retention threshold</w:t>
      </w:r>
      <w:r>
        <w:t xml:space="preserve"> </w:t>
      </w:r>
      <w:r>
        <w:rPr>
          <w:vertAlign w:val="superscript"/>
        </w:rPr>
        <w:t xml:space="preserve">11</w:t>
      </w:r>
      <w:r>
        <w:t xml:space="preserve">; a human expert reviews and approves; the Synthesia API generates the video (a 90-second video renders in 3-7 minutes)</w:t>
      </w:r>
      <w:r>
        <w:t xml:space="preserve"> </w:t>
      </w:r>
      <w:r>
        <w:rPr>
          <w:vertAlign w:val="superscript"/>
        </w:rPr>
        <w:t xml:space="preserve">13</w:t>
      </w:r>
      <w:r>
        <w:t xml:space="preserve">; output undergoes human validation; and automated distribution routes to the appropriate tier</w:t>
      </w:r>
      <w:r>
        <w:t xml:space="preserve"> </w:t>
      </w:r>
      <w:r>
        <w:rPr>
          <w:vertAlign w:val="superscript"/>
        </w:rPr>
        <w:t xml:space="preserve">13</w:t>
      </w:r>
      <w:r>
        <w:t xml:space="preserve">. At $1.80-$2.90 per minute, 20 five-minute briefings monthly cost roughly CHF 180-290 — a 90% reduction versus human production</w:t>
      </w:r>
      <w:r>
        <w:t xml:space="preserve"> </w:t>
      </w:r>
      <w:r>
        <w:rPr>
          <w:vertAlign w:val="superscript"/>
        </w:rPr>
        <w:t xml:space="preserve">179</w:t>
      </w:r>
      <w:r>
        <w:t xml:space="preserve">.</w:t>
      </w:r>
    </w:p>
    <w:p>
      <w:pPr>
        <w:pStyle w:val="BodyText"/>
      </w:pPr>
      <w:r>
        <w:rPr>
          <w:bCs/>
          <w:b/>
        </w:rPr>
        <w:t xml:space="preserve">Table 1: Recommended Technology Stack — Component Comparison</w:t>
      </w:r>
    </w:p>
    <w:tbl>
      <w:tblPr>
        <w:tblStyle w:val="Table"/>
        <w:tblW w:type="pct" w:w="5000"/>
        <w:tblLook w:firstRow="1" w:lastRow="0" w:firstColumn="0" w:lastColumn="0" w:noHBand="0" w:noVBand="0" w:val="0020"/>
      </w:tblPr>
      <w:tblGrid>
        <w:gridCol w:w="1049"/>
        <w:gridCol w:w="1335"/>
        <w:gridCol w:w="1240"/>
        <w:gridCol w:w="2862"/>
        <w:gridCol w:w="1431"/>
      </w:tblGrid>
      <w:tr>
        <w:trPr>
          <w:tblHeader w:val="true"/>
        </w:trPr>
        <w:tc>
          <w:tcPr/>
          <w:p>
            <w:pPr>
              <w:pStyle w:val="Compact"/>
              <w:jc w:val="left"/>
            </w:pPr>
            <w:r>
              <w:t xml:space="preserve">Component</w:t>
            </w:r>
          </w:p>
        </w:tc>
        <w:tc>
          <w:tcPr/>
          <w:p>
            <w:pPr>
              <w:pStyle w:val="Compact"/>
              <w:jc w:val="left"/>
            </w:pPr>
            <w:r>
              <w:t xml:space="preserve">Primary Choice</w:t>
            </w:r>
          </w:p>
        </w:tc>
        <w:tc>
          <w:tcPr/>
          <w:p>
            <w:pPr>
              <w:pStyle w:val="Compact"/>
              <w:jc w:val="left"/>
            </w:pPr>
            <w:r>
              <w:t xml:space="preserve">Alternative</w:t>
            </w:r>
          </w:p>
        </w:tc>
        <w:tc>
          <w:tcPr/>
          <w:p>
            <w:pPr>
              <w:pStyle w:val="Compact"/>
              <w:jc w:val="left"/>
            </w:pPr>
            <w:r>
              <w:t xml:space="preserve">Monthly Cost at 1,000 Members</w:t>
            </w:r>
          </w:p>
        </w:tc>
        <w:tc>
          <w:tcPr/>
          <w:p>
            <w:pPr>
              <w:pStyle w:val="Compact"/>
              <w:jc w:val="left"/>
            </w:pPr>
            <w:r>
              <w:t xml:space="preserve">Key Rationale</w:t>
            </w:r>
          </w:p>
        </w:tc>
      </w:tr>
      <w:tr>
        <w:tc>
          <w:tcPr/>
          <w:p>
            <w:pPr>
              <w:pStyle w:val="Compact"/>
              <w:jc w:val="left"/>
            </w:pPr>
            <w:r>
              <w:t xml:space="preserve">Headless CMS</w:t>
            </w:r>
          </w:p>
        </w:tc>
        <w:tc>
          <w:tcPr/>
          <w:p>
            <w:pPr>
              <w:pStyle w:val="Compact"/>
              <w:jc w:val="left"/>
            </w:pPr>
            <w:r>
              <w:t xml:space="preserve">Strapi (self-hosted, Switzerland)</w:t>
            </w:r>
          </w:p>
        </w:tc>
        <w:tc>
          <w:tcPr/>
          <w:p>
            <w:pPr>
              <w:pStyle w:val="Compact"/>
              <w:jc w:val="left"/>
            </w:pPr>
            <w:r>
              <w:t xml:space="preserve">Ghost CMS</w:t>
            </w:r>
          </w:p>
        </w:tc>
        <w:tc>
          <w:tcPr/>
          <w:p>
            <w:pPr>
              <w:pStyle w:val="Compact"/>
              <w:jc w:val="left"/>
            </w:pPr>
            <w:r>
              <w:t xml:space="preserve">CHF 50-100</w:t>
            </w:r>
            <w:r>
              <w:t xml:space="preserve"> </w:t>
            </w:r>
            <w:r>
              <w:rPr>
                <w:vertAlign w:val="superscript"/>
              </w:rPr>
              <w:t xml:space="preserve">167</w:t>
            </w:r>
          </w:p>
        </w:tc>
        <w:tc>
          <w:tcPr/>
          <w:p>
            <w:pPr>
              <w:pStyle w:val="Compact"/>
              <w:jc w:val="left"/>
            </w:pPr>
            <w:r>
              <w:t xml:space="preserve">Unlimited API calls, full data residency, FADP-compliant</w:t>
            </w:r>
          </w:p>
        </w:tc>
      </w:tr>
      <w:tr>
        <w:tc>
          <w:tcPr/>
          <w:p>
            <w:pPr>
              <w:pStyle w:val="Compact"/>
              <w:jc w:val="left"/>
            </w:pPr>
            <w:r>
              <w:t xml:space="preserve">Frontend framework</w:t>
            </w:r>
          </w:p>
        </w:tc>
        <w:tc>
          <w:tcPr/>
          <w:p>
            <w:pPr>
              <w:pStyle w:val="Compact"/>
              <w:jc w:val="left"/>
            </w:pPr>
            <w:r>
              <w:t xml:space="preserve">Next.js (SSR)</w:t>
            </w:r>
          </w:p>
        </w:tc>
        <w:tc>
          <w:tcPr/>
          <w:p>
            <w:pPr>
              <w:pStyle w:val="Compact"/>
              <w:jc w:val="left"/>
            </w:pPr>
            <w:r>
              <w:t xml:space="preserve">Nuxt.js</w:t>
            </w:r>
          </w:p>
        </w:tc>
        <w:tc>
          <w:tcPr/>
          <w:p>
            <w:pPr>
              <w:pStyle w:val="Compact"/>
              <w:jc w:val="left"/>
            </w:pPr>
            <w:r>
              <w:t xml:space="preserve">$20-50 (Vercel)</w:t>
            </w:r>
          </w:p>
        </w:tc>
        <w:tc>
          <w:tcPr/>
          <w:p>
            <w:pPr>
              <w:pStyle w:val="Compact"/>
              <w:jc w:val="left"/>
            </w:pPr>
            <w:r>
              <w:t xml:space="preserve">SEO-optimized, React ecosystem, server-side auth</w:t>
            </w:r>
          </w:p>
        </w:tc>
      </w:tr>
      <w:tr>
        <w:tc>
          <w:tcPr/>
          <w:p>
            <w:pPr>
              <w:pStyle w:val="Compact"/>
              <w:jc w:val="left"/>
            </w:pPr>
            <w:r>
              <w:t xml:space="preserve">Payment processor</w:t>
            </w:r>
          </w:p>
        </w:tc>
        <w:tc>
          <w:tcPr/>
          <w:p>
            <w:pPr>
              <w:pStyle w:val="Compact"/>
              <w:jc w:val="left"/>
            </w:pPr>
            <w:r>
              <w:t xml:space="preserve">Stripe Switzerland + TWINT</w:t>
            </w:r>
          </w:p>
        </w:tc>
        <w:tc>
          <w:tcPr/>
          <w:p>
            <w:pPr>
              <w:pStyle w:val="Compact"/>
              <w:jc w:val="left"/>
            </w:pPr>
            <w:r>
              <w:t xml:space="preserve">Payrexx</w:t>
            </w:r>
          </w:p>
        </w:tc>
        <w:tc>
          <w:tcPr/>
          <w:p>
            <w:pPr>
              <w:pStyle w:val="Compact"/>
              <w:jc w:val="left"/>
            </w:pPr>
            <w:r>
              <w:t xml:space="preserve">~CHF 250 ( Stripe fees on ~200 transactions)</w:t>
            </w:r>
            <w:r>
              <w:t xml:space="preserve"> </w:t>
            </w:r>
            <w:r>
              <w:rPr>
                <w:vertAlign w:val="superscript"/>
              </w:rPr>
              <w:t xml:space="preserve">37</w:t>
            </w:r>
          </w:p>
        </w:tc>
        <w:tc>
          <w:tcPr/>
          <w:p>
            <w:pPr>
              <w:pStyle w:val="Compact"/>
              <w:jc w:val="left"/>
            </w:pPr>
            <w:r>
              <w:t xml:space="preserve">TWINT support, best API, CHF settlement</w:t>
            </w:r>
          </w:p>
        </w:tc>
      </w:tr>
      <w:tr>
        <w:tc>
          <w:tcPr/>
          <w:p>
            <w:pPr>
              <w:pStyle w:val="Compact"/>
              <w:jc w:val="left"/>
            </w:pPr>
            <w:r>
              <w:t xml:space="preserve">Paywall / metering</w:t>
            </w:r>
          </w:p>
        </w:tc>
        <w:tc>
          <w:tcPr/>
          <w:p>
            <w:pPr>
              <w:pStyle w:val="Compact"/>
              <w:jc w:val="left"/>
            </w:pPr>
            <w:r>
              <w:t xml:space="preserve">Custom (ThumbmarkJS + Redis)</w:t>
            </w:r>
          </w:p>
        </w:tc>
        <w:tc>
          <w:tcPr/>
          <w:p>
            <w:pPr>
              <w:pStyle w:val="Compact"/>
              <w:jc w:val="left"/>
            </w:pPr>
            <w:r>
              <w:t xml:space="preserve">Piano</w:t>
            </w:r>
          </w:p>
        </w:tc>
        <w:tc>
          <w:tcPr/>
          <w:p>
            <w:pPr>
              <w:pStyle w:val="Compact"/>
              <w:jc w:val="left"/>
            </w:pPr>
            <w:r>
              <w:t xml:space="preserve">$0 (self-built)</w:t>
            </w:r>
          </w:p>
        </w:tc>
        <w:tc>
          <w:tcPr/>
          <w:p>
            <w:pPr>
              <w:pStyle w:val="Compact"/>
              <w:jc w:val="left"/>
            </w:pPr>
            <w:r>
              <w:t xml:space="preserve">Fingerprint-based tracking, data stays in Switzerland</w:t>
            </w:r>
          </w:p>
        </w:tc>
      </w:tr>
      <w:tr>
        <w:tc>
          <w:tcPr/>
          <w:p>
            <w:pPr>
              <w:pStyle w:val="Compact"/>
              <w:jc w:val="left"/>
            </w:pPr>
            <w:r>
              <w:t xml:space="preserve">Newsletter delivery</w:t>
            </w:r>
          </w:p>
        </w:tc>
        <w:tc>
          <w:tcPr/>
          <w:p>
            <w:pPr>
              <w:pStyle w:val="Compact"/>
              <w:jc w:val="left"/>
            </w:pPr>
            <w:r>
              <w:t xml:space="preserve">Ghost Publisher</w:t>
            </w:r>
          </w:p>
        </w:tc>
        <w:tc>
          <w:tcPr/>
          <w:p>
            <w:pPr>
              <w:pStyle w:val="Compact"/>
              <w:jc w:val="left"/>
            </w:pPr>
            <w:r>
              <w:t xml:space="preserve">ConvertKit</w:t>
            </w:r>
          </w:p>
        </w:tc>
        <w:tc>
          <w:tcPr/>
          <w:p>
            <w:pPr>
              <w:pStyle w:val="Compact"/>
              <w:jc w:val="left"/>
            </w:pPr>
            <w:r>
              <w:t xml:space="preserve">$29</w:t>
            </w:r>
            <w:r>
              <w:t xml:space="preserve"> </w:t>
            </w:r>
            <w:r>
              <w:rPr>
                <w:vertAlign w:val="superscript"/>
              </w:rPr>
              <w:t xml:space="preserve">175</w:t>
            </w:r>
          </w:p>
        </w:tc>
        <w:tc>
          <w:tcPr/>
          <w:p>
            <w:pPr>
              <w:pStyle w:val="Compact"/>
              <w:jc w:val="left"/>
            </w:pPr>
            <w:r>
              <w:t xml:space="preserve">0% transaction fees, built-in tiered gating</w:t>
            </w:r>
          </w:p>
        </w:tc>
      </w:tr>
      <w:tr>
        <w:tc>
          <w:tcPr/>
          <w:p>
            <w:pPr>
              <w:pStyle w:val="Compact"/>
              <w:jc w:val="left"/>
            </w:pPr>
            <w:r>
              <w:t xml:space="preserve">Video hosting</w:t>
            </w:r>
          </w:p>
        </w:tc>
        <w:tc>
          <w:tcPr/>
          <w:p>
            <w:pPr>
              <w:pStyle w:val="Compact"/>
              <w:jc w:val="left"/>
            </w:pPr>
            <w:r>
              <w:t xml:space="preserve">Vimeo Premium</w:t>
            </w:r>
          </w:p>
        </w:tc>
        <w:tc>
          <w:tcPr/>
          <w:p>
            <w:pPr>
              <w:pStyle w:val="Compact"/>
              <w:jc w:val="left"/>
            </w:pPr>
            <w:r>
              <w:t xml:space="preserve">Wistia</w:t>
            </w:r>
          </w:p>
        </w:tc>
        <w:tc>
          <w:tcPr/>
          <w:p>
            <w:pPr>
              <w:pStyle w:val="Compact"/>
              <w:jc w:val="left"/>
            </w:pPr>
            <w:r>
              <w:t xml:space="preserve">$65</w:t>
            </w:r>
            <w:r>
              <w:t xml:space="preserve"> </w:t>
            </w:r>
            <w:r>
              <w:rPr>
                <w:vertAlign w:val="superscript"/>
              </w:rPr>
              <w:t xml:space="preserve">170</w:t>
            </w:r>
          </w:p>
        </w:tc>
        <w:tc>
          <w:tcPr/>
          <w:p>
            <w:pPr>
              <w:pStyle w:val="Compact"/>
              <w:jc w:val="left"/>
            </w:pPr>
            <w:r>
              <w:t xml:space="preserve">Domain restriction, ad-free player</w:t>
            </w:r>
          </w:p>
        </w:tc>
      </w:tr>
      <w:tr>
        <w:tc>
          <w:tcPr/>
          <w:p>
            <w:pPr>
              <w:pStyle w:val="Compact"/>
              <w:jc w:val="left"/>
            </w:pPr>
            <w:r>
              <w:t xml:space="preserve">AI avatar generation</w:t>
            </w:r>
          </w:p>
        </w:tc>
        <w:tc>
          <w:tcPr/>
          <w:p>
            <w:pPr>
              <w:pStyle w:val="Compact"/>
              <w:jc w:val="left"/>
            </w:pPr>
            <w:r>
              <w:t xml:space="preserve">Synthesia Creator API</w:t>
            </w:r>
          </w:p>
        </w:tc>
        <w:tc>
          <w:tcPr/>
          <w:p>
            <w:pPr>
              <w:pStyle w:val="Compact"/>
              <w:jc w:val="left"/>
            </w:pPr>
            <w:r>
              <w:t xml:space="preserve">HeyGen</w:t>
            </w:r>
          </w:p>
        </w:tc>
        <w:tc>
          <w:tcPr/>
          <w:p>
            <w:pPr>
              <w:pStyle w:val="Compact"/>
              <w:jc w:val="left"/>
            </w:pPr>
            <w:r>
              <w:t xml:space="preserve">$89</w:t>
            </w:r>
            <w:r>
              <w:t xml:space="preserve"> </w:t>
            </w:r>
            <w:r>
              <w:rPr>
                <w:vertAlign w:val="superscript"/>
              </w:rPr>
              <w:t xml:space="preserve">34</w:t>
            </w:r>
          </w:p>
        </w:tc>
        <w:tc>
          <w:tcPr/>
          <w:p>
            <w:pPr>
              <w:pStyle w:val="Compact"/>
              <w:jc w:val="left"/>
            </w:pPr>
            <w:r>
              <w:t xml:space="preserve">Superior European language lip-sync (4.1/5)</w:t>
            </w:r>
            <w:r>
              <w:t xml:space="preserve"> </w:t>
            </w:r>
            <w:r>
              <w:rPr>
                <w:vertAlign w:val="superscript"/>
              </w:rPr>
              <w:t xml:space="preserve">12</w:t>
            </w:r>
          </w:p>
        </w:tc>
      </w:tr>
      <w:tr>
        <w:tc>
          <w:tcPr/>
          <w:p>
            <w:pPr>
              <w:pStyle w:val="Compact"/>
              <w:jc w:val="left"/>
            </w:pPr>
            <w:r>
              <w:t xml:space="preserve">Social video clips</w:t>
            </w:r>
          </w:p>
        </w:tc>
        <w:tc>
          <w:tcPr/>
          <w:p>
            <w:pPr>
              <w:pStyle w:val="Compact"/>
              <w:jc w:val="left"/>
            </w:pPr>
            <w:r>
              <w:t xml:space="preserve">HeyGen Creator</w:t>
            </w:r>
          </w:p>
        </w:tc>
        <w:tc>
          <w:tcPr/>
          <w:p>
            <w:pPr>
              <w:pStyle w:val="Compact"/>
              <w:jc w:val="left"/>
            </w:pPr>
            <w:r>
              <w:t xml:space="preserve">Synthesia Starter</w:t>
            </w:r>
          </w:p>
        </w:tc>
        <w:tc>
          <w:tcPr/>
          <w:p>
            <w:pPr>
              <w:pStyle w:val="Compact"/>
              <w:jc w:val="left"/>
            </w:pPr>
            <w:r>
              <w:t xml:space="preserve">$29</w:t>
            </w:r>
            <w:r>
              <w:t xml:space="preserve"> </w:t>
            </w:r>
            <w:r>
              <w:rPr>
                <w:vertAlign w:val="superscript"/>
              </w:rPr>
              <w:t xml:space="preserve">178</w:t>
            </w:r>
          </w:p>
        </w:tc>
        <w:tc>
          <w:tcPr/>
          <w:p>
            <w:pPr>
              <w:pStyle w:val="Compact"/>
              <w:jc w:val="left"/>
            </w:pPr>
            <w:r>
              <w:t xml:space="preserve">175 languages, vertical format, lower cost</w:t>
            </w:r>
          </w:p>
        </w:tc>
      </w:tr>
      <w:tr>
        <w:tc>
          <w:tcPr/>
          <w:p>
            <w:pPr>
              <w:pStyle w:val="Compact"/>
              <w:jc w:val="left"/>
            </w:pPr>
            <w:r>
              <w:t xml:space="preserve">Authentication</w:t>
            </w:r>
          </w:p>
        </w:tc>
        <w:tc>
          <w:tcPr/>
          <w:p>
            <w:pPr>
              <w:pStyle w:val="Compact"/>
              <w:jc w:val="left"/>
            </w:pPr>
            <w:r>
              <w:t xml:space="preserve">Auth0 / NextAuth.js</w:t>
            </w:r>
          </w:p>
        </w:tc>
        <w:tc>
          <w:tcPr/>
          <w:p>
            <w:pPr>
              <w:pStyle w:val="Compact"/>
              <w:jc w:val="left"/>
            </w:pPr>
            <w:r>
              <w:t xml:space="preserve">Firebase Auth</w:t>
            </w:r>
          </w:p>
        </w:tc>
        <w:tc>
          <w:tcPr/>
          <w:p>
            <w:pPr>
              <w:pStyle w:val="Compact"/>
              <w:jc w:val="left"/>
            </w:pPr>
            <w:r>
              <w:t xml:space="preserve">$0 (up to 7,500 users)</w:t>
            </w:r>
            <w:r>
              <w:t xml:space="preserve"> </w:t>
            </w:r>
            <w:r>
              <w:rPr>
                <w:vertAlign w:val="superscript"/>
              </w:rPr>
              <w:t xml:space="preserve">180</w:t>
            </w:r>
          </w:p>
        </w:tc>
        <w:tc>
          <w:tcPr/>
          <w:p>
            <w:pPr>
              <w:pStyle w:val="Compact"/>
              <w:jc w:val="left"/>
            </w:pPr>
            <w:r>
              <w:t xml:space="preserve">Social login + SSO-ready for corporate tiers</w:t>
            </w:r>
          </w:p>
        </w:tc>
      </w:tr>
      <w:tr>
        <w:tc>
          <w:tcPr/>
          <w:p>
            <w:pPr>
              <w:pStyle w:val="Compact"/>
              <w:jc w:val="left"/>
            </w:pPr>
            <w:r>
              <w:t xml:space="preserve">Analytics</w:t>
            </w:r>
          </w:p>
        </w:tc>
        <w:tc>
          <w:tcPr/>
          <w:p>
            <w:pPr>
              <w:pStyle w:val="Compact"/>
              <w:jc w:val="left"/>
            </w:pPr>
            <w:r>
              <w:t xml:space="preserve">Mixpanel + ProfitWell</w:t>
            </w:r>
          </w:p>
        </w:tc>
        <w:tc>
          <w:tcPr/>
          <w:p>
            <w:pPr>
              <w:pStyle w:val="Compact"/>
              <w:jc w:val="left"/>
            </w:pPr>
            <w:r>
              <w:t xml:space="preserve">Amplitude</w:t>
            </w:r>
          </w:p>
        </w:tc>
        <w:tc>
          <w:tcPr/>
          <w:p>
            <w:pPr>
              <w:pStyle w:val="Compact"/>
              <w:jc w:val="left"/>
            </w:pPr>
            <w:r>
              <w:t xml:space="preserve">$0 (free tiers)</w:t>
            </w:r>
          </w:p>
        </w:tc>
        <w:tc>
          <w:tcPr/>
          <w:p>
            <w:pPr>
              <w:pStyle w:val="Compact"/>
              <w:jc w:val="left"/>
            </w:pPr>
            <w:r>
              <w:t xml:space="preserve">20M events free, subscription benchmarks</w:t>
            </w:r>
          </w:p>
        </w:tc>
      </w:tr>
      <w:tr>
        <w:tc>
          <w:tcPr/>
          <w:p>
            <w:pPr>
              <w:pStyle w:val="Compact"/>
              <w:jc w:val="left"/>
            </w:pPr>
            <w:r>
              <w:rPr>
                <w:bCs/>
                <w:b/>
              </w:rPr>
              <w:t xml:space="preserve">Total estimated</w:t>
            </w:r>
          </w:p>
        </w:tc>
        <w:tc>
          <w:tcPr/>
          <w:p>
            <w:pPr>
              <w:pStyle w:val="Compact"/>
            </w:pPr>
          </w:p>
        </w:tc>
        <w:tc>
          <w:tcPr/>
          <w:p>
            <w:pPr>
              <w:pStyle w:val="Compact"/>
            </w:pPr>
          </w:p>
        </w:tc>
        <w:tc>
          <w:tcPr/>
          <w:p>
            <w:pPr>
              <w:pStyle w:val="Compact"/>
              <w:jc w:val="left"/>
            </w:pPr>
            <w:r>
              <w:rPr>
                <w:bCs/>
                <w:b/>
              </w:rPr>
              <w:t xml:space="preserve">~CHF 450-550</w:t>
            </w:r>
          </w:p>
        </w:tc>
        <w:tc>
          <w:tcPr/>
          <w:p>
            <w:pPr>
              <w:pStyle w:val="Compact"/>
              <w:jc w:val="left"/>
            </w:pPr>
            <w:r>
              <w:rPr>
                <w:bCs/>
                <w:b/>
              </w:rPr>
              <w:t xml:space="preserve">vs. CHF 3,000+ for Piano or Zuora</w:t>
            </w:r>
            <w:r>
              <w:rPr>
                <w:bCs/>
                <w:b/>
              </w:rPr>
              <w:t xml:space="preserve"> </w:t>
            </w:r>
            <w:r>
              <w:rPr>
                <w:vertAlign w:val="superscript"/>
                <w:bCs/>
                <w:b/>
              </w:rPr>
              <w:t xml:space="preserve">31</w:t>
            </w:r>
            <w:r>
              <w:rPr>
                <w:bCs/>
                <w:b/>
              </w:rPr>
              <w:t xml:space="preserve"> </w:t>
            </w:r>
            <w:r>
              <w:rPr>
                <w:vertAlign w:val="superscript"/>
                <w:bCs/>
                <w:b/>
              </w:rPr>
              <w:t xml:space="preserve">170</w:t>
            </w:r>
          </w:p>
        </w:tc>
      </w:tr>
    </w:tbl>
    <w:p>
      <w:pPr>
        <w:pStyle w:val="BodyText"/>
      </w:pPr>
      <w:r>
        <w:t xml:space="preserve">At 1,000 members, Piano or Zuora would consume 40-50% of the Essential tier’s monthly revenue in platform fees alone. The custom stack redirects that capital into content and analyst capacity. The trade-off is approximately 4-6 weeks of developer time for the initial build — an investment that pays for itself within the first quarter through avoided platform fees.</w:t>
      </w:r>
    </w:p>
    <w:bookmarkEnd w:id="80"/>
    <w:bookmarkEnd w:id="81"/>
    <w:bookmarkStart w:id="85" w:name="compliance-security"/>
    <w:p>
      <w:pPr>
        <w:pStyle w:val="Heading3"/>
      </w:pPr>
      <w:r>
        <w:t xml:space="preserve">7.2 Compliance &amp; Security</w:t>
      </w:r>
    </w:p>
    <w:p>
      <w:pPr>
        <w:pStyle w:val="FirstParagraph"/>
      </w:pPr>
      <w:r>
        <w:t xml:space="preserve">Three domains demand attention before launch: data protection, AI content governance, and VAT.</w:t>
      </w:r>
    </w:p>
    <w:bookmarkStart w:id="82" w:name="swiss-fadp-and-gdpr-the-dual-regime"/>
    <w:p>
      <w:pPr>
        <w:pStyle w:val="Heading4"/>
      </w:pPr>
      <w:r>
        <w:t xml:space="preserve">7.2.1 Swiss FADP and GDPR: The Dual Regime</w:t>
      </w:r>
    </w:p>
    <w:p>
      <w:pPr>
        <w:pStyle w:val="FirstParagraph"/>
      </w:pPr>
      <w:r>
        <w:t xml:space="preserve">The revised Swiss Federal Act on Data Protection (FADP), effective September 2023, aligns with the EU’s GDPR but uses opt-out as the default rule for general data processing, whereas GDPR requires opt-in consent</w:t>
      </w:r>
      <w:r>
        <w:t xml:space="preserve"> </w:t>
      </w:r>
      <w:r>
        <w:rPr>
          <w:vertAlign w:val="superscript"/>
        </w:rPr>
        <w:t xml:space="preserve">153</w:t>
      </w:r>
      <w:r>
        <w:t xml:space="preserve"> </w:t>
      </w:r>
      <w:r>
        <w:rPr>
          <w:vertAlign w:val="superscript"/>
        </w:rPr>
        <w:t xml:space="preserve">181</w:t>
      </w:r>
      <w:r>
        <w:t xml:space="preserve">. Swiss members can be enrolled in core processing without explicit consent provided they are informed and can object. However, opt-in consent</w:t>
      </w:r>
      <w:r>
        <w:t xml:space="preserve"> </w:t>
      </w:r>
      <w:r>
        <w:rPr>
          <w:iCs/>
          <w:i/>
        </w:rPr>
        <w:t xml:space="preserve">is</w:t>
      </w:r>
      <w:r>
        <w:t xml:space="preserve"> </w:t>
      </w:r>
      <w:r>
        <w:t xml:space="preserve">required for three scenarios relevant to SRC: transfers to countries without adequate protection (notably the United States, removed from the FDPIC whitelist post-Schrems II); processing of sensitive personal data; and automated profiling for personalized services</w:t>
      </w:r>
      <w:r>
        <w:t xml:space="preserve"> </w:t>
      </w:r>
      <w:r>
        <w:rPr>
          <w:vertAlign w:val="superscript"/>
        </w:rPr>
        <w:t xml:space="preserve">153</w:t>
      </w:r>
      <w:r>
        <w:t xml:space="preserve">.</w:t>
      </w:r>
    </w:p>
    <w:p>
      <w:pPr>
        <w:pStyle w:val="BodyText"/>
      </w:pPr>
      <w:r>
        <w:t xml:space="preserve">The binding architecture constraint is clear: host all member data in Switzerland or the EU, implement Standard Contractual Clauses for any US vendor relationships, and require explicit opt-in for newsletters and AI personalization. Penalties under FADP reach CHF 250,000, with managing directors held personally liable</w:t>
      </w:r>
      <w:r>
        <w:t xml:space="preserve"> </w:t>
      </w:r>
      <w:r>
        <w:rPr>
          <w:vertAlign w:val="superscript"/>
        </w:rPr>
        <w:t xml:space="preserve">153</w:t>
      </w:r>
      <w:r>
        <w:t xml:space="preserve">.</w:t>
      </w:r>
    </w:p>
    <w:bookmarkEnd w:id="82"/>
    <w:bookmarkStart w:id="83" w:name="X4a73684e798ed75a3c3be4a27e74ecb94159b87"/>
    <w:p>
      <w:pPr>
        <w:pStyle w:val="Heading4"/>
      </w:pPr>
      <w:r>
        <w:t xml:space="preserve">7.2.2 EU AI Act Article 50: Disclosure and the Editorial Exemption</w:t>
      </w:r>
    </w:p>
    <w:p>
      <w:pPr>
        <w:pStyle w:val="FirstParagraph"/>
      </w:pPr>
      <w:r>
        <w:t xml:space="preserve">The EU AI Act’s Article 50, effective August 2026, requires disclosure of AI-generated deepfakes</w:t>
      </w:r>
      <w:r>
        <w:t xml:space="preserve"> </w:t>
      </w:r>
      <w:r>
        <w:rPr>
          <w:vertAlign w:val="superscript"/>
        </w:rPr>
        <w:t xml:space="preserve">93</w:t>
      </w:r>
      <w:r>
        <w:t xml:space="preserve"> </w:t>
      </w:r>
      <w:r>
        <w:rPr>
          <w:vertAlign w:val="superscript"/>
        </w:rPr>
        <w:t xml:space="preserve">94</w:t>
      </w:r>
      <w:r>
        <w:t xml:space="preserve">. However, Article 50(4) contains an editorial exemption: content on matters of public interest is exempt if it has undergone</w:t>
      </w:r>
      <w:r>
        <w:t xml:space="preserve"> </w:t>
      </w:r>
      <w:r>
        <w:t xml:space="preserve">“</w:t>
      </w:r>
      <w:r>
        <w:t xml:space="preserve">human review or editorial control</w:t>
      </w:r>
      <w:r>
        <w:t xml:space="preserve">”</w:t>
      </w:r>
      <w:r>
        <w:t xml:space="preserve"> </w:t>
      </w:r>
      <w:r>
        <w:rPr>
          <w:vertAlign w:val="superscript"/>
        </w:rPr>
        <w:t xml:space="preserve">94</w:t>
      </w:r>
      <w:r>
        <w:t xml:space="preserve"> </w:t>
      </w:r>
      <w:r>
        <w:rPr>
          <w:vertAlign w:val="superscript"/>
        </w:rPr>
        <w:t xml:space="preserve">182</w:t>
      </w:r>
      <w:r>
        <w:t xml:space="preserve">. SRC’s expert-reviewed pipeline likely qualifies. The strategic question is not whether SRC</w:t>
      </w:r>
      <w:r>
        <w:t xml:space="preserve"> </w:t>
      </w:r>
      <w:r>
        <w:rPr>
          <w:iCs/>
          <w:i/>
        </w:rPr>
        <w:t xml:space="preserve">must</w:t>
      </w:r>
      <w:r>
        <w:t xml:space="preserve"> </w:t>
      </w:r>
      <w:r>
        <w:t xml:space="preserve">disclose, but whether it</w:t>
      </w:r>
      <w:r>
        <w:t xml:space="preserve"> </w:t>
      </w:r>
      <w:r>
        <w:rPr>
          <w:iCs/>
          <w:i/>
        </w:rPr>
        <w:t xml:space="preserve">should</w:t>
      </w:r>
      <w:r>
        <w:t xml:space="preserve">. Research in</w:t>
      </w:r>
      <w:r>
        <w:t xml:space="preserve"> </w:t>
      </w:r>
      <w:r>
        <w:rPr>
          <w:iCs/>
          <w:i/>
        </w:rPr>
        <w:t xml:space="preserve">Organizational Behavior and Human Decision Processes</w:t>
      </w:r>
      <w:r>
        <w:t xml:space="preserve"> </w:t>
      </w:r>
      <w:r>
        <w:t xml:space="preserve">demonstrates that AI disclosure erodes trust across 13 experiments</w:t>
      </w:r>
      <w:r>
        <w:t xml:space="preserve"> </w:t>
      </w:r>
      <w:r>
        <w:rPr>
          <w:vertAlign w:val="superscript"/>
        </w:rPr>
        <w:t xml:space="preserve">13</w:t>
      </w:r>
      <w:r>
        <w:t xml:space="preserve">. Yet the</w:t>
      </w:r>
      <w:r>
        <w:t xml:space="preserve"> </w:t>
      </w:r>
      <w:r>
        <w:t xml:space="preserve">“</w:t>
      </w:r>
      <w:r>
        <w:t xml:space="preserve">AI Disclosure Trust Premium</w:t>
      </w:r>
      <w:r>
        <w:t xml:space="preserve">”</w:t>
      </w:r>
      <w:r>
        <w:t xml:space="preserve"> </w:t>
      </w:r>
      <w:r>
        <w:t xml:space="preserve">suggests that voluntary</w:t>
      </w:r>
      <w:r>
        <w:t xml:space="preserve"> </w:t>
      </w:r>
      <w:r>
        <w:t xml:space="preserve">“</w:t>
      </w:r>
      <w:r>
        <w:t xml:space="preserve">AI-delivered, expert-curated</w:t>
      </w:r>
      <w:r>
        <w:t xml:space="preserve">”</w:t>
      </w:r>
      <w:r>
        <w:t xml:space="preserve"> </w:t>
      </w:r>
      <w:r>
        <w:t xml:space="preserve">labeling can differentiate SRC from opaque competitors. The recommended approach: pursue the editorial exemption as legal foundation, but implement voluntary labeling to signal methodological rigor.</w:t>
      </w:r>
    </w:p>
    <w:bookmarkEnd w:id="83"/>
    <w:bookmarkStart w:id="84" w:name="vat-swiss-and-eu-obligations"/>
    <w:p>
      <w:pPr>
        <w:pStyle w:val="Heading4"/>
      </w:pPr>
      <w:r>
        <w:t xml:space="preserve">7.2.3 VAT: Swiss and EU Obligations</w:t>
      </w:r>
    </w:p>
    <w:p>
      <w:pPr>
        <w:pStyle w:val="FirstParagraph"/>
      </w:pPr>
      <w:r>
        <w:t xml:space="preserve">Swiss VAT at 8.1% applies to digital services for Swiss-resident members. For EU subscribers, the One-Stop Shop (OSS) scheme allows registration in a single member state with remittance at each destination country’s rate. Stripe Tax automates OSS calculation as a paid add-on.</w:t>
      </w:r>
    </w:p>
    <w:bookmarkEnd w:id="84"/>
    <w:bookmarkEnd w:id="85"/>
    <w:bookmarkStart w:id="90" w:name="month-implementation-roadmap"/>
    <w:p>
      <w:pPr>
        <w:pStyle w:val="Heading3"/>
      </w:pPr>
      <w:r>
        <w:t xml:space="preserve">7.3 12-Month Implementation Roadmap</w:t>
      </w:r>
    </w:p>
    <w:p>
      <w:pPr>
        <w:pStyle w:val="FirstParagraph"/>
      </w:pPr>
      <w:r>
        <w:t xml:space="preserve">The build sequence prioritizes revenue generation from Month 1, deferring premium features until the foundation is validated.</w:t>
      </w:r>
    </w:p>
    <w:bookmarkStart w:id="86" w:name="phase-1-months-1-3-foundation"/>
    <w:p>
      <w:pPr>
        <w:pStyle w:val="Heading4"/>
      </w:pPr>
      <w:r>
        <w:t xml:space="preserve">7.3.1 Phase 1 (Months 1-3): Foundation</w:t>
      </w:r>
    </w:p>
    <w:p>
      <w:pPr>
        <w:pStyle w:val="FirstParagraph"/>
      </w:pPr>
      <w:r>
        <w:t xml:space="preserve">Deliverables: registration wall after 2-3 free articles (converting at 10 times the rate of passive signup</w:t>
      </w:r>
      <w:r>
        <w:t xml:space="preserve"> </w:t>
      </w:r>
      <w:r>
        <w:rPr>
          <w:vertAlign w:val="superscript"/>
        </w:rPr>
        <w:t xml:space="preserve">174</w:t>
      </w:r>
      <w:r>
        <w:t xml:space="preserve">); Essential tier at CHF 14.90 per month with Stripe + TWINT; metered paywall at 5 articles for non-registered users; social login; and weekly newsletter via Ghost. Engineering scope: Strapi + Next.js on Swiss hosting, Stripe checkout, and ThumbmarkJS metering. Target: 200-500 registrations and 50-100 paying Essential members.</w:t>
      </w:r>
    </w:p>
    <w:bookmarkEnd w:id="86"/>
    <w:bookmarkStart w:id="87" w:name="phase-2-months-4-6-premium-launch"/>
    <w:p>
      <w:pPr>
        <w:pStyle w:val="Heading4"/>
      </w:pPr>
      <w:r>
        <w:t xml:space="preserve">7.3.2 Phase 2 (Months 4-6): Premium Launch</w:t>
      </w:r>
    </w:p>
    <w:p>
      <w:pPr>
        <w:pStyle w:val="FirstParagraph"/>
      </w:pPr>
      <w:r>
        <w:t xml:space="preserve">Phase 2 introduces the Professional tier at CHF 49 per month, the vAvatar pilot (10-15 Synthesia briefings monthly), the</w:t>
      </w:r>
      <w:r>
        <w:t xml:space="preserve"> </w:t>
      </w:r>
      <w:r>
        <w:t xml:space="preserve">“</w:t>
      </w:r>
      <w:r>
        <w:t xml:space="preserve">reverse timewall</w:t>
      </w:r>
      <w:r>
        <w:t xml:space="preserve">”</w:t>
      </w:r>
      <w:r>
        <w:t xml:space="preserve"> </w:t>
      </w:r>
      <w:r>
        <w:t xml:space="preserve">content cascade (+24h for Professional, +72h for Essential), and premium audio newsletters. The first vAvatar briefing should be publicly distributed by Month 5. Target: 300-500 total paying members.</w:t>
      </w:r>
    </w:p>
    <w:bookmarkEnd w:id="87"/>
    <w:bookmarkStart w:id="88" w:name="Xc0eb1eaaec8370a620091038e6a7188aa65efa6"/>
    <w:p>
      <w:pPr>
        <w:pStyle w:val="Heading4"/>
      </w:pPr>
      <w:r>
        <w:t xml:space="preserve">7.3.3 Phase 3 (Months 7-9): Expert and Corporate Tiers</w:t>
      </w:r>
    </w:p>
    <w:p>
      <w:pPr>
        <w:pStyle w:val="FirstParagraph"/>
      </w:pPr>
      <w:r>
        <w:t xml:space="preserve">Phase 3 opens the Executive tier at CHF 149 per month with live analyst calls and a 4-hour response guarantee for breaking developments; corporate memberships in Team (5 seats), Department (25 seats), and Enterprise (50-plus seats) with admin dashboard and SAML SSO; and annual summit planning for the inaugural SRC Global Security Summit in Zug. Corporate subscriptions follow the Chatham House nominee model: named individual accounts, each with its own profile</w:t>
      </w:r>
      <w:r>
        <w:t xml:space="preserve"> </w:t>
      </w:r>
      <w:r>
        <w:rPr>
          <w:vertAlign w:val="superscript"/>
        </w:rPr>
        <w:t xml:space="preserve">20</w:t>
      </w:r>
      <w:r>
        <w:t xml:space="preserve">. Target: 50-75 Executive members and 5-10 corporate accounts.</w:t>
      </w:r>
    </w:p>
    <w:bookmarkEnd w:id="88"/>
    <w:bookmarkStart w:id="89" w:name="X9ecbec8013f90ccc24547829a3bf6677c78416d"/>
    <w:p>
      <w:pPr>
        <w:pStyle w:val="Heading4"/>
      </w:pPr>
      <w:r>
        <w:t xml:space="preserve">7.3.4 Phase 4 (Months 10-12): Optimization and Scale</w:t>
      </w:r>
    </w:p>
    <w:p>
      <w:pPr>
        <w:pStyle w:val="FirstParagraph"/>
      </w:pPr>
      <w:r>
        <w:t xml:space="preserve">The final phase delivers: AI-powered real-time risk alerts completing the</w:t>
      </w:r>
      <w:r>
        <w:t xml:space="preserve"> </w:t>
      </w:r>
      <w:r>
        <w:t xml:space="preserve">“</w:t>
      </w:r>
      <w:r>
        <w:t xml:space="preserve">breaking news speed ladder</w:t>
      </w:r>
      <w:r>
        <w:t xml:space="preserve">”</w:t>
      </w:r>
      <w:r>
        <w:t xml:space="preserve">; a Progressive Web App with push notifications (native app development at $40,000-$150,000-plus is deferred past 5,000 members)</w:t>
      </w:r>
      <w:r>
        <w:t xml:space="preserve"> </w:t>
      </w:r>
      <w:r>
        <w:rPr>
          <w:vertAlign w:val="superscript"/>
        </w:rPr>
        <w:t xml:space="preserve">183</w:t>
      </w:r>
      <w:r>
        <w:t xml:space="preserve">; API access for enterprise content integration; win-back campaigns targeting at-risk members (scores 0-39 on the engagement scale have only 30% renewal rates)</w:t>
      </w:r>
      <w:r>
        <w:t xml:space="preserve"> </w:t>
      </w:r>
      <w:r>
        <w:rPr>
          <w:vertAlign w:val="superscript"/>
        </w:rPr>
        <w:t xml:space="preserve">184</w:t>
      </w:r>
      <w:r>
        <w:t xml:space="preserve">; and pricing optimization based on 9 months of conversion and retention data. Target: 1,000-plus total members, 15-20 corporate accounts, and positive net revenue retention.</w:t>
      </w:r>
    </w:p>
    <w:p>
      <w:pPr>
        <w:pStyle w:val="BodyText"/>
      </w:pPr>
      <w:r>
        <w:rPr>
          <w:bCs/>
          <w:b/>
        </w:rPr>
        <w:t xml:space="preserve">Table 2: 12-Month Implementation Roadmap</w:t>
      </w:r>
    </w:p>
    <w:tbl>
      <w:tblPr>
        <w:tblStyle w:val="Table"/>
        <w:tblW w:type="pct" w:w="5000"/>
        <w:tblLook w:firstRow="1" w:lastRow="0" w:firstColumn="0" w:lastColumn="0" w:noHBand="0" w:noVBand="0" w:val="0020"/>
      </w:tblPr>
      <w:tblGrid>
        <w:gridCol w:w="749"/>
        <w:gridCol w:w="1070"/>
        <w:gridCol w:w="2247"/>
        <w:gridCol w:w="2033"/>
        <w:gridCol w:w="1819"/>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Primary Deliverables</w:t>
            </w:r>
          </w:p>
        </w:tc>
        <w:tc>
          <w:tcPr/>
          <w:p>
            <w:pPr>
              <w:pStyle w:val="Compact"/>
              <w:jc w:val="left"/>
            </w:pPr>
            <w:r>
              <w:t xml:space="preserve">Engineering Focus</w:t>
            </w:r>
          </w:p>
        </w:tc>
        <w:tc>
          <w:tcPr/>
          <w:p>
            <w:pPr>
              <w:pStyle w:val="Compact"/>
              <w:jc w:val="left"/>
            </w:pPr>
            <w:r>
              <w:t xml:space="preserve">Success Metrics</w:t>
            </w:r>
          </w:p>
        </w:tc>
      </w:tr>
      <w:tr>
        <w:tc>
          <w:tcPr/>
          <w:p>
            <w:pPr>
              <w:pStyle w:val="Compact"/>
              <w:jc w:val="left"/>
            </w:pPr>
            <w:r>
              <w:rPr>
                <w:bCs/>
                <w:b/>
              </w:rPr>
              <w:t xml:space="preserve">Phase 1: Foundation</w:t>
            </w:r>
          </w:p>
        </w:tc>
        <w:tc>
          <w:tcPr/>
          <w:p>
            <w:pPr>
              <w:pStyle w:val="Compact"/>
              <w:jc w:val="left"/>
            </w:pPr>
            <w:r>
              <w:t xml:space="preserve">Months 1-3</w:t>
            </w:r>
          </w:p>
        </w:tc>
        <w:tc>
          <w:tcPr/>
          <w:p>
            <w:pPr>
              <w:pStyle w:val="Compact"/>
              <w:jc w:val="left"/>
            </w:pPr>
            <w:r>
              <w:t xml:space="preserve">Registration wall after 2-3 articles; Essential tier (CHF 14.90/mo) launch; Stripe + TWINT payments; metered paywall (5 articles); social login; Ghost newsletter</w:t>
            </w:r>
          </w:p>
        </w:tc>
        <w:tc>
          <w:tcPr/>
          <w:p>
            <w:pPr>
              <w:pStyle w:val="Compact"/>
              <w:jc w:val="left"/>
            </w:pPr>
            <w:r>
              <w:t xml:space="preserve">Strapi + Next.js deployment on Swiss hosting; Stripe checkout; ThumbmarkJS metering</w:t>
            </w:r>
          </w:p>
        </w:tc>
        <w:tc>
          <w:tcPr/>
          <w:p>
            <w:pPr>
              <w:pStyle w:val="Compact"/>
              <w:jc w:val="left"/>
            </w:pPr>
            <w:r>
              <w:t xml:space="preserve">200-500 registrations; 50-100 paying Essential members</w:t>
            </w:r>
          </w:p>
        </w:tc>
      </w:tr>
      <w:tr>
        <w:tc>
          <w:tcPr/>
          <w:p>
            <w:pPr>
              <w:pStyle w:val="Compact"/>
              <w:jc w:val="left"/>
            </w:pPr>
            <w:r>
              <w:rPr>
                <w:bCs/>
                <w:b/>
              </w:rPr>
              <w:t xml:space="preserve">Phase 2: Premium Launch</w:t>
            </w:r>
          </w:p>
        </w:tc>
        <w:tc>
          <w:tcPr/>
          <w:p>
            <w:pPr>
              <w:pStyle w:val="Compact"/>
              <w:jc w:val="left"/>
            </w:pPr>
            <w:r>
              <w:t xml:space="preserve">Months 4-6</w:t>
            </w:r>
          </w:p>
        </w:tc>
        <w:tc>
          <w:tcPr/>
          <w:p>
            <w:pPr>
              <w:pStyle w:val="Compact"/>
              <w:jc w:val="left"/>
            </w:pPr>
            <w:r>
              <w:t xml:space="preserve">Professional tier (CHF 49/mo); vAvatar pilot (Synthesia, 10-15 briefings/mo); early-access timewall (+24h/+72h); premium audio newsletters; LinkedIn content distribution</w:t>
            </w:r>
          </w:p>
        </w:tc>
        <w:tc>
          <w:tcPr/>
          <w:p>
            <w:pPr>
              <w:pStyle w:val="Compact"/>
              <w:jc w:val="left"/>
            </w:pPr>
            <w:r>
              <w:t xml:space="preserve">Synthesia API integration; tiered content gating; audio pipeline</w:t>
            </w:r>
          </w:p>
        </w:tc>
        <w:tc>
          <w:tcPr/>
          <w:p>
            <w:pPr>
              <w:pStyle w:val="Compact"/>
              <w:jc w:val="left"/>
            </w:pPr>
            <w:r>
              <w:t xml:space="preserve">300-500 total paying members; first vAvatar briefing live</w:t>
            </w:r>
          </w:p>
        </w:tc>
      </w:tr>
      <w:tr>
        <w:tc>
          <w:tcPr/>
          <w:p>
            <w:pPr>
              <w:pStyle w:val="Compact"/>
              <w:jc w:val="left"/>
            </w:pPr>
            <w:r>
              <w:rPr>
                <w:bCs/>
                <w:b/>
              </w:rPr>
              <w:t xml:space="preserve">Phase 3: Expert &amp; Corporate</w:t>
            </w:r>
          </w:p>
        </w:tc>
        <w:tc>
          <w:tcPr/>
          <w:p>
            <w:pPr>
              <w:pStyle w:val="Compact"/>
              <w:jc w:val="left"/>
            </w:pPr>
            <w:r>
              <w:t xml:space="preserve">Months 7-9</w:t>
            </w:r>
          </w:p>
        </w:tc>
        <w:tc>
          <w:tcPr/>
          <w:p>
            <w:pPr>
              <w:pStyle w:val="Compact"/>
              <w:jc w:val="left"/>
            </w:pPr>
            <w:r>
              <w:t xml:space="preserve">Executive tier (CHF 149/mo) with live analyst calls; corporate tiers (Team/Dept/Enterprise) with admin dashboard and SAML SSO; annual summit planning; engagement scoring dashboard</w:t>
            </w:r>
          </w:p>
        </w:tc>
        <w:tc>
          <w:tcPr/>
          <w:p>
            <w:pPr>
              <w:pStyle w:val="Compact"/>
              <w:jc w:val="left"/>
            </w:pPr>
            <w:r>
              <w:t xml:space="preserve">Corporate admin portal; SSO/SAML; Mixpanel engagement model</w:t>
            </w:r>
          </w:p>
        </w:tc>
        <w:tc>
          <w:tcPr/>
          <w:p>
            <w:pPr>
              <w:pStyle w:val="Compact"/>
              <w:jc w:val="left"/>
            </w:pPr>
            <w:r>
              <w:t xml:space="preserve">50-75 Executive members; 5-10 corporate accounts; summit venue secured</w:t>
            </w:r>
          </w:p>
        </w:tc>
      </w:tr>
      <w:tr>
        <w:tc>
          <w:tcPr/>
          <w:p>
            <w:pPr>
              <w:pStyle w:val="Compact"/>
              <w:jc w:val="left"/>
            </w:pPr>
            <w:r>
              <w:rPr>
                <w:bCs/>
                <w:b/>
              </w:rPr>
              <w:t xml:space="preserve">Phase 4: Optimization</w:t>
            </w:r>
          </w:p>
        </w:tc>
        <w:tc>
          <w:tcPr/>
          <w:p>
            <w:pPr>
              <w:pStyle w:val="Compact"/>
              <w:jc w:val="left"/>
            </w:pPr>
            <w:r>
              <w:t xml:space="preserve">Months 10-12</w:t>
            </w:r>
          </w:p>
        </w:tc>
        <w:tc>
          <w:tcPr/>
          <w:p>
            <w:pPr>
              <w:pStyle w:val="Compact"/>
              <w:jc w:val="left"/>
            </w:pPr>
            <w:r>
              <w:t xml:space="preserve">AI alert system (real-time risk notifications); mobile PWA with push notifications; API access for enterprise; win-back campaigns; pricing optimization based on 9 months of data</w:t>
            </w:r>
          </w:p>
        </w:tc>
        <w:tc>
          <w:tcPr/>
          <w:p>
            <w:pPr>
              <w:pStyle w:val="Compact"/>
              <w:jc w:val="left"/>
            </w:pPr>
            <w:r>
              <w:t xml:space="preserve">PWA development; API endpoint design; automated retention workflows</w:t>
            </w:r>
          </w:p>
        </w:tc>
        <w:tc>
          <w:tcPr/>
          <w:p>
            <w:pPr>
              <w:pStyle w:val="Compact"/>
              <w:jc w:val="left"/>
            </w:pPr>
            <w:r>
              <w:t xml:space="preserve">1,000-plus total members; 15-20 corporate accounts; positive NRR</w:t>
            </w:r>
          </w:p>
        </w:tc>
      </w:tr>
    </w:tbl>
    <w:p>
      <w:pPr>
        <w:pStyle w:val="BodyText"/>
      </w:pPr>
      <w:r>
        <w:t xml:space="preserve">This roadmap compresses what enterprise SaaS vendors quote as 12-18 month implementations into four disciplined quarters by deferring non-essential features and front-loading conversion infrastructure. The sequencing reflects a core strategic judgment: SRC’s first-mover advantage in AI avatar-powered think tank briefings is perishable. Competitors will replicate the vAvatar model within 12-18 months of SRC’s public launch</w:t>
      </w:r>
      <w:r>
        <w:t xml:space="preserve"> </w:t>
      </w:r>
      <w:r>
        <w:rPr>
          <w:vertAlign w:val="superscript"/>
        </w:rPr>
        <w:t xml:space="preserve">91</w:t>
      </w:r>
      <w:r>
        <w:t xml:space="preserve">. The priority is therefore to get the Essential tier live within 90 days, the Professional tier with vAvatar content within 180 days, and the corporate track before any competitor can match the</w:t>
      </w:r>
      <w:r>
        <w:t xml:space="preserve"> </w:t>
      </w:r>
      <w:r>
        <w:t xml:space="preserve">“</w:t>
      </w:r>
      <w:r>
        <w:t xml:space="preserve">Swiss AI Neutrality</w:t>
      </w:r>
      <w:r>
        <w:t xml:space="preserve">”</w:t>
      </w:r>
      <w:r>
        <w:t xml:space="preserve"> </w:t>
      </w:r>
      <w:r>
        <w:t xml:space="preserve">positioning that combines Swiss-hosted data, expert-curated AI delivery, and multilingual briefings in a single membership offer. Speed to market is itself the moat — and the technology stack outlined here is chosen precisely for the speed it enables without sacrificing the compliance posture and data sovereignty that differentiate SRC from US- and UK-based alternatives.</w:t>
      </w:r>
    </w:p>
    <w:bookmarkEnd w:id="89"/>
    <w:bookmarkEnd w:id="90"/>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7" Target="media/rId6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2026-06-25T08:45:38Z</dcterms:created>
  <dcterms:modified xsi:type="dcterms:W3CDTF">2026-06-25T08:45:38Z</dcterms:modified>
</cp:coreProperties>
</file>

<file path=docProps/custom.xml><?xml version="1.0" encoding="utf-8"?>
<Properties xmlns="http://schemas.openxmlformats.org/officeDocument/2006/custom-properties" xmlns:vt="http://schemas.openxmlformats.org/officeDocument/2006/docPropsVTypes"/>
</file>