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Big Data Analytics of NYC Yellow Taxi Trips (2024)</w:t>
      </w:r>
    </w:p>
    <w:p>
      <w:pPr>
        <w:jc w:val="center"/>
      </w:pPr>
      <w:r>
        <w:rPr>
          <w:i/>
          <w:sz w:val="26"/>
        </w:rPr>
        <w:t>A PySpark vs. Pandas Comparison of Demand and Tipping Patterns</w:t>
      </w:r>
    </w:p>
    <w:p/>
    <w:p/>
    <w:p>
      <w:pPr>
        <w:jc w:val="center"/>
      </w:pPr>
      <w:r>
        <w:rPr>
          <w:sz w:val="24"/>
        </w:rPr>
        <w:t>IST3134 — Big Data Analytics</w:t>
      </w:r>
    </w:p>
    <w:p>
      <w:pPr>
        <w:jc w:val="center"/>
      </w:pPr>
      <w:r>
        <w:rPr>
          <w:sz w:val="24"/>
        </w:rPr>
        <w:t>Group Assignment, May Semester 2026</w:t>
      </w:r>
    </w:p>
    <w:p>
      <w:pPr>
        <w:jc w:val="center"/>
      </w:pPr>
      <w:r>
        <w:rPr>
          <w:sz w:val="24"/>
        </w:rPr>
      </w:r>
    </w:p>
    <w:p>
      <w:pPr>
        <w:jc w:val="center"/>
      </w:pPr>
      <w:r>
        <w:rPr>
          <w:sz w:val="24"/>
        </w:rPr>
        <w:t>Member 1:  ____________________  (Student ID: __________)</w:t>
      </w:r>
    </w:p>
    <w:p>
      <w:pPr>
        <w:jc w:val="center"/>
      </w:pPr>
      <w:r>
        <w:rPr>
          <w:sz w:val="24"/>
        </w:rPr>
        <w:t>Member 2:  ____________________  (Student ID: __________)</w:t>
      </w:r>
    </w:p>
    <w:p>
      <w:pPr>
        <w:jc w:val="center"/>
      </w:pPr>
      <w:r>
        <w:rPr>
          <w:sz w:val="24"/>
        </w:rPr>
      </w:r>
    </w:p>
    <w:p>
      <w:pPr>
        <w:jc w:val="center"/>
      </w:pPr>
      <w:r>
        <w:rPr>
          <w:sz w:val="24"/>
        </w:rPr>
        <w:t>Source code &amp; dataset: https://github.com/brvndonpek/nyc-taxi-bigdata</w:t>
      </w:r>
    </w:p>
    <w:p>
      <w:r>
        <w:br w:type="page"/>
      </w:r>
    </w:p>
    <w:p>
      <w:pPr>
        <w:pStyle w:val="Heading1"/>
      </w:pPr>
      <w:r>
        <w:rPr>
          <w:color w:val="1F4E79"/>
        </w:rPr>
        <w:t>1. Introduction to the Problem</w:t>
      </w:r>
    </w:p>
    <w:p>
      <w:r>
        <w:t>New York City's yellow taxis complete tens of millions of trips every year. Understanding when and where demand concentrates — and how riders tip — is valuable to several stakeholders: the Taxi &amp; Limousine Commission (fleet regulation and driver supply), taxi operators (positioning cars to cut idle time), and drivers themselves (choosing shifts and locations that maximise earnings). The core questions this project answers are:</w:t>
      </w:r>
    </w:p>
    <w:p>
      <w:pPr>
        <w:pStyle w:val="ListBullet"/>
      </w:pPr>
      <w:r>
        <w:t>How does trip demand vary across the 24 hours of the day?</w:t>
      </w:r>
    </w:p>
    <w:p>
      <w:pPr>
        <w:pStyle w:val="ListBullet"/>
      </w:pPr>
      <w:r>
        <w:t>Which pickup zones and boroughs generate the most trips and revenue?</w:t>
      </w:r>
    </w:p>
    <w:p>
      <w:pPr>
        <w:pStyle w:val="ListBullet"/>
      </w:pPr>
      <w:r>
        <w:t>How does tipping behaviour (tip as a % of fare) change by time of day, location, and payment method?</w:t>
      </w:r>
    </w:p>
    <w:p>
      <w:r>
        <w:t>The challenge is one of scale. A single year of trip records is over 41 million rows (~660 MB of compressed Parquet). Answering these questions requires aggregating across the entire dataset repeatedly. This makes it a natural fit for a distributed, big-data processing approach, and a good case study for comparing a big-data engine (Apache Spark) against a conventional single-machine tool (Pandas).</w:t>
      </w:r>
    </w:p>
    <w:p>
      <w:pPr>
        <w:pStyle w:val="Heading1"/>
      </w:pPr>
      <w:r>
        <w:rPr>
          <w:color w:val="1F4E79"/>
        </w:rPr>
        <w:t>2. Introduction to the Dataset</w:t>
      </w:r>
    </w:p>
    <w:p>
      <w:r>
        <w:t>The data is the publicly available Yellow Taxi Trip Records published by the New York City Taxi &amp; Limousine Commission (TLC). We use all twelve monthly files for 2024.</w:t>
      </w:r>
    </w:p>
    <w:p>
      <w:pPr>
        <w:pStyle w:val="ListBullet"/>
      </w:pPr>
      <w:r>
        <w:t>Provider: NYC Taxi &amp; Limousine Commission (TLC).</w:t>
      </w:r>
    </w:p>
    <w:p>
      <w:pPr>
        <w:pStyle w:val="ListBullet"/>
      </w:pPr>
      <w:r>
        <w:t>Landing page: https://www.nyc.gov/site/tlc/about/tlc-trip-record-data.page</w:t>
      </w:r>
    </w:p>
    <w:p>
      <w:pPr>
        <w:pStyle w:val="ListBullet"/>
      </w:pPr>
      <w:r>
        <w:t>Files: yellow_tripdata_2024-01.parquet … 2024-12.parquet (Apache Parquet).</w:t>
      </w:r>
    </w:p>
    <w:p>
      <w:pPr>
        <w:pStyle w:val="ListBullet"/>
      </w:pPr>
      <w:r>
        <w:t>Volume: 41,169,720 trips; ~660 MB compressed.</w:t>
      </w:r>
    </w:p>
    <w:p>
      <w:pPr>
        <w:pStyle w:val="ListBullet"/>
      </w:pPr>
      <w:r>
        <w:t>Zone lookup: taxi_zone_lookup.csv maps LocationID to borough and zone name.</w:t>
      </w:r>
    </w:p>
    <w:p>
      <w:r>
        <w:t>Each row is one completed trip. The fields used in this analysis are: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Meaning</w:t>
            </w:r>
          </w:p>
        </w:tc>
      </w:tr>
      <w:tr>
        <w:tc>
          <w:tcPr>
            <w:tcW w:type="dxa" w:w="4320"/>
          </w:tcPr>
          <w:p>
            <w:r>
              <w:rPr>
                <w:sz w:val="18"/>
              </w:rPr>
              <w:t>tpep_pickup_datetime</w:t>
            </w:r>
          </w:p>
        </w:tc>
        <w:tc>
          <w:tcPr>
            <w:tcW w:type="dxa" w:w="4320"/>
          </w:tcPr>
          <w:p>
            <w:r>
              <w:rPr>
                <w:sz w:val="18"/>
              </w:rPr>
              <w:t>Trip start timestamp</w:t>
            </w:r>
          </w:p>
        </w:tc>
      </w:tr>
      <w:tr>
        <w:tc>
          <w:tcPr>
            <w:tcW w:type="dxa" w:w="4320"/>
          </w:tcPr>
          <w:p>
            <w:r>
              <w:rPr>
                <w:sz w:val="18"/>
              </w:rPr>
              <w:t>tpep_dropoff_datetime</w:t>
            </w:r>
          </w:p>
        </w:tc>
        <w:tc>
          <w:tcPr>
            <w:tcW w:type="dxa" w:w="4320"/>
          </w:tcPr>
          <w:p>
            <w:r>
              <w:rPr>
                <w:sz w:val="18"/>
              </w:rPr>
              <w:t>Trip end timestamp</w:t>
            </w:r>
          </w:p>
        </w:tc>
      </w:tr>
      <w:tr>
        <w:tc>
          <w:tcPr>
            <w:tcW w:type="dxa" w:w="4320"/>
          </w:tcPr>
          <w:p>
            <w:r>
              <w:rPr>
                <w:sz w:val="18"/>
              </w:rPr>
              <w:t>trip_distance</w:t>
            </w:r>
          </w:p>
        </w:tc>
        <w:tc>
          <w:tcPr>
            <w:tcW w:type="dxa" w:w="4320"/>
          </w:tcPr>
          <w:p>
            <w:r>
              <w:rPr>
                <w:sz w:val="18"/>
              </w:rPr>
              <w:t>Distance in miles</w:t>
            </w:r>
          </w:p>
        </w:tc>
      </w:tr>
      <w:tr>
        <w:tc>
          <w:tcPr>
            <w:tcW w:type="dxa" w:w="4320"/>
          </w:tcPr>
          <w:p>
            <w:r>
              <w:rPr>
                <w:sz w:val="18"/>
              </w:rPr>
              <w:t>PULocationID</w:t>
            </w:r>
          </w:p>
        </w:tc>
        <w:tc>
          <w:tcPr>
            <w:tcW w:type="dxa" w:w="4320"/>
          </w:tcPr>
          <w:p>
            <w:r>
              <w:rPr>
                <w:sz w:val="18"/>
              </w:rPr>
              <w:t>Pickup zone ID (join to lookup)</w:t>
            </w:r>
          </w:p>
        </w:tc>
      </w:tr>
      <w:tr>
        <w:tc>
          <w:tcPr>
            <w:tcW w:type="dxa" w:w="4320"/>
          </w:tcPr>
          <w:p>
            <w:r>
              <w:rPr>
                <w:sz w:val="18"/>
              </w:rPr>
              <w:t>payment_type</w:t>
            </w:r>
          </w:p>
        </w:tc>
        <w:tc>
          <w:tcPr>
            <w:tcW w:type="dxa" w:w="4320"/>
          </w:tcPr>
          <w:p>
            <w:r>
              <w:rPr>
                <w:sz w:val="18"/>
              </w:rPr>
              <w:t>1=card, 2=cash, …</w:t>
            </w:r>
          </w:p>
        </w:tc>
      </w:tr>
      <w:tr>
        <w:tc>
          <w:tcPr>
            <w:tcW w:type="dxa" w:w="4320"/>
          </w:tcPr>
          <w:p>
            <w:r>
              <w:rPr>
                <w:sz w:val="18"/>
              </w:rPr>
              <w:t>fare_amount</w:t>
            </w:r>
          </w:p>
        </w:tc>
        <w:tc>
          <w:tcPr>
            <w:tcW w:type="dxa" w:w="4320"/>
          </w:tcPr>
          <w:p>
            <w:r>
              <w:rPr>
                <w:sz w:val="18"/>
              </w:rPr>
              <w:t>Metered fare (US$)</w:t>
            </w:r>
          </w:p>
        </w:tc>
      </w:tr>
      <w:tr>
        <w:tc>
          <w:tcPr>
            <w:tcW w:type="dxa" w:w="4320"/>
          </w:tcPr>
          <w:p>
            <w:r>
              <w:rPr>
                <w:sz w:val="18"/>
              </w:rPr>
              <w:t>tip_amount</w:t>
            </w:r>
          </w:p>
        </w:tc>
        <w:tc>
          <w:tcPr>
            <w:tcW w:type="dxa" w:w="4320"/>
          </w:tcPr>
          <w:p>
            <w:r>
              <w:rPr>
                <w:sz w:val="18"/>
              </w:rPr>
              <w:t>Tip amount (US$)</w:t>
            </w:r>
          </w:p>
        </w:tc>
      </w:tr>
      <w:tr>
        <w:tc>
          <w:tcPr>
            <w:tcW w:type="dxa" w:w="4320"/>
          </w:tcPr>
          <w:p>
            <w:r>
              <w:rPr>
                <w:sz w:val="18"/>
              </w:rPr>
              <w:t>total_amount</w:t>
            </w:r>
          </w:p>
        </w:tc>
        <w:tc>
          <w:tcPr>
            <w:tcW w:type="dxa" w:w="4320"/>
          </w:tcPr>
          <w:p>
            <w:r>
              <w:rPr>
                <w:sz w:val="18"/>
              </w:rPr>
              <w:t>Total charged (US$)</w:t>
            </w:r>
          </w:p>
        </w:tc>
      </w:tr>
      <w:tr>
        <w:tc>
          <w:tcPr>
            <w:tcW w:type="dxa" w:w="4320"/>
          </w:tcPr>
          <w:p>
            <w:r>
              <w:rPr>
                <w:sz w:val="18"/>
              </w:rPr>
              <w:t>passenger_count</w:t>
            </w:r>
          </w:p>
        </w:tc>
        <w:tc>
          <w:tcPr>
            <w:tcW w:type="dxa" w:w="4320"/>
          </w:tcPr>
          <w:p>
            <w:r>
              <w:rPr>
                <w:sz w:val="18"/>
              </w:rPr>
              <w:t>Number of passengers</w:t>
            </w:r>
          </w:p>
        </w:tc>
      </w:tr>
    </w:tbl>
    <w:p>
      <w:r>
        <w:t>Data quality note: the raw feed contains erroneous records (zero or negative fares, zero-distance trips, impossible distances &gt; 100 miles, zero-passenger trips, and a few timestamps outside 2024). We filter these out before analysis, retaining 35,628,429 trips — 86.5% of the raw data. Applying identical filters in both implementations keeps the comparison fair and the results trustworthy.</w:t>
      </w:r>
    </w:p>
    <w:p>
      <w:pPr>
        <w:pStyle w:val="Heading1"/>
      </w:pPr>
      <w:r>
        <w:rPr>
          <w:color w:val="1F4E79"/>
        </w:rPr>
        <w:t>3. The MapReduce / Spark Approach</w:t>
      </w:r>
    </w:p>
    <w:p>
      <w:r>
        <w:t>The analysis is fundamentally a set of group-by aggregations, which is exactly the problem the MapReduce paradigm was designed for. Taking “average tip % and trip count per pickup zone” as the example:</w:t>
      </w:r>
    </w:p>
    <w:p>
      <w:pPr>
        <w:pStyle w:val="ListBullet"/>
      </w:pPr>
      <w:r>
        <w:t>Map phase: for every trip, emit a key-value pair whose key is the grouping attribute (e.g. the pickup zone, or the hour of day) and whose value carries the measures we need — the fare, tip, distance and a count of 1.</w:t>
      </w:r>
    </w:p>
    <w:p>
      <w:pPr>
        <w:pStyle w:val="ListBullet"/>
      </w:pPr>
      <w:r>
        <w:t>Shuffle phase: the framework groups all values that share the same key onto the same reducer. This is the step that a single machine cannot parallelise but a cluster can.</w:t>
      </w:r>
    </w:p>
    <w:p>
      <w:pPr>
        <w:pStyle w:val="ListBullet"/>
      </w:pPr>
      <w:r>
        <w:t>Reduce phase: for each key, sum the counts and the measures, then derive the averages (total tip% ÷ count, etc.).</w:t>
      </w:r>
    </w:p>
    <w:p>
      <w:r>
        <w:t>We implement this with Apache Spark's DataFrame API in PySpark. Although we write concise groupBy().agg() calls, Spark compiles them into exactly this map-shuffle-reduce plan and executes it across all CPU cores (and, on a cluster, across many machines). Spark reads the Parquet files as a distributed DataFrame, partitions the 41M rows, runs the map and partial aggregation on each partition in parallel, shuffles by key, and finishes the reduction. Key implementation choices:</w:t>
      </w:r>
    </w:p>
    <w:p>
      <w:pPr>
        <w:pStyle w:val="ListBullet"/>
      </w:pPr>
      <w:r>
        <w:t>Parquet columnar format lets Spark read only the columns each query needs (predicate/column pruning), cutting I/O dramatically.</w:t>
      </w:r>
    </w:p>
    <w:p>
      <w:pPr>
        <w:pStyle w:val="ListBullet"/>
      </w:pPr>
      <w:r>
        <w:t>The small zone-lookup table is broadcast to every worker, so the join needs no shuffle of the big table.</w:t>
      </w:r>
    </w:p>
    <w:p>
      <w:pPr>
        <w:pStyle w:val="ListBullet"/>
      </w:pPr>
      <w:r>
        <w:t>The cleaned DataFrame is cached because it is reused by four separate aggregations, avoiding a re-read of the data each time.</w:t>
      </w:r>
    </w:p>
    <w:p>
      <w:r>
        <w:t>For comparison we implement the identical logic in Pandas on a single machine. Because 41M rows with derived columns will not comfortably fit in 16 GB of RAM, the Pandas version must be engineered carefully: it reads only the required columns and processes the twelve files one at a time, combining partial aggregates at the end. Spark performs this out-of-core, parallel execution automatically — the extra manual effort on the Pandas side is itself part of the finding.</w:t>
      </w:r>
    </w:p>
    <w:p>
      <w:pPr>
        <w:pStyle w:val="Heading2"/>
      </w:pPr>
      <w:r>
        <w:rPr>
          <w:color w:val="1F4E79"/>
        </w:rPr>
        <w:t>3.1 A worked example</w:t>
      </w:r>
    </w:p>
    <w:p>
      <w:r>
        <w:t>To make the map-shuffle-reduce flow concrete, consider computing the average tip % per hour from five sample trips. In the map phase each trip is turned into a (key, value) pair keyed on the pickup hour, carrying the tip % and a count of 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Trip</w:t>
            </w:r>
          </w:p>
        </w:tc>
        <w:tc>
          <w:tcPr>
            <w:tcW w:type="dxa" w:w="2160"/>
          </w:tcPr>
          <w:p>
            <w:r>
              <w:rPr>
                <w:b/>
                <w:sz w:val="18"/>
              </w:rPr>
              <w:t>Pickup hour</w:t>
            </w:r>
          </w:p>
        </w:tc>
        <w:tc>
          <w:tcPr>
            <w:tcW w:type="dxa" w:w="2160"/>
          </w:tcPr>
          <w:p>
            <w:r>
              <w:rPr>
                <w:b/>
                <w:sz w:val="18"/>
              </w:rPr>
              <w:t>tip %</w:t>
            </w:r>
          </w:p>
        </w:tc>
        <w:tc>
          <w:tcPr>
            <w:tcW w:type="dxa" w:w="2160"/>
          </w:tcPr>
          <w:p>
            <w:r>
              <w:rPr>
                <w:b/>
                <w:sz w:val="18"/>
              </w:rPr>
              <w:t>Map output (key → value)</w:t>
            </w:r>
          </w:p>
        </w:tc>
      </w:tr>
      <w:tr>
        <w:tc>
          <w:tcPr>
            <w:tcW w:type="dxa" w:w="2160"/>
          </w:tcPr>
          <w:p>
            <w:r>
              <w:rPr>
                <w:sz w:val="18"/>
              </w:rPr>
              <w:t>A</w:t>
            </w:r>
          </w:p>
        </w:tc>
        <w:tc>
          <w:tcPr>
            <w:tcW w:type="dxa" w:w="2160"/>
          </w:tcPr>
          <w:p>
            <w:r>
              <w:rPr>
                <w:sz w:val="18"/>
              </w:rPr>
              <w:t>18</w:t>
            </w:r>
          </w:p>
        </w:tc>
        <w:tc>
          <w:tcPr>
            <w:tcW w:type="dxa" w:w="2160"/>
          </w:tcPr>
          <w:p>
            <w:r>
              <w:rPr>
                <w:sz w:val="18"/>
              </w:rPr>
              <w:t>20.00</w:t>
            </w:r>
          </w:p>
        </w:tc>
        <w:tc>
          <w:tcPr>
            <w:tcW w:type="dxa" w:w="2160"/>
          </w:tcPr>
          <w:p>
            <w:r>
              <w:rPr>
                <w:sz w:val="18"/>
              </w:rPr>
              <w:t>18 → (20.0, 1)</w:t>
            </w:r>
          </w:p>
        </w:tc>
      </w:tr>
      <w:tr>
        <w:tc>
          <w:tcPr>
            <w:tcW w:type="dxa" w:w="2160"/>
          </w:tcPr>
          <w:p>
            <w:r>
              <w:rPr>
                <w:sz w:val="18"/>
              </w:rPr>
              <w:t>B</w:t>
            </w:r>
          </w:p>
        </w:tc>
        <w:tc>
          <w:tcPr>
            <w:tcW w:type="dxa" w:w="2160"/>
          </w:tcPr>
          <w:p>
            <w:r>
              <w:rPr>
                <w:sz w:val="18"/>
              </w:rPr>
              <w:t>9</w:t>
            </w:r>
          </w:p>
        </w:tc>
        <w:tc>
          <w:tcPr>
            <w:tcW w:type="dxa" w:w="2160"/>
          </w:tcPr>
          <w:p>
            <w:r>
              <w:rPr>
                <w:sz w:val="18"/>
              </w:rPr>
              <w:t>15.00</w:t>
            </w:r>
          </w:p>
        </w:tc>
        <w:tc>
          <w:tcPr>
            <w:tcW w:type="dxa" w:w="2160"/>
          </w:tcPr>
          <w:p>
            <w:r>
              <w:rPr>
                <w:sz w:val="18"/>
              </w:rPr>
              <w:t>9 → (15.0, 1)</w:t>
            </w:r>
          </w:p>
        </w:tc>
      </w:tr>
      <w:tr>
        <w:tc>
          <w:tcPr>
            <w:tcW w:type="dxa" w:w="2160"/>
          </w:tcPr>
          <w:p>
            <w:r>
              <w:rPr>
                <w:sz w:val="18"/>
              </w:rPr>
              <w:t>C</w:t>
            </w:r>
          </w:p>
        </w:tc>
        <w:tc>
          <w:tcPr>
            <w:tcW w:type="dxa" w:w="2160"/>
          </w:tcPr>
          <w:p>
            <w:r>
              <w:rPr>
                <w:sz w:val="18"/>
              </w:rPr>
              <w:t>18</w:t>
            </w:r>
          </w:p>
        </w:tc>
        <w:tc>
          <w:tcPr>
            <w:tcW w:type="dxa" w:w="2160"/>
          </w:tcPr>
          <w:p>
            <w:r>
              <w:rPr>
                <w:sz w:val="18"/>
              </w:rPr>
              <w:t>30.00</w:t>
            </w:r>
          </w:p>
        </w:tc>
        <w:tc>
          <w:tcPr>
            <w:tcW w:type="dxa" w:w="2160"/>
          </w:tcPr>
          <w:p>
            <w:r>
              <w:rPr>
                <w:sz w:val="18"/>
              </w:rPr>
              <w:t>18 → (30.0, 1)</w:t>
            </w:r>
          </w:p>
        </w:tc>
      </w:tr>
      <w:tr>
        <w:tc>
          <w:tcPr>
            <w:tcW w:type="dxa" w:w="2160"/>
          </w:tcPr>
          <w:p>
            <w:r>
              <w:rPr>
                <w:sz w:val="18"/>
              </w:rPr>
              <w:t>D</w:t>
            </w:r>
          </w:p>
        </w:tc>
        <w:tc>
          <w:tcPr>
            <w:tcW w:type="dxa" w:w="2160"/>
          </w:tcPr>
          <w:p>
            <w:r>
              <w:rPr>
                <w:sz w:val="18"/>
              </w:rPr>
              <w:t>9</w:t>
            </w:r>
          </w:p>
        </w:tc>
        <w:tc>
          <w:tcPr>
            <w:tcW w:type="dxa" w:w="2160"/>
          </w:tcPr>
          <w:p>
            <w:r>
              <w:rPr>
                <w:sz w:val="18"/>
              </w:rPr>
              <w:t>25.00</w:t>
            </w:r>
          </w:p>
        </w:tc>
        <w:tc>
          <w:tcPr>
            <w:tcW w:type="dxa" w:w="2160"/>
          </w:tcPr>
          <w:p>
            <w:r>
              <w:rPr>
                <w:sz w:val="18"/>
              </w:rPr>
              <w:t>9 → (25.0, 1)</w:t>
            </w:r>
          </w:p>
        </w:tc>
      </w:tr>
      <w:tr>
        <w:tc>
          <w:tcPr>
            <w:tcW w:type="dxa" w:w="2160"/>
          </w:tcPr>
          <w:p>
            <w:r>
              <w:rPr>
                <w:sz w:val="18"/>
              </w:rPr>
              <w:t>E</w:t>
            </w:r>
          </w:p>
        </w:tc>
        <w:tc>
          <w:tcPr>
            <w:tcW w:type="dxa" w:w="2160"/>
          </w:tcPr>
          <w:p>
            <w:r>
              <w:rPr>
                <w:sz w:val="18"/>
              </w:rPr>
              <w:t>18</w:t>
            </w:r>
          </w:p>
        </w:tc>
        <w:tc>
          <w:tcPr>
            <w:tcW w:type="dxa" w:w="2160"/>
          </w:tcPr>
          <w:p>
            <w:r>
              <w:rPr>
                <w:sz w:val="18"/>
              </w:rPr>
              <w:t>22.00</w:t>
            </w:r>
          </w:p>
        </w:tc>
        <w:tc>
          <w:tcPr>
            <w:tcW w:type="dxa" w:w="2160"/>
          </w:tcPr>
          <w:p>
            <w:r>
              <w:rPr>
                <w:sz w:val="18"/>
              </w:rPr>
              <w:t>18 → (22.0, 1)</w:t>
            </w:r>
          </w:p>
        </w:tc>
      </w:tr>
    </w:tbl>
    <w:p>
      <w:r>
        <w:t>The shuffle phase then groups all values that share a key onto the same reducer — the trips for hour 18 land together, and likewise for hour 9. Finally the reduce phase sums the tip percentages and the counts per key and divides to get the average: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Hour (key)</w:t>
            </w:r>
          </w:p>
        </w:tc>
        <w:tc>
          <w:tcPr>
            <w:tcW w:type="dxa" w:w="2160"/>
          </w:tcPr>
          <w:p>
            <w:r>
              <w:rPr>
                <w:b/>
                <w:sz w:val="18"/>
              </w:rPr>
              <w:t>Values after shuffle</w:t>
            </w:r>
          </w:p>
        </w:tc>
        <w:tc>
          <w:tcPr>
            <w:tcW w:type="dxa" w:w="2160"/>
          </w:tcPr>
          <w:p>
            <w:r>
              <w:rPr>
                <w:b/>
                <w:sz w:val="18"/>
              </w:rPr>
              <w:t>Reduce: sum tip% / sum count</w:t>
            </w:r>
          </w:p>
        </w:tc>
        <w:tc>
          <w:tcPr>
            <w:tcW w:type="dxa" w:w="2160"/>
          </w:tcPr>
          <w:p>
            <w:r>
              <w:rPr>
                <w:b/>
                <w:sz w:val="18"/>
              </w:rPr>
              <w:t>Avg tip %</w:t>
            </w:r>
          </w:p>
        </w:tc>
      </w:tr>
      <w:tr>
        <w:tc>
          <w:tcPr>
            <w:tcW w:type="dxa" w:w="2160"/>
          </w:tcPr>
          <w:p>
            <w:r>
              <w:rPr>
                <w:sz w:val="18"/>
              </w:rPr>
              <w:t>9</w:t>
            </w:r>
          </w:p>
        </w:tc>
        <w:tc>
          <w:tcPr>
            <w:tcW w:type="dxa" w:w="2160"/>
          </w:tcPr>
          <w:p>
            <w:r>
              <w:rPr>
                <w:sz w:val="18"/>
              </w:rPr>
              <w:t>(15.0,1),(25.0,1)</w:t>
            </w:r>
          </w:p>
        </w:tc>
        <w:tc>
          <w:tcPr>
            <w:tcW w:type="dxa" w:w="2160"/>
          </w:tcPr>
          <w:p>
            <w:r>
              <w:rPr>
                <w:sz w:val="18"/>
              </w:rPr>
              <w:t>40.0 / 2</w:t>
            </w:r>
          </w:p>
        </w:tc>
        <w:tc>
          <w:tcPr>
            <w:tcW w:type="dxa" w:w="2160"/>
          </w:tcPr>
          <w:p>
            <w:r>
              <w:rPr>
                <w:sz w:val="18"/>
              </w:rPr>
              <w:t>20.00</w:t>
            </w:r>
          </w:p>
        </w:tc>
      </w:tr>
      <w:tr>
        <w:tc>
          <w:tcPr>
            <w:tcW w:type="dxa" w:w="2160"/>
          </w:tcPr>
          <w:p>
            <w:r>
              <w:rPr>
                <w:sz w:val="18"/>
              </w:rPr>
              <w:t>18</w:t>
            </w:r>
          </w:p>
        </w:tc>
        <w:tc>
          <w:tcPr>
            <w:tcW w:type="dxa" w:w="2160"/>
          </w:tcPr>
          <w:p>
            <w:r>
              <w:rPr>
                <w:sz w:val="18"/>
              </w:rPr>
              <w:t>(20.0,1),(30.0,1),(22.0,1)</w:t>
            </w:r>
          </w:p>
        </w:tc>
        <w:tc>
          <w:tcPr>
            <w:tcW w:type="dxa" w:w="2160"/>
          </w:tcPr>
          <w:p>
            <w:r>
              <w:rPr>
                <w:sz w:val="18"/>
              </w:rPr>
              <w:t>72.0 / 3</w:t>
            </w:r>
          </w:p>
        </w:tc>
        <w:tc>
          <w:tcPr>
            <w:tcW w:type="dxa" w:w="2160"/>
          </w:tcPr>
          <w:p>
            <w:r>
              <w:rPr>
                <w:sz w:val="18"/>
              </w:rPr>
              <w:t>24.00</w:t>
            </w:r>
          </w:p>
        </w:tc>
      </w:tr>
    </w:tbl>
    <w:p>
      <w:r>
        <w:t>This is exactly what runs at scale in our Spark job — only instead of five rows on one machine, the 35.6M cleaned trips are split into partitions, mapped in parallel across all cores, shuffled by key, and reduced. Because each partition is mapped independently, the work scales almost linearly with the number of cores or machines available — the property that makes the approach a “big data” solution.</w:t>
      </w:r>
    </w:p>
    <w:p>
      <w:pPr>
        <w:pStyle w:val="Heading1"/>
      </w:pPr>
      <w:r>
        <w:rPr>
          <w:color w:val="1F4E79"/>
        </w:rPr>
        <w:t>4. Analysis of the Output</w:t>
      </w:r>
    </w:p>
    <w:p>
      <w:pPr>
        <w:pStyle w:val="Heading2"/>
      </w:pPr>
      <w:r>
        <w:rPr>
          <w:color w:val="1F4E79"/>
        </w:rPr>
        <w:t>4.1 Demand and tipping by hour of day</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demand_by_hour.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8"/>
        </w:rPr>
        <w:t>Figure 1. Trip volume (bars) and average tip % (line) by hour of day.</w:t>
      </w:r>
    </w:p>
    <w:p>
      <w:r>
        <w:t>Demand follows a clear daily cycle. It bottoms out at 4–5 am (~170k–200k trips) and rises through the day to a peak at 6 pm (2.56M trips) — the evening rush. Tipping is highest in the evening (peaking around 23–24% between 6–8 pm) and lowest during the pre-dawn commute hours. The one anomaly, a tip-% spike at 4 am, comes from the very small number of trips at that hour, where a few generous tips move the average — a good reminder to read averages alongside their counts.</w:t>
      </w:r>
    </w:p>
    <w:p>
      <w:pPr>
        <w:pStyle w:val="Heading2"/>
      </w:pPr>
      <w:r>
        <w:rPr>
          <w:color w:val="1F4E79"/>
        </w:rPr>
        <w:t>4.2 Busiest pickup zones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Borough</w:t>
            </w:r>
          </w:p>
        </w:tc>
        <w:tc>
          <w:tcPr>
            <w:tcW w:type="dxa" w:w="1728"/>
          </w:tcPr>
          <w:p>
            <w:r>
              <w:rPr>
                <w:b/>
                <w:sz w:val="18"/>
              </w:rPr>
              <w:t>Zone</w:t>
            </w:r>
          </w:p>
        </w:tc>
        <w:tc>
          <w:tcPr>
            <w:tcW w:type="dxa" w:w="1728"/>
          </w:tcPr>
          <w:p>
            <w:r>
              <w:rPr>
                <w:b/>
                <w:sz w:val="18"/>
              </w:rPr>
              <w:t>trips</w:t>
            </w:r>
          </w:p>
        </w:tc>
        <w:tc>
          <w:tcPr>
            <w:tcW w:type="dxa" w:w="1728"/>
          </w:tcPr>
          <w:p>
            <w:r>
              <w:rPr>
                <w:b/>
                <w:sz w:val="18"/>
              </w:rPr>
              <w:t>avg_fare</w:t>
            </w:r>
          </w:p>
        </w:tc>
        <w:tc>
          <w:tcPr>
            <w:tcW w:type="dxa" w:w="1728"/>
          </w:tcPr>
          <w:p>
            <w:r>
              <w:rPr>
                <w:b/>
                <w:sz w:val="18"/>
              </w:rPr>
              <w:t>avg_tip_pct</w:t>
            </w:r>
          </w:p>
        </w:tc>
      </w:tr>
      <w:tr>
        <w:tc>
          <w:tcPr>
            <w:tcW w:type="dxa" w:w="1728"/>
          </w:tcPr>
          <w:p>
            <w:r>
              <w:rPr>
                <w:sz w:val="18"/>
              </w:rPr>
              <w:t>Queens</w:t>
            </w:r>
          </w:p>
        </w:tc>
        <w:tc>
          <w:tcPr>
            <w:tcW w:type="dxa" w:w="1728"/>
          </w:tcPr>
          <w:p>
            <w:r>
              <w:rPr>
                <w:sz w:val="18"/>
              </w:rPr>
              <w:t>JFK Airport</w:t>
            </w:r>
          </w:p>
        </w:tc>
        <w:tc>
          <w:tcPr>
            <w:tcW w:type="dxa" w:w="1728"/>
          </w:tcPr>
          <w:p>
            <w:r>
              <w:rPr>
                <w:sz w:val="18"/>
              </w:rPr>
              <w:t>1,856,794</w:t>
            </w:r>
          </w:p>
        </w:tc>
        <w:tc>
          <w:tcPr>
            <w:tcW w:type="dxa" w:w="1728"/>
          </w:tcPr>
          <w:p>
            <w:r>
              <w:rPr>
                <w:sz w:val="18"/>
              </w:rPr>
              <w:t>64.24</w:t>
            </w:r>
          </w:p>
        </w:tc>
        <w:tc>
          <w:tcPr>
            <w:tcW w:type="dxa" w:w="1728"/>
          </w:tcPr>
          <w:p>
            <w:r>
              <w:rPr>
                <w:sz w:val="18"/>
              </w:rPr>
              <w:t>14.62</w:t>
            </w:r>
          </w:p>
        </w:tc>
      </w:tr>
      <w:tr>
        <w:tc>
          <w:tcPr>
            <w:tcW w:type="dxa" w:w="1728"/>
          </w:tcPr>
          <w:p>
            <w:r>
              <w:rPr>
                <w:sz w:val="18"/>
              </w:rPr>
              <w:t>Manhattan</w:t>
            </w:r>
          </w:p>
        </w:tc>
        <w:tc>
          <w:tcPr>
            <w:tcW w:type="dxa" w:w="1728"/>
          </w:tcPr>
          <w:p>
            <w:r>
              <w:rPr>
                <w:sz w:val="18"/>
              </w:rPr>
              <w:t>Upper East Side South</w:t>
            </w:r>
          </w:p>
        </w:tc>
        <w:tc>
          <w:tcPr>
            <w:tcW w:type="dxa" w:w="1728"/>
          </w:tcPr>
          <w:p>
            <w:r>
              <w:rPr>
                <w:sz w:val="18"/>
              </w:rPr>
              <w:t>1,766,832</w:t>
            </w:r>
          </w:p>
        </w:tc>
        <w:tc>
          <w:tcPr>
            <w:tcW w:type="dxa" w:w="1728"/>
          </w:tcPr>
          <w:p>
            <w:r>
              <w:rPr>
                <w:sz w:val="18"/>
              </w:rPr>
              <w:t>13.25</w:t>
            </w:r>
          </w:p>
        </w:tc>
        <w:tc>
          <w:tcPr>
            <w:tcW w:type="dxa" w:w="1728"/>
          </w:tcPr>
          <w:p>
            <w:r>
              <w:rPr>
                <w:sz w:val="18"/>
              </w:rPr>
              <w:t>22.94</w:t>
            </w:r>
          </w:p>
        </w:tc>
      </w:tr>
      <w:tr>
        <w:tc>
          <w:tcPr>
            <w:tcW w:type="dxa" w:w="1728"/>
          </w:tcPr>
          <w:p>
            <w:r>
              <w:rPr>
                <w:sz w:val="18"/>
              </w:rPr>
              <w:t>Manhattan</w:t>
            </w:r>
          </w:p>
        </w:tc>
        <w:tc>
          <w:tcPr>
            <w:tcW w:type="dxa" w:w="1728"/>
          </w:tcPr>
          <w:p>
            <w:r>
              <w:rPr>
                <w:sz w:val="18"/>
              </w:rPr>
              <w:t>Midtown Center</w:t>
            </w:r>
          </w:p>
        </w:tc>
        <w:tc>
          <w:tcPr>
            <w:tcW w:type="dxa" w:w="1728"/>
          </w:tcPr>
          <w:p>
            <w:r>
              <w:rPr>
                <w:sz w:val="18"/>
              </w:rPr>
              <w:t>1,737,678</w:t>
            </w:r>
          </w:p>
        </w:tc>
        <w:tc>
          <w:tcPr>
            <w:tcW w:type="dxa" w:w="1728"/>
          </w:tcPr>
          <w:p>
            <w:r>
              <w:rPr>
                <w:sz w:val="18"/>
              </w:rPr>
              <w:t>16.66</w:t>
            </w:r>
          </w:p>
        </w:tc>
        <w:tc>
          <w:tcPr>
            <w:tcW w:type="dxa" w:w="1728"/>
          </w:tcPr>
          <w:p>
            <w:r>
              <w:rPr>
                <w:sz w:val="18"/>
              </w:rPr>
              <w:t>21.43</w:t>
            </w:r>
          </w:p>
        </w:tc>
      </w:tr>
      <w:tr>
        <w:tc>
          <w:tcPr>
            <w:tcW w:type="dxa" w:w="1728"/>
          </w:tcPr>
          <w:p>
            <w:r>
              <w:rPr>
                <w:sz w:val="18"/>
              </w:rPr>
              <w:t>Manhattan</w:t>
            </w:r>
          </w:p>
        </w:tc>
        <w:tc>
          <w:tcPr>
            <w:tcW w:type="dxa" w:w="1728"/>
          </w:tcPr>
          <w:p>
            <w:r>
              <w:rPr>
                <w:sz w:val="18"/>
              </w:rPr>
              <w:t>Upper East Side North</w:t>
            </w:r>
          </w:p>
        </w:tc>
        <w:tc>
          <w:tcPr>
            <w:tcW w:type="dxa" w:w="1728"/>
          </w:tcPr>
          <w:p>
            <w:r>
              <w:rPr>
                <w:sz w:val="18"/>
              </w:rPr>
              <w:t>1,557,770</w:t>
            </w:r>
          </w:p>
        </w:tc>
        <w:tc>
          <w:tcPr>
            <w:tcW w:type="dxa" w:w="1728"/>
          </w:tcPr>
          <w:p>
            <w:r>
              <w:rPr>
                <w:sz w:val="18"/>
              </w:rPr>
              <w:t>13.37</w:t>
            </w:r>
          </w:p>
        </w:tc>
        <w:tc>
          <w:tcPr>
            <w:tcW w:type="dxa" w:w="1728"/>
          </w:tcPr>
          <w:p>
            <w:r>
              <w:rPr>
                <w:sz w:val="18"/>
              </w:rPr>
              <w:t>22.75</w:t>
            </w:r>
          </w:p>
        </w:tc>
      </w:tr>
      <w:tr>
        <w:tc>
          <w:tcPr>
            <w:tcW w:type="dxa" w:w="1728"/>
          </w:tcPr>
          <w:p>
            <w:r>
              <w:rPr>
                <w:sz w:val="18"/>
              </w:rPr>
              <w:t>Manhattan</w:t>
            </w:r>
          </w:p>
        </w:tc>
        <w:tc>
          <w:tcPr>
            <w:tcW w:type="dxa" w:w="1728"/>
          </w:tcPr>
          <w:p>
            <w:r>
              <w:rPr>
                <w:sz w:val="18"/>
              </w:rPr>
              <w:t>Midtown East</w:t>
            </w:r>
          </w:p>
        </w:tc>
        <w:tc>
          <w:tcPr>
            <w:tcW w:type="dxa" w:w="1728"/>
          </w:tcPr>
          <w:p>
            <w:r>
              <w:rPr>
                <w:sz w:val="18"/>
              </w:rPr>
              <w:t>1,309,964</w:t>
            </w:r>
          </w:p>
        </w:tc>
        <w:tc>
          <w:tcPr>
            <w:tcW w:type="dxa" w:w="1728"/>
          </w:tcPr>
          <w:p>
            <w:r>
              <w:rPr>
                <w:sz w:val="18"/>
              </w:rPr>
              <w:t>16.13</w:t>
            </w:r>
          </w:p>
        </w:tc>
        <w:tc>
          <w:tcPr>
            <w:tcW w:type="dxa" w:w="1728"/>
          </w:tcPr>
          <w:p>
            <w:r>
              <w:rPr>
                <w:sz w:val="18"/>
              </w:rPr>
              <w:t>21.72</w:t>
            </w:r>
          </w:p>
        </w:tc>
      </w:tr>
      <w:tr>
        <w:tc>
          <w:tcPr>
            <w:tcW w:type="dxa" w:w="1728"/>
          </w:tcPr>
          <w:p>
            <w:r>
              <w:rPr>
                <w:sz w:val="18"/>
              </w:rPr>
              <w:t>Manhattan</w:t>
            </w:r>
          </w:p>
        </w:tc>
        <w:tc>
          <w:tcPr>
            <w:tcW w:type="dxa" w:w="1728"/>
          </w:tcPr>
          <w:p>
            <w:r>
              <w:rPr>
                <w:sz w:val="18"/>
              </w:rPr>
              <w:t>Penn Station/Madison Sq West</w:t>
            </w:r>
          </w:p>
        </w:tc>
        <w:tc>
          <w:tcPr>
            <w:tcW w:type="dxa" w:w="1728"/>
          </w:tcPr>
          <w:p>
            <w:r>
              <w:rPr>
                <w:sz w:val="18"/>
              </w:rPr>
              <w:t>1,269,380</w:t>
            </w:r>
          </w:p>
        </w:tc>
        <w:tc>
          <w:tcPr>
            <w:tcW w:type="dxa" w:w="1728"/>
          </w:tcPr>
          <w:p>
            <w:r>
              <w:rPr>
                <w:sz w:val="18"/>
              </w:rPr>
              <w:t>17.39</w:t>
            </w:r>
          </w:p>
        </w:tc>
        <w:tc>
          <w:tcPr>
            <w:tcW w:type="dxa" w:w="1728"/>
          </w:tcPr>
          <w:p>
            <w:r>
              <w:rPr>
                <w:sz w:val="18"/>
              </w:rPr>
              <w:t>20.44</w:t>
            </w:r>
          </w:p>
        </w:tc>
      </w:tr>
      <w:tr>
        <w:tc>
          <w:tcPr>
            <w:tcW w:type="dxa" w:w="1728"/>
          </w:tcPr>
          <w:p>
            <w:r>
              <w:rPr>
                <w:sz w:val="18"/>
              </w:rPr>
              <w:t>Manhattan</w:t>
            </w:r>
          </w:p>
        </w:tc>
        <w:tc>
          <w:tcPr>
            <w:tcW w:type="dxa" w:w="1728"/>
          </w:tcPr>
          <w:p>
            <w:r>
              <w:rPr>
                <w:sz w:val="18"/>
              </w:rPr>
              <w:t>Times Sq/Theatre District</w:t>
            </w:r>
          </w:p>
        </w:tc>
        <w:tc>
          <w:tcPr>
            <w:tcW w:type="dxa" w:w="1728"/>
          </w:tcPr>
          <w:p>
            <w:r>
              <w:rPr>
                <w:sz w:val="18"/>
              </w:rPr>
              <w:t>1,250,777</w:t>
            </w:r>
          </w:p>
        </w:tc>
        <w:tc>
          <w:tcPr>
            <w:tcW w:type="dxa" w:w="1728"/>
          </w:tcPr>
          <w:p>
            <w:r>
              <w:rPr>
                <w:sz w:val="18"/>
              </w:rPr>
              <w:t>19.75</w:t>
            </w:r>
          </w:p>
        </w:tc>
        <w:tc>
          <w:tcPr>
            <w:tcW w:type="dxa" w:w="1728"/>
          </w:tcPr>
          <w:p>
            <w:r>
              <w:rPr>
                <w:sz w:val="18"/>
              </w:rPr>
              <w:t>20.22</w:t>
            </w:r>
          </w:p>
        </w:tc>
      </w:tr>
      <w:tr>
        <w:tc>
          <w:tcPr>
            <w:tcW w:type="dxa" w:w="1728"/>
          </w:tcPr>
          <w:p>
            <w:r>
              <w:rPr>
                <w:sz w:val="18"/>
              </w:rPr>
              <w:t>Queens</w:t>
            </w:r>
          </w:p>
        </w:tc>
        <w:tc>
          <w:tcPr>
            <w:tcW w:type="dxa" w:w="1728"/>
          </w:tcPr>
          <w:p>
            <w:r>
              <w:rPr>
                <w:sz w:val="18"/>
              </w:rPr>
              <w:t>LaGuardia Airport</w:t>
            </w:r>
          </w:p>
        </w:tc>
        <w:tc>
          <w:tcPr>
            <w:tcW w:type="dxa" w:w="1728"/>
          </w:tcPr>
          <w:p>
            <w:r>
              <w:rPr>
                <w:sz w:val="18"/>
              </w:rPr>
              <w:t>1,245,447</w:t>
            </w:r>
          </w:p>
        </w:tc>
        <w:tc>
          <w:tcPr>
            <w:tcW w:type="dxa" w:w="1728"/>
          </w:tcPr>
          <w:p>
            <w:r>
              <w:rPr>
                <w:sz w:val="18"/>
              </w:rPr>
              <w:t>44.16</w:t>
            </w:r>
          </w:p>
        </w:tc>
        <w:tc>
          <w:tcPr>
            <w:tcW w:type="dxa" w:w="1728"/>
          </w:tcPr>
          <w:p>
            <w:r>
              <w:rPr>
                <w:sz w:val="18"/>
              </w:rPr>
              <w:t>21.55</w:t>
            </w:r>
          </w:p>
        </w:tc>
      </w:tr>
      <w:tr>
        <w:tc>
          <w:tcPr>
            <w:tcW w:type="dxa" w:w="1728"/>
          </w:tcPr>
          <w:p>
            <w:r>
              <w:rPr>
                <w:sz w:val="18"/>
              </w:rPr>
              <w:t>Manhattan</w:t>
            </w:r>
          </w:p>
        </w:tc>
        <w:tc>
          <w:tcPr>
            <w:tcW w:type="dxa" w:w="1728"/>
          </w:tcPr>
          <w:p>
            <w:r>
              <w:rPr>
                <w:sz w:val="18"/>
              </w:rPr>
              <w:t>Lincoln Square East</w:t>
            </w:r>
          </w:p>
        </w:tc>
        <w:tc>
          <w:tcPr>
            <w:tcW w:type="dxa" w:w="1728"/>
          </w:tcPr>
          <w:p>
            <w:r>
              <w:rPr>
                <w:sz w:val="18"/>
              </w:rPr>
              <w:t>1,182,739</w:t>
            </w:r>
          </w:p>
        </w:tc>
        <w:tc>
          <w:tcPr>
            <w:tcW w:type="dxa" w:w="1728"/>
          </w:tcPr>
          <w:p>
            <w:r>
              <w:rPr>
                <w:sz w:val="18"/>
              </w:rPr>
              <w:t>14.34</w:t>
            </w:r>
          </w:p>
        </w:tc>
        <w:tc>
          <w:tcPr>
            <w:tcW w:type="dxa" w:w="1728"/>
          </w:tcPr>
          <w:p>
            <w:r>
              <w:rPr>
                <w:sz w:val="18"/>
              </w:rPr>
              <w:t>22.54</w:t>
            </w:r>
          </w:p>
        </w:tc>
      </w:tr>
      <w:tr>
        <w:tc>
          <w:tcPr>
            <w:tcW w:type="dxa" w:w="1728"/>
          </w:tcPr>
          <w:p>
            <w:r>
              <w:rPr>
                <w:sz w:val="18"/>
              </w:rPr>
              <w:t>Manhattan</w:t>
            </w:r>
          </w:p>
        </w:tc>
        <w:tc>
          <w:tcPr>
            <w:tcW w:type="dxa" w:w="1728"/>
          </w:tcPr>
          <w:p>
            <w:r>
              <w:rPr>
                <w:sz w:val="18"/>
              </w:rPr>
              <w:t>Midtown North</w:t>
            </w:r>
          </w:p>
        </w:tc>
        <w:tc>
          <w:tcPr>
            <w:tcW w:type="dxa" w:w="1728"/>
          </w:tcPr>
          <w:p>
            <w:r>
              <w:rPr>
                <w:sz w:val="18"/>
              </w:rPr>
              <w:t>1,063,247</w:t>
            </w:r>
          </w:p>
        </w:tc>
        <w:tc>
          <w:tcPr>
            <w:tcW w:type="dxa" w:w="1728"/>
          </w:tcPr>
          <w:p>
            <w:r>
              <w:rPr>
                <w:sz w:val="18"/>
              </w:rPr>
              <w:t>16.74</w:t>
            </w:r>
          </w:p>
        </w:tc>
        <w:tc>
          <w:tcPr>
            <w:tcW w:type="dxa" w:w="1728"/>
          </w:tcPr>
          <w:p>
            <w:r>
              <w:rPr>
                <w:sz w:val="18"/>
              </w:rPr>
              <w:t>21.44</w:t>
            </w:r>
          </w:p>
        </w:tc>
      </w:tr>
    </w:tbl>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fig2_top_zones.png"/>
                    <pic:cNvPicPr/>
                  </pic:nvPicPr>
                  <pic:blipFill>
                    <a:blip r:embed="rId10"/>
                    <a:stretch>
                      <a:fillRect/>
                    </a:stretch>
                  </pic:blipFill>
                  <pic:spPr>
                    <a:xfrm>
                      <a:off x="0" y="0"/>
                      <a:ext cx="5669280" cy="3149600"/>
                    </a:xfrm>
                    <a:prstGeom prst="rect"/>
                  </pic:spPr>
                </pic:pic>
              </a:graphicData>
            </a:graphic>
          </wp:inline>
        </w:drawing>
      </w:r>
    </w:p>
    <w:p>
      <w:pPr>
        <w:jc w:val="center"/>
      </w:pPr>
      <w:r>
        <w:rPr>
          <w:i/>
          <w:sz w:val="18"/>
        </w:rPr>
        <w:t>Figure 2. Top 10 pickup zones by trip count.</w:t>
      </w:r>
    </w:p>
    <w:p>
      <w:r>
        <w:t>JFK Airport is the single busiest pickup zone (1.86M trips) and, with an average fare of about $64, by far the most lucrative per trip — these are long airport runs. LaGuardia Airport is similar ($44 average fare). The remaining top zones are dense Manhattan business and nightlife districts (Upper East Side, Midtown, Penn Station, Times Square), which generate huge trip volumes at lower per-trip fares. Notably, airport riders tip a lower percentage (JFK ~14.6%) than Manhattan riders (~22–23%).</w:t>
      </w:r>
    </w:p>
    <w:p>
      <w:pPr>
        <w:pStyle w:val="Heading2"/>
      </w:pPr>
      <w:r>
        <w:rPr>
          <w:color w:val="1F4E79"/>
        </w:rPr>
        <w:t>4.3 Revenue and tipping by borough</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Borough</w:t>
            </w:r>
          </w:p>
        </w:tc>
        <w:tc>
          <w:tcPr>
            <w:tcW w:type="dxa" w:w="2160"/>
          </w:tcPr>
          <w:p>
            <w:r>
              <w:rPr>
                <w:b/>
                <w:sz w:val="18"/>
              </w:rPr>
              <w:t>trips</w:t>
            </w:r>
          </w:p>
        </w:tc>
        <w:tc>
          <w:tcPr>
            <w:tcW w:type="dxa" w:w="2160"/>
          </w:tcPr>
          <w:p>
            <w:r>
              <w:rPr>
                <w:b/>
                <w:sz w:val="18"/>
              </w:rPr>
              <w:t>total_revenue</w:t>
            </w:r>
          </w:p>
        </w:tc>
        <w:tc>
          <w:tcPr>
            <w:tcW w:type="dxa" w:w="2160"/>
          </w:tcPr>
          <w:p>
            <w:r>
              <w:rPr>
                <w:b/>
                <w:sz w:val="18"/>
              </w:rPr>
              <w:t>avg_tip_pct</w:t>
            </w:r>
          </w:p>
        </w:tc>
      </w:tr>
      <w:tr>
        <w:tc>
          <w:tcPr>
            <w:tcW w:type="dxa" w:w="2160"/>
          </w:tcPr>
          <w:p>
            <w:r>
              <w:rPr>
                <w:sz w:val="18"/>
              </w:rPr>
              <w:t>Manhattan</w:t>
            </w:r>
          </w:p>
        </w:tc>
        <w:tc>
          <w:tcPr>
            <w:tcW w:type="dxa" w:w="2160"/>
          </w:tcPr>
          <w:p>
            <w:r>
              <w:rPr>
                <w:sz w:val="18"/>
              </w:rPr>
              <w:t>31,659,622</w:t>
            </w:r>
          </w:p>
        </w:tc>
        <w:tc>
          <w:tcPr>
            <w:tcW w:type="dxa" w:w="2160"/>
          </w:tcPr>
          <w:p>
            <w:r>
              <w:rPr>
                <w:sz w:val="18"/>
              </w:rPr>
              <w:t>756,732,632</w:t>
            </w:r>
          </w:p>
        </w:tc>
        <w:tc>
          <w:tcPr>
            <w:tcW w:type="dxa" w:w="2160"/>
          </w:tcPr>
          <w:p>
            <w:r>
              <w:rPr>
                <w:sz w:val="18"/>
              </w:rPr>
              <w:t>21.63</w:t>
            </w:r>
          </w:p>
        </w:tc>
      </w:tr>
      <w:tr>
        <w:tc>
          <w:tcPr>
            <w:tcW w:type="dxa" w:w="2160"/>
          </w:tcPr>
          <w:p>
            <w:r>
              <w:rPr>
                <w:sz w:val="18"/>
              </w:rPr>
              <w:t>Queens</w:t>
            </w:r>
          </w:p>
        </w:tc>
        <w:tc>
          <w:tcPr>
            <w:tcW w:type="dxa" w:w="2160"/>
          </w:tcPr>
          <w:p>
            <w:r>
              <w:rPr>
                <w:sz w:val="18"/>
              </w:rPr>
              <w:t>3,485,512</w:t>
            </w:r>
          </w:p>
        </w:tc>
        <w:tc>
          <w:tcPr>
            <w:tcW w:type="dxa" w:w="2160"/>
          </w:tcPr>
          <w:p>
            <w:r>
              <w:rPr>
                <w:sz w:val="18"/>
              </w:rPr>
              <w:t>260,830,584</w:t>
            </w:r>
          </w:p>
        </w:tc>
        <w:tc>
          <w:tcPr>
            <w:tcW w:type="dxa" w:w="2160"/>
          </w:tcPr>
          <w:p>
            <w:r>
              <w:rPr>
                <w:sz w:val="18"/>
              </w:rPr>
              <w:t>17.34</w:t>
            </w:r>
          </w:p>
        </w:tc>
      </w:tr>
      <w:tr>
        <w:tc>
          <w:tcPr>
            <w:tcW w:type="dxa" w:w="2160"/>
          </w:tcPr>
          <w:p>
            <w:r>
              <w:rPr>
                <w:sz w:val="18"/>
              </w:rPr>
              <w:t>Brooklyn</w:t>
            </w:r>
          </w:p>
        </w:tc>
        <w:tc>
          <w:tcPr>
            <w:tcW w:type="dxa" w:w="2160"/>
          </w:tcPr>
          <w:p>
            <w:r>
              <w:rPr>
                <w:sz w:val="18"/>
              </w:rPr>
              <w:t>298,873</w:t>
            </w:r>
          </w:p>
        </w:tc>
        <w:tc>
          <w:tcPr>
            <w:tcW w:type="dxa" w:w="2160"/>
          </w:tcPr>
          <w:p>
            <w:r>
              <w:rPr>
                <w:sz w:val="18"/>
              </w:rPr>
              <w:t>9,760,049</w:t>
            </w:r>
          </w:p>
        </w:tc>
        <w:tc>
          <w:tcPr>
            <w:tcW w:type="dxa" w:w="2160"/>
          </w:tcPr>
          <w:p>
            <w:r>
              <w:rPr>
                <w:sz w:val="18"/>
              </w:rPr>
              <w:t>6.85</w:t>
            </w:r>
          </w:p>
        </w:tc>
      </w:tr>
      <w:tr>
        <w:tc>
          <w:tcPr>
            <w:tcW w:type="dxa" w:w="2160"/>
          </w:tcPr>
          <w:p>
            <w:r>
              <w:rPr>
                <w:sz w:val="18"/>
              </w:rPr>
              <w:t>Unknown</w:t>
            </w:r>
          </w:p>
        </w:tc>
        <w:tc>
          <w:tcPr>
            <w:tcW w:type="dxa" w:w="2160"/>
          </w:tcPr>
          <w:p>
            <w:r>
              <w:rPr>
                <w:sz w:val="18"/>
              </w:rPr>
              <w:t>107,272</w:t>
            </w:r>
          </w:p>
        </w:tc>
        <w:tc>
          <w:tcPr>
            <w:tcW w:type="dxa" w:w="2160"/>
          </w:tcPr>
          <w:p>
            <w:r>
              <w:rPr>
                <w:sz w:val="18"/>
              </w:rPr>
              <w:t>3,268,282</w:t>
            </w:r>
          </w:p>
        </w:tc>
        <w:tc>
          <w:tcPr>
            <w:tcW w:type="dxa" w:w="2160"/>
          </w:tcPr>
          <w:p>
            <w:r>
              <w:rPr>
                <w:sz w:val="18"/>
              </w:rPr>
              <w:t>20.05</w:t>
            </w:r>
          </w:p>
        </w:tc>
      </w:tr>
      <w:tr>
        <w:tc>
          <w:tcPr>
            <w:tcW w:type="dxa" w:w="2160"/>
          </w:tcPr>
          <w:p>
            <w:r>
              <w:rPr>
                <w:sz w:val="18"/>
              </w:rPr>
              <w:t>Bronx</w:t>
            </w:r>
          </w:p>
        </w:tc>
        <w:tc>
          <w:tcPr>
            <w:tcW w:type="dxa" w:w="2160"/>
          </w:tcPr>
          <w:p>
            <w:r>
              <w:rPr>
                <w:sz w:val="18"/>
              </w:rPr>
              <w:t>67,555</w:t>
            </w:r>
          </w:p>
        </w:tc>
        <w:tc>
          <w:tcPr>
            <w:tcW w:type="dxa" w:w="2160"/>
          </w:tcPr>
          <w:p>
            <w:r>
              <w:rPr>
                <w:sz w:val="18"/>
              </w:rPr>
              <w:t>2,670,774</w:t>
            </w:r>
          </w:p>
        </w:tc>
        <w:tc>
          <w:tcPr>
            <w:tcW w:type="dxa" w:w="2160"/>
          </w:tcPr>
          <w:p>
            <w:r>
              <w:rPr>
                <w:sz w:val="18"/>
              </w:rPr>
              <w:t>1.31</w:t>
            </w:r>
          </w:p>
        </w:tc>
      </w:tr>
      <w:tr>
        <w:tc>
          <w:tcPr>
            <w:tcW w:type="dxa" w:w="2160"/>
          </w:tcPr>
          <w:p>
            <w:r>
              <w:rPr>
                <w:sz w:val="18"/>
              </w:rPr>
              <w:t>nan</w:t>
            </w:r>
          </w:p>
        </w:tc>
        <w:tc>
          <w:tcPr>
            <w:tcW w:type="dxa" w:w="2160"/>
          </w:tcPr>
          <w:p>
            <w:r>
              <w:rPr>
                <w:sz w:val="18"/>
              </w:rPr>
              <w:t>7,695</w:t>
            </w:r>
          </w:p>
        </w:tc>
        <w:tc>
          <w:tcPr>
            <w:tcW w:type="dxa" w:w="2160"/>
          </w:tcPr>
          <w:p>
            <w:r>
              <w:rPr>
                <w:sz w:val="18"/>
              </w:rPr>
              <w:t>662,496.75</w:t>
            </w:r>
          </w:p>
        </w:tc>
        <w:tc>
          <w:tcPr>
            <w:tcW w:type="dxa" w:w="2160"/>
          </w:tcPr>
          <w:p>
            <w:r>
              <w:rPr>
                <w:sz w:val="18"/>
              </w:rPr>
              <w:t>51.84</w:t>
            </w:r>
          </w:p>
        </w:tc>
      </w:tr>
      <w:tr>
        <w:tc>
          <w:tcPr>
            <w:tcW w:type="dxa" w:w="2160"/>
          </w:tcPr>
          <w:p>
            <w:r>
              <w:rPr>
                <w:sz w:val="18"/>
              </w:rPr>
              <w:t>EWR</w:t>
            </w:r>
          </w:p>
        </w:tc>
        <w:tc>
          <w:tcPr>
            <w:tcW w:type="dxa" w:w="2160"/>
          </w:tcPr>
          <w:p>
            <w:r>
              <w:rPr>
                <w:sz w:val="18"/>
              </w:rPr>
              <w:t>1,218</w:t>
            </w:r>
          </w:p>
        </w:tc>
        <w:tc>
          <w:tcPr>
            <w:tcW w:type="dxa" w:w="2160"/>
          </w:tcPr>
          <w:p>
            <w:r>
              <w:rPr>
                <w:sz w:val="18"/>
              </w:rPr>
              <w:t>114,743.09</w:t>
            </w:r>
          </w:p>
        </w:tc>
        <w:tc>
          <w:tcPr>
            <w:tcW w:type="dxa" w:w="2160"/>
          </w:tcPr>
          <w:p>
            <w:r>
              <w:rPr>
                <w:sz w:val="18"/>
              </w:rPr>
              <w:t>25.07</w:t>
            </w:r>
          </w:p>
        </w:tc>
      </w:tr>
    </w:tbl>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fig3_revenue_by_borough.png"/>
                    <pic:cNvPicPr/>
                  </pic:nvPicPr>
                  <pic:blipFill>
                    <a:blip r:embed="rId11"/>
                    <a:stretch>
                      <a:fillRect/>
                    </a:stretch>
                  </pic:blipFill>
                  <pic:spPr>
                    <a:xfrm>
                      <a:off x="0" y="0"/>
                      <a:ext cx="5669280" cy="3188970"/>
                    </a:xfrm>
                    <a:prstGeom prst="rect"/>
                  </pic:spPr>
                </pic:pic>
              </a:graphicData>
            </a:graphic>
          </wp:inline>
        </w:drawing>
      </w:r>
    </w:p>
    <w:p>
      <w:pPr>
        <w:jc w:val="center"/>
      </w:pPr>
      <w:r>
        <w:rPr>
          <w:i/>
          <w:sz w:val="18"/>
        </w:rPr>
        <w:t>Figure 3. Total revenue by pickup borough.</w:t>
      </w:r>
    </w:p>
    <w:p>
      <w:r>
        <w:t>Manhattan overwhelmingly dominates yellow-taxi activity, accounting for roughly $757M of pickup revenue — close to 89% of the total — followed by Queens (driven almost entirely by the two airports). The outer boroughs (Brooklyn, Bronx, Staten Island) see very little yellow-taxi pickup activity, consistent with the fact that they are largely served by green taxis and for-hire vehicles. This concentration is a useful signal for fleet positioning.</w:t>
      </w:r>
    </w:p>
    <w:p>
      <w:pPr>
        <w:pStyle w:val="Heading2"/>
      </w:pPr>
      <w:r>
        <w:rPr>
          <w:color w:val="1F4E79"/>
        </w:rPr>
        <w:t>4.4 Tipping by payment method — a data-quality insight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Payment method</w:t>
            </w:r>
          </w:p>
        </w:tc>
        <w:tc>
          <w:tcPr>
            <w:tcW w:type="dxa" w:w="2880"/>
          </w:tcPr>
          <w:p>
            <w:r>
              <w:rPr>
                <w:b/>
                <w:sz w:val="18"/>
              </w:rPr>
              <w:t>trips</w:t>
            </w:r>
          </w:p>
        </w:tc>
        <w:tc>
          <w:tcPr>
            <w:tcW w:type="dxa" w:w="2880"/>
          </w:tcPr>
          <w:p>
            <w:r>
              <w:rPr>
                <w:b/>
                <w:sz w:val="18"/>
              </w:rPr>
              <w:t>avg_tip_pct</w:t>
            </w:r>
          </w:p>
        </w:tc>
      </w:tr>
      <w:tr>
        <w:tc>
          <w:tcPr>
            <w:tcW w:type="dxa" w:w="2880"/>
          </w:tcPr>
          <w:p>
            <w:r>
              <w:rPr>
                <w:sz w:val="18"/>
              </w:rPr>
              <w:t>Credit card</w:t>
            </w:r>
          </w:p>
        </w:tc>
        <w:tc>
          <w:tcPr>
            <w:tcW w:type="dxa" w:w="2880"/>
          </w:tcPr>
          <w:p>
            <w:r>
              <w:rPr>
                <w:sz w:val="18"/>
              </w:rPr>
              <w:t>29,875,493</w:t>
            </w:r>
          </w:p>
        </w:tc>
        <w:tc>
          <w:tcPr>
            <w:tcW w:type="dxa" w:w="2880"/>
          </w:tcPr>
          <w:p>
            <w:r>
              <w:rPr>
                <w:sz w:val="18"/>
              </w:rPr>
              <w:t>25.10</w:t>
            </w:r>
          </w:p>
        </w:tc>
      </w:tr>
      <w:tr>
        <w:tc>
          <w:tcPr>
            <w:tcW w:type="dxa" w:w="2880"/>
          </w:tcPr>
          <w:p>
            <w:r>
              <w:rPr>
                <w:sz w:val="18"/>
              </w:rPr>
              <w:t>Cash</w:t>
            </w:r>
          </w:p>
        </w:tc>
        <w:tc>
          <w:tcPr>
            <w:tcW w:type="dxa" w:w="2880"/>
          </w:tcPr>
          <w:p>
            <w:r>
              <w:rPr>
                <w:sz w:val="18"/>
              </w:rPr>
              <w:t>5,218,952</w:t>
            </w:r>
          </w:p>
        </w:tc>
        <w:tc>
          <w:tcPr>
            <w:tcW w:type="dxa" w:w="2880"/>
          </w:tcPr>
          <w:p>
            <w:r>
              <w:rPr>
                <w:sz w:val="18"/>
              </w:rPr>
              <w:t>0.00</w:t>
            </w:r>
          </w:p>
        </w:tc>
      </w:tr>
      <w:tr>
        <w:tc>
          <w:tcPr>
            <w:tcW w:type="dxa" w:w="2880"/>
          </w:tcPr>
          <w:p>
            <w:r>
              <w:rPr>
                <w:sz w:val="18"/>
              </w:rPr>
              <w:t>No charge</w:t>
            </w:r>
          </w:p>
        </w:tc>
        <w:tc>
          <w:tcPr>
            <w:tcW w:type="dxa" w:w="2880"/>
          </w:tcPr>
          <w:p>
            <w:r>
              <w:rPr>
                <w:sz w:val="18"/>
              </w:rPr>
              <w:t>149,706</w:t>
            </w:r>
          </w:p>
        </w:tc>
        <w:tc>
          <w:tcPr>
            <w:tcW w:type="dxa" w:w="2880"/>
          </w:tcPr>
          <w:p>
            <w:r>
              <w:rPr>
                <w:sz w:val="18"/>
              </w:rPr>
              <w:t>0.06</w:t>
            </w:r>
          </w:p>
        </w:tc>
      </w:tr>
      <w:tr>
        <w:tc>
          <w:tcPr>
            <w:tcW w:type="dxa" w:w="2880"/>
          </w:tcPr>
          <w:p>
            <w:r>
              <w:rPr>
                <w:sz w:val="18"/>
              </w:rPr>
              <w:t>Dispute</w:t>
            </w:r>
          </w:p>
        </w:tc>
        <w:tc>
          <w:tcPr>
            <w:tcW w:type="dxa" w:w="2880"/>
          </w:tcPr>
          <w:p>
            <w:r>
              <w:rPr>
                <w:sz w:val="18"/>
              </w:rPr>
              <w:t>384,278</w:t>
            </w:r>
          </w:p>
        </w:tc>
        <w:tc>
          <w:tcPr>
            <w:tcW w:type="dxa" w:w="2880"/>
          </w:tcPr>
          <w:p>
            <w:r>
              <w:rPr>
                <w:sz w:val="18"/>
              </w:rPr>
              <w:t>0.06</w:t>
            </w:r>
          </w:p>
        </w:tc>
      </w:tr>
    </w:tbl>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ig5_payment.png"/>
                    <pic:cNvPicPr/>
                  </pic:nvPicPr>
                  <pic:blipFill>
                    <a:blip r:embed="rId12"/>
                    <a:stretch>
                      <a:fillRect/>
                    </a:stretch>
                  </pic:blipFill>
                  <pic:spPr>
                    <a:xfrm>
                      <a:off x="0" y="0"/>
                      <a:ext cx="5669280" cy="3188970"/>
                    </a:xfrm>
                    <a:prstGeom prst="rect"/>
                  </pic:spPr>
                </pic:pic>
              </a:graphicData>
            </a:graphic>
          </wp:inline>
        </w:drawing>
      </w:r>
    </w:p>
    <w:p>
      <w:pPr>
        <w:jc w:val="center"/>
      </w:pPr>
      <w:r>
        <w:rPr>
          <w:i/>
          <w:sz w:val="18"/>
        </w:rPr>
        <w:t>Figure 5. Average tip % by payment method.</w:t>
      </w:r>
    </w:p>
    <w:p>
      <w:r>
        <w:t>This breakdown exposes an important characteristic of the data. Credit-card trips (29.9M, the large majority) average a 25.1% tip, but cash trips (5.2M) record an average tip of 0.0%. Cash passengers obviously do tip — the explanation is that the TLC data set only captures tips entered through the card reader; cash tips are never recorded. This matters for interpretation: the ~21% blended tip average reported earlier is diluted by cash trips showing as zero, so the true card-tipping rate (25.1%) is the more meaningful figure. Recognising this prevents a wrong conclusion and demonstrates why understanding how data is collected is as important as the analysis itself.</w:t>
      </w:r>
    </w:p>
    <w:p>
      <w:pPr>
        <w:pStyle w:val="Heading2"/>
      </w:pPr>
      <w:r>
        <w:rPr>
          <w:color w:val="1F4E79"/>
        </w:rPr>
        <w:t>4.5 Engine comparison: PySpark vs Pandas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Months</w:t>
            </w:r>
          </w:p>
        </w:tc>
        <w:tc>
          <w:tcPr>
            <w:tcW w:type="dxa" w:w="1728"/>
          </w:tcPr>
          <w:p>
            <w:r>
              <w:rPr>
                <w:b/>
                <w:sz w:val="18"/>
              </w:rPr>
              <w:t>Rows</w:t>
            </w:r>
          </w:p>
        </w:tc>
        <w:tc>
          <w:tcPr>
            <w:tcW w:type="dxa" w:w="1728"/>
          </w:tcPr>
          <w:p>
            <w:r>
              <w:rPr>
                <w:b/>
                <w:sz w:val="18"/>
              </w:rPr>
              <w:t>Pandas (s)</w:t>
            </w:r>
          </w:p>
        </w:tc>
        <w:tc>
          <w:tcPr>
            <w:tcW w:type="dxa" w:w="1728"/>
          </w:tcPr>
          <w:p>
            <w:r>
              <w:rPr>
                <w:b/>
                <w:sz w:val="18"/>
              </w:rPr>
              <w:t>Pandas peak MB</w:t>
            </w:r>
          </w:p>
        </w:tc>
        <w:tc>
          <w:tcPr>
            <w:tcW w:type="dxa" w:w="1728"/>
          </w:tcPr>
          <w:p>
            <w:r>
              <w:rPr>
                <w:b/>
                <w:sz w:val="18"/>
              </w:rPr>
              <w:t>Spark (s)</w:t>
            </w:r>
          </w:p>
        </w:tc>
      </w:tr>
      <w:tr>
        <w:tc>
          <w:tcPr>
            <w:tcW w:type="dxa" w:w="1728"/>
          </w:tcPr>
          <w:p>
            <w:r>
              <w:rPr>
                <w:sz w:val="18"/>
              </w:rPr>
              <w:t>1.00</w:t>
            </w:r>
          </w:p>
        </w:tc>
        <w:tc>
          <w:tcPr>
            <w:tcW w:type="dxa" w:w="1728"/>
          </w:tcPr>
          <w:p>
            <w:r>
              <w:rPr>
                <w:sz w:val="18"/>
              </w:rPr>
              <w:t>2,723,805</w:t>
            </w:r>
          </w:p>
        </w:tc>
        <w:tc>
          <w:tcPr>
            <w:tcW w:type="dxa" w:w="1728"/>
          </w:tcPr>
          <w:p>
            <w:r>
              <w:rPr>
                <w:sz w:val="18"/>
              </w:rPr>
              <w:t>0.20</w:t>
            </w:r>
          </w:p>
        </w:tc>
        <w:tc>
          <w:tcPr>
            <w:tcW w:type="dxa" w:w="1728"/>
          </w:tcPr>
          <w:p>
            <w:r>
              <w:rPr>
                <w:sz w:val="18"/>
              </w:rPr>
              <w:t>212.00</w:t>
            </w:r>
          </w:p>
        </w:tc>
        <w:tc>
          <w:tcPr>
            <w:tcW w:type="dxa" w:w="1728"/>
          </w:tcPr>
          <w:p>
            <w:r>
              <w:rPr>
                <w:sz w:val="18"/>
              </w:rPr>
              <w:t>3.40</w:t>
            </w:r>
          </w:p>
        </w:tc>
      </w:tr>
      <w:tr>
        <w:tc>
          <w:tcPr>
            <w:tcW w:type="dxa" w:w="1728"/>
          </w:tcPr>
          <w:p>
            <w:r>
              <w:rPr>
                <w:sz w:val="18"/>
              </w:rPr>
              <w:t>3.00</w:t>
            </w:r>
          </w:p>
        </w:tc>
        <w:tc>
          <w:tcPr>
            <w:tcW w:type="dxa" w:w="1728"/>
          </w:tcPr>
          <w:p>
            <w:r>
              <w:rPr>
                <w:sz w:val="18"/>
              </w:rPr>
              <w:t>8,479,650</w:t>
            </w:r>
          </w:p>
        </w:tc>
        <w:tc>
          <w:tcPr>
            <w:tcW w:type="dxa" w:w="1728"/>
          </w:tcPr>
          <w:p>
            <w:r>
              <w:rPr>
                <w:sz w:val="18"/>
              </w:rPr>
              <w:t>0.40</w:t>
            </w:r>
          </w:p>
        </w:tc>
        <w:tc>
          <w:tcPr>
            <w:tcW w:type="dxa" w:w="1728"/>
          </w:tcPr>
          <w:p>
            <w:r>
              <w:rPr>
                <w:sz w:val="18"/>
              </w:rPr>
              <w:t>939.00</w:t>
            </w:r>
          </w:p>
        </w:tc>
        <w:tc>
          <w:tcPr>
            <w:tcW w:type="dxa" w:w="1728"/>
          </w:tcPr>
          <w:p>
            <w:r>
              <w:rPr>
                <w:sz w:val="18"/>
              </w:rPr>
              <w:t>0.50</w:t>
            </w:r>
          </w:p>
        </w:tc>
      </w:tr>
      <w:tr>
        <w:tc>
          <w:tcPr>
            <w:tcW w:type="dxa" w:w="1728"/>
          </w:tcPr>
          <w:p>
            <w:r>
              <w:rPr>
                <w:sz w:val="18"/>
              </w:rPr>
              <w:t>6.00</w:t>
            </w:r>
          </w:p>
        </w:tc>
        <w:tc>
          <w:tcPr>
            <w:tcW w:type="dxa" w:w="1728"/>
          </w:tcPr>
          <w:p>
            <w:r>
              <w:rPr>
                <w:sz w:val="18"/>
              </w:rPr>
              <w:t>17,666,896</w:t>
            </w:r>
          </w:p>
        </w:tc>
        <w:tc>
          <w:tcPr>
            <w:tcW w:type="dxa" w:w="1728"/>
          </w:tcPr>
          <w:p>
            <w:r>
              <w:rPr>
                <w:sz w:val="18"/>
              </w:rPr>
              <w:t>1.10</w:t>
            </w:r>
          </w:p>
        </w:tc>
        <w:tc>
          <w:tcPr>
            <w:tcW w:type="dxa" w:w="1728"/>
          </w:tcPr>
          <w:p>
            <w:r>
              <w:rPr>
                <w:sz w:val="18"/>
              </w:rPr>
              <w:t>1,975.00</w:t>
            </w:r>
          </w:p>
        </w:tc>
        <w:tc>
          <w:tcPr>
            <w:tcW w:type="dxa" w:w="1728"/>
          </w:tcPr>
          <w:p>
            <w:r>
              <w:rPr>
                <w:sz w:val="18"/>
              </w:rPr>
              <w:t>0.70</w:t>
            </w:r>
          </w:p>
        </w:tc>
      </w:tr>
      <w:tr>
        <w:tc>
          <w:tcPr>
            <w:tcW w:type="dxa" w:w="1728"/>
          </w:tcPr>
          <w:p>
            <w:r>
              <w:rPr>
                <w:sz w:val="18"/>
              </w:rPr>
              <w:t>12.00</w:t>
            </w:r>
          </w:p>
        </w:tc>
        <w:tc>
          <w:tcPr>
            <w:tcW w:type="dxa" w:w="1728"/>
          </w:tcPr>
          <w:p>
            <w:r>
              <w:rPr>
                <w:sz w:val="18"/>
              </w:rPr>
              <w:t>35,629,110</w:t>
            </w:r>
          </w:p>
        </w:tc>
        <w:tc>
          <w:tcPr>
            <w:tcW w:type="dxa" w:w="1728"/>
          </w:tcPr>
          <w:p>
            <w:r>
              <w:rPr>
                <w:sz w:val="18"/>
              </w:rPr>
              <w:t>3.00</w:t>
            </w:r>
          </w:p>
        </w:tc>
        <w:tc>
          <w:tcPr>
            <w:tcW w:type="dxa" w:w="1728"/>
          </w:tcPr>
          <w:p>
            <w:r>
              <w:rPr>
                <w:sz w:val="18"/>
              </w:rPr>
              <w:t>3,990.00</w:t>
            </w:r>
          </w:p>
        </w:tc>
        <w:tc>
          <w:tcPr>
            <w:tcW w:type="dxa" w:w="1728"/>
          </w:tcPr>
          <w:p>
            <w:r>
              <w:rPr>
                <w:sz w:val="18"/>
              </w:rPr>
              <w:t>1.00</w:t>
            </w:r>
          </w:p>
        </w:tc>
      </w:tr>
    </w:tbl>
    <w:p>
      <w:pPr>
        <w:jc w:val="center"/>
      </w:pPr>
      <w:r>
        <w:drawing>
          <wp:inline xmlns:a="http://schemas.openxmlformats.org/drawingml/2006/main" xmlns:pic="http://schemas.openxmlformats.org/drawingml/2006/picture">
            <wp:extent cx="5669280" cy="2125980"/>
            <wp:docPr id="5" name="Picture 5"/>
            <wp:cNvGraphicFramePr>
              <a:graphicFrameLocks noChangeAspect="1"/>
            </wp:cNvGraphicFramePr>
            <a:graphic>
              <a:graphicData uri="http://schemas.openxmlformats.org/drawingml/2006/picture">
                <pic:pic>
                  <pic:nvPicPr>
                    <pic:cNvPr id="0" name="fig4_benchmark.png"/>
                    <pic:cNvPicPr/>
                  </pic:nvPicPr>
                  <pic:blipFill>
                    <a:blip r:embed="rId13"/>
                    <a:stretch>
                      <a:fillRect/>
                    </a:stretch>
                  </pic:blipFill>
                  <pic:spPr>
                    <a:xfrm>
                      <a:off x="0" y="0"/>
                      <a:ext cx="5669280" cy="2125980"/>
                    </a:xfrm>
                    <a:prstGeom prst="rect"/>
                  </pic:spPr>
                </pic:pic>
              </a:graphicData>
            </a:graphic>
          </wp:inline>
        </w:drawing>
      </w:r>
    </w:p>
    <w:p>
      <w:pPr>
        <w:jc w:val="center"/>
      </w:pPr>
      <w:r>
        <w:rPr>
          <w:i/>
          <w:sz w:val="18"/>
        </w:rPr>
        <w:t>Figure 4. Runtime and Pandas memory as the dataset grows.</w:t>
      </w:r>
    </w:p>
    <w:p>
      <w:r>
        <w:t>Both engines produce identical numerical results, confirming the implementations are equivalent. The interesting story is performance. On a single month Pandas is much faster (0.2 s vs 3.4 s) because Spark pays a fixed start-up cost for its JVM, query planner and shuffle machinery. But as data grows the picture inverts: by the full year Spark (1.0 s) is three times faster than Pandas (3.0 s), and — more importantly — Pandas' peak memory rises linearly with data, from 212 MB to nearly 4 GB. Extrapolating, at roughly five times this volume Pandas would exhaust a 16 GB machine and fail, whereas Spark's runtime stays almost flat and it can spill to disk and scale out across a cluster.</w:t>
      </w:r>
    </w:p>
    <w:p>
      <w:r>
        <w:t>The conclusion is nuanced and is the central lesson of the assignment: a big-data engine is not automatically faster — for data that fits in memory, a single-machine tool can win. Spark's value is scalability and robustness: it handles datasets larger than RAM with simple code and grows to cluster scale, which is precisely what “big data” demands. Pandas only kept up here because we manually chunked the input; Spark required no such effort.</w:t>
      </w:r>
    </w:p>
    <w:p>
      <w:pPr>
        <w:pStyle w:val="Heading1"/>
      </w:pPr>
      <w:r>
        <w:rPr>
          <w:color w:val="1F4E79"/>
        </w:rPr>
        <w:t>5. Individual Reflection</w:t>
      </w:r>
    </w:p>
    <w:p>
      <w:r>
        <w:rPr>
          <w:i/>
        </w:rPr>
        <w:t>NOTE TO AUTHORS: the two reflections below are drafts grounded in the real work done in this project. Personalise them in your own words and adjust any detail (e.g. which part you personally handled) before submitting — reflections should be individual. Delete this note.</w:t>
      </w:r>
    </w:p>
    <w:p>
      <w:pPr>
        <w:pStyle w:val="Heading2"/>
      </w:pPr>
      <w:r>
        <w:rPr>
          <w:color w:val="1F4E79"/>
        </w:rPr>
        <w:t>Member 1 — &lt;name&gt;</w:t>
      </w:r>
    </w:p>
    <w:p>
      <w:r>
        <w:t>The biggest thing I took away from this assignment is that “big data” is about scalability, not raw speed. Before starting, I assumed Spark would always beat Pandas. Our benchmark proved the opposite for small data: on a single month Pandas finished in 0.2 s while Spark took 3.4 s because of its fixed start-up cost (the JVM, query planner and shuffle setup). Only as the data grew to the full 35.6M rows did Spark pull clearly ahead (1.0 s vs 3.0 s). What really made the point was memory: Pandas' peak usage rose linearly to almost 4 GB, and we could see that at roughly five times the data it would exceed our 16 GB laptop and simply crash, whereas Spark's runtime stayed flat. That is the moment the value of a distributed engine clicked for me — it is what lets you process data that does not fit in memory, and scale the same code out to a cluster. Understanding the map-shuffle-reduce model also helped me see why our groupBy queries parallelise so well: each partition is mapped independently before the shuffle. If I did this again I would run it on a real cloud cluster (e.g. AWS EMR or Databricks) with a much larger dataset, because that is where Spark's advantage would be dramatic rather than marginal. (Approx. 230 words — edit to your own experience.)</w:t>
      </w:r>
    </w:p>
    <w:p>
      <w:pPr>
        <w:pStyle w:val="Heading2"/>
      </w:pPr>
      <w:r>
        <w:rPr>
          <w:color w:val="1F4E79"/>
        </w:rPr>
        <w:t>Member 2 — &lt;name&gt;</w:t>
      </w:r>
    </w:p>
    <w:p>
      <w:r>
        <w:t>My main lesson was that understanding the data matters as much as the processing technology. When we first computed the average tip we got about 21%, but breaking it down by payment method revealed that cash trips recorded a 0% tip. Cash riders clearly do tip — the TLC data only captures tips entered on the card reader — so the honest figure is the 25.1% card-tipping rate. Catching that stopped us from reporting a misleading number, and it taught me to always ask how a dataset was collected. I also learned a lot from the practical setup: Spark needs a Java runtime, and getting the environment right (installing Java 17 and pointing Spark at it) was a real hurdle before any analysis could run. Data cleaning was another eye-opener — 13.5% of the raw rows were invalid (zero fares, zero-distance or impossible trips), and applying the exact same filters in both the Spark and Pandas versions was essential to make the comparison fair. Seeing both engines produce identical numbers gave me confidence the logic was correct. Next time I would add trip-duration and speed analysis and visualise pickups on a map of the NYC zones, since the location data is rich and we only used part of it. (Approx. 230 words — edit to your own experience.)</w:t>
      </w:r>
    </w:p>
    <w:p>
      <w:pPr>
        <w:pStyle w:val="Heading1"/>
      </w:pPr>
      <w:r>
        <w:rPr>
          <w:color w:val="1F4E79"/>
        </w:rPr>
        <w:t>Appendix — Reproducing the Results</w:t>
      </w:r>
    </w:p>
    <w:p>
      <w:r>
        <w:t>All source code and instructions are in the GitHub repository linked on the title page. The dataset is downloaded from the TLC site (link in Section 2 and the README). To reproduce every table and figure:</w:t>
      </w:r>
    </w:p>
    <w:p>
      <w:r>
        <w:rPr>
          <w:rFonts w:ascii="Consolas" w:hAnsi="Consolas"/>
          <w:sz w:val="20"/>
        </w:rPr>
        <w:t>pip install -r requirements.txt</w:t>
      </w:r>
    </w:p>
    <w:p>
      <w:r>
        <w:rPr>
          <w:rFonts w:ascii="Consolas" w:hAnsi="Consolas"/>
          <w:sz w:val="20"/>
        </w:rPr>
        <w:t>conda install -c conda-forge openjdk=17   # Java 17 for Spark</w:t>
      </w:r>
    </w:p>
    <w:p>
      <w:r>
        <w:rPr>
          <w:rFonts w:ascii="Consolas" w:hAnsi="Consolas"/>
          <w:sz w:val="20"/>
        </w:rPr>
        <w:t>bash run_all.sh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