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E192C" w14:textId="27596C4B" w:rsidR="00D108C9" w:rsidRDefault="00D108C9" w:rsidP="00D108C9">
      <w:r w:rsidRPr="00D108C9">
        <w:t xml:space="preserve">Most investors think </w:t>
      </w:r>
      <w:r>
        <w:t>of</w:t>
      </w:r>
      <w:r w:rsidRPr="00D108C9">
        <w:t xml:space="preserve"> taxes as having a singular effect, taxes reduce returns</w:t>
      </w:r>
      <w:r>
        <w:t xml:space="preserve">. </w:t>
      </w:r>
      <w:r w:rsidRPr="00D108C9">
        <w:t xml:space="preserve">Selling a stock at a gain means writing a check to the government. While this is the reality of taxable investment accounts, it is also </w:t>
      </w:r>
      <w:r>
        <w:t>not the whole story</w:t>
      </w:r>
      <w:r w:rsidRPr="00D108C9">
        <w:t>.</w:t>
      </w:r>
    </w:p>
    <w:p w14:paraId="5C1F89E3" w14:textId="77777777" w:rsidR="00D108C9" w:rsidRPr="00D108C9" w:rsidRDefault="00D108C9" w:rsidP="00D108C9"/>
    <w:p w14:paraId="15488926" w14:textId="56893C7A" w:rsidR="00D108C9" w:rsidRDefault="00D108C9" w:rsidP="00D108C9">
      <w:r w:rsidRPr="00D108C9">
        <w:t xml:space="preserve">There is a secondary effect of capital gains tax that is </w:t>
      </w:r>
      <w:r>
        <w:t xml:space="preserve">rarely </w:t>
      </w:r>
      <w:r w:rsidRPr="00D108C9">
        <w:t>discussed and m</w:t>
      </w:r>
      <w:r>
        <w:t>ight</w:t>
      </w:r>
      <w:r w:rsidRPr="00D108C9">
        <w:t xml:space="preserve"> be completely unknown to many investors. </w:t>
      </w:r>
      <w:r>
        <w:t>Through taxation</w:t>
      </w:r>
      <w:r w:rsidR="00877E1A">
        <w:t>,</w:t>
      </w:r>
      <w:r>
        <w:t xml:space="preserve"> the government not only reduces the return of a taxable account, but it also reduces the risk. </w:t>
      </w:r>
      <w:r w:rsidRPr="00D108C9">
        <w:t>In a very real way, the government is</w:t>
      </w:r>
      <w:r>
        <w:t xml:space="preserve"> </w:t>
      </w:r>
      <w:r w:rsidRPr="00D108C9">
        <w:t>a silent partner in every investment decision you make. To illustrate the point, let’s do a little analysis. The assumptions for the experiment are as follows:</w:t>
      </w:r>
    </w:p>
    <w:p w14:paraId="47113571" w14:textId="77777777" w:rsidR="00D108C9" w:rsidRPr="00D108C9" w:rsidRDefault="00D108C9" w:rsidP="00D108C9"/>
    <w:p w14:paraId="1AC23A51" w14:textId="77777777" w:rsidR="00D108C9" w:rsidRPr="00D108C9" w:rsidRDefault="00D108C9" w:rsidP="00D108C9">
      <w:pPr>
        <w:numPr>
          <w:ilvl w:val="0"/>
          <w:numId w:val="1"/>
        </w:numPr>
      </w:pPr>
      <w:r w:rsidRPr="00D108C9">
        <w:t>There is an initial investment of$1,000,000 in a taxable brokerage account</w:t>
      </w:r>
    </w:p>
    <w:p w14:paraId="28440227" w14:textId="77777777" w:rsidR="00D108C9" w:rsidRPr="00D108C9" w:rsidRDefault="00D108C9" w:rsidP="00D108C9">
      <w:pPr>
        <w:numPr>
          <w:ilvl w:val="0"/>
          <w:numId w:val="1"/>
        </w:numPr>
      </w:pPr>
      <w:r w:rsidRPr="00D108C9">
        <w:t>The account is fully invested in the S&amp;P 500</w:t>
      </w:r>
    </w:p>
    <w:p w14:paraId="54136C02" w14:textId="77777777" w:rsidR="00D108C9" w:rsidRPr="00D108C9" w:rsidRDefault="00D108C9" w:rsidP="00D108C9">
      <w:pPr>
        <w:numPr>
          <w:ilvl w:val="0"/>
          <w:numId w:val="1"/>
        </w:numPr>
      </w:pPr>
      <w:r w:rsidRPr="00D108C9">
        <w:t>The account is held for forty years</w:t>
      </w:r>
    </w:p>
    <w:p w14:paraId="08235A67" w14:textId="77777777" w:rsidR="00D108C9" w:rsidRPr="00D108C9" w:rsidRDefault="00D108C9" w:rsidP="00D108C9">
      <w:pPr>
        <w:numPr>
          <w:ilvl w:val="0"/>
          <w:numId w:val="1"/>
        </w:numPr>
      </w:pPr>
      <w:r w:rsidRPr="00D108C9">
        <w:t>Dividends are ignored</w:t>
      </w:r>
    </w:p>
    <w:p w14:paraId="4F4FD472" w14:textId="77777777" w:rsidR="00D108C9" w:rsidRPr="00D108C9" w:rsidRDefault="00D108C9" w:rsidP="00D108C9">
      <w:pPr>
        <w:numPr>
          <w:ilvl w:val="0"/>
          <w:numId w:val="1"/>
        </w:numPr>
      </w:pPr>
      <w:r w:rsidRPr="00D108C9">
        <w:t>All gains are realized and taxed at the end of each year</w:t>
      </w:r>
    </w:p>
    <w:p w14:paraId="4495E7A4" w14:textId="77777777" w:rsidR="00D108C9" w:rsidRPr="00D108C9" w:rsidRDefault="00D108C9" w:rsidP="00D108C9">
      <w:pPr>
        <w:numPr>
          <w:ilvl w:val="0"/>
          <w:numId w:val="1"/>
        </w:numPr>
      </w:pPr>
      <w:r w:rsidRPr="00D108C9">
        <w:t>Losses can be carried forward indefinitely and used to offset future gains</w:t>
      </w:r>
    </w:p>
    <w:p w14:paraId="45E44A55" w14:textId="77777777" w:rsidR="00D108C9" w:rsidRDefault="00D108C9" w:rsidP="00D108C9">
      <w:pPr>
        <w:numPr>
          <w:ilvl w:val="0"/>
          <w:numId w:val="1"/>
        </w:numPr>
      </w:pPr>
      <w:r w:rsidRPr="00D108C9">
        <w:t>Capital Gains tax is a fixed 20% (regardless of holding period)</w:t>
      </w:r>
    </w:p>
    <w:p w14:paraId="6EE683E2" w14:textId="77777777" w:rsidR="00D108C9" w:rsidRPr="00D108C9" w:rsidRDefault="00D108C9" w:rsidP="00D108C9">
      <w:pPr>
        <w:ind w:left="720"/>
      </w:pPr>
    </w:p>
    <w:p w14:paraId="62046ADB" w14:textId="6DB8F6B8" w:rsidR="00D108C9" w:rsidRDefault="00D108C9" w:rsidP="00D108C9">
      <w:r w:rsidRPr="00D108C9">
        <w:t>With these assumptions in place, we can calculate the impact of taxes on the returns of the investor’s taxable account and compare them to the tax-free returns that the S&amp;P 500 produced. Click the image below to view a table detailing annual returns, taxes, and portfolio values for this analysis.</w:t>
      </w:r>
    </w:p>
    <w:p w14:paraId="3EA8BBCC" w14:textId="77777777" w:rsidR="00D108C9" w:rsidRPr="00D108C9" w:rsidRDefault="00D108C9" w:rsidP="00D108C9"/>
    <w:p w14:paraId="5E843470" w14:textId="533F4519" w:rsidR="00D108C9" w:rsidRDefault="00D108C9" w:rsidP="00D108C9">
      <w:r>
        <w:rPr>
          <w:noProof/>
        </w:rPr>
        <w:lastRenderedPageBreak/>
        <w:drawing>
          <wp:inline distT="0" distB="0" distL="0" distR="0" wp14:anchorId="74153B27" wp14:editId="2C5CC02A">
            <wp:extent cx="5943600" cy="4352925"/>
            <wp:effectExtent l="0" t="0" r="0" b="9525"/>
            <wp:docPr id="5587119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A65A" w14:textId="77777777" w:rsidR="00D108C9" w:rsidRPr="00D108C9" w:rsidRDefault="00D108C9" w:rsidP="00D108C9"/>
    <w:p w14:paraId="10DCA793" w14:textId="69E1F460" w:rsidR="00D108C9" w:rsidRDefault="00D108C9" w:rsidP="00D108C9">
      <w:r w:rsidRPr="00D108C9">
        <w:t>What is immediately obvious is that taxes reduce the magnitude of positive returns. After taxes</w:t>
      </w:r>
      <w:r w:rsidR="00877E1A">
        <w:t>,</w:t>
      </w:r>
      <w:r w:rsidRPr="00D108C9">
        <w:t xml:space="preserve"> the investor keeps less of that year’s gain. However, losses are not taxed and can be used to offset gains in future periods.</w:t>
      </w:r>
    </w:p>
    <w:p w14:paraId="6B462B6E" w14:textId="77777777" w:rsidR="00D108C9" w:rsidRPr="00D108C9" w:rsidRDefault="00D108C9" w:rsidP="00D108C9"/>
    <w:p w14:paraId="7C1561AE" w14:textId="10326467" w:rsidR="00D108C9" w:rsidRPr="00D108C9" w:rsidRDefault="00D108C9" w:rsidP="00D108C9">
      <w:r w:rsidRPr="00D108C9">
        <w:t>And this is where the story gets more interesting. Taxes reduce the upside and do not apply to the downside. A gain is shared with the government and realized losses create a benefit to the investor</w:t>
      </w:r>
      <w:r>
        <w:t xml:space="preserve"> that</w:t>
      </w:r>
      <w:r w:rsidRPr="00D108C9">
        <w:t xml:space="preserve"> reduc</w:t>
      </w:r>
      <w:r>
        <w:t>es</w:t>
      </w:r>
      <w:r w:rsidRPr="00D108C9">
        <w:t xml:space="preserve"> taxes in later years. </w:t>
      </w:r>
      <w:r>
        <w:t>The impact is that the</w:t>
      </w:r>
      <w:r w:rsidRPr="00D108C9">
        <w:t xml:space="preserve"> investor does not bear as much risk when taxed. This result may be more digestible in a visualization:</w:t>
      </w:r>
    </w:p>
    <w:p w14:paraId="5B5141A7" w14:textId="0868EBF1" w:rsidR="00D108C9" w:rsidRPr="00D108C9" w:rsidRDefault="00D108C9" w:rsidP="00D108C9">
      <w:r w:rsidRPr="00D108C9">
        <w:rPr>
          <w:noProof/>
        </w:rPr>
        <w:lastRenderedPageBreak/>
        <w:drawing>
          <wp:inline distT="0" distB="0" distL="0" distR="0" wp14:anchorId="53E2C00A" wp14:editId="6351EEB5">
            <wp:extent cx="5943600" cy="2195830"/>
            <wp:effectExtent l="0" t="0" r="0" b="0"/>
            <wp:docPr id="756168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07DCE" w14:textId="1C6901D6" w:rsidR="00D108C9" w:rsidRDefault="00D108C9" w:rsidP="00D108C9">
      <w:r w:rsidRPr="00D108C9">
        <w:t>The charts above show the pre</w:t>
      </w:r>
      <w:r w:rsidR="00877E1A">
        <w:t>-</w:t>
      </w:r>
      <w:r w:rsidRPr="00D108C9">
        <w:t xml:space="preserve">tax and post-tax return distributions generated by a Monte Carlo simulation </w:t>
      </w:r>
      <w:r>
        <w:t>calibrated</w:t>
      </w:r>
      <w:r w:rsidRPr="00D108C9">
        <w:t xml:space="preserve"> on </w:t>
      </w:r>
      <w:r>
        <w:t xml:space="preserve">the return </w:t>
      </w:r>
      <w:r w:rsidRPr="00D108C9">
        <w:t xml:space="preserve">data used to produce the initial analysis. What is important to note about the charts is that the standard deviation of the post-tax distribution is </w:t>
      </w:r>
      <w:r>
        <w:t>smaller</w:t>
      </w:r>
      <w:r w:rsidRPr="00D108C9">
        <w:t xml:space="preserve"> than the standard deviation of the pre-tax distribution. The standard deviation of a return series is the preferred measure of risk for many investors, and capital gains tax consistently reduces it for taxable accounts. The government takes a share of the reward, and it absorbs part of the risk.</w:t>
      </w:r>
    </w:p>
    <w:p w14:paraId="703920E6" w14:textId="77777777" w:rsidR="00D108C9" w:rsidRPr="00D108C9" w:rsidRDefault="00D108C9" w:rsidP="00D108C9"/>
    <w:p w14:paraId="45F73562" w14:textId="77777777" w:rsidR="00D108C9" w:rsidRDefault="00D108C9" w:rsidP="00D108C9">
      <w:r w:rsidRPr="00D108C9">
        <w:t>This does not make taxes good, and it does not mean that investors should realize gains unnecessarily, ignore tax-efficient investments, or allocate more to taxable accounts. The point is more subtle; taxes change the shape of investment outcomes, not just their size.</w:t>
      </w:r>
    </w:p>
    <w:p w14:paraId="2E86D681" w14:textId="77777777" w:rsidR="00D108C9" w:rsidRPr="00D108C9" w:rsidRDefault="00D108C9" w:rsidP="00D108C9"/>
    <w:p w14:paraId="37C7B982" w14:textId="229E4228" w:rsidR="00D108C9" w:rsidRPr="00D108C9" w:rsidRDefault="00D108C9" w:rsidP="00D108C9">
      <w:r w:rsidRPr="00D108C9">
        <w:t>For anyone managing a taxable portfolio, that distinction matters. The tax system is not just a drag on returns. It is also a risk-sharing mechanism.</w:t>
      </w:r>
      <w:r w:rsidR="00877E1A">
        <w:t xml:space="preserve"> T</w:t>
      </w:r>
      <w:r w:rsidRPr="00D108C9">
        <w:t xml:space="preserve">axable accounts should be managed with this </w:t>
      </w:r>
      <w:r w:rsidR="00F67542">
        <w:t>fact</w:t>
      </w:r>
      <w:r w:rsidRPr="00D108C9">
        <w:t xml:space="preserve"> in mind.</w:t>
      </w:r>
    </w:p>
    <w:p w14:paraId="52B90EF1" w14:textId="77777777" w:rsidR="00C912A4" w:rsidRDefault="00C912A4"/>
    <w:p w14:paraId="4043804A" w14:textId="789D7D02" w:rsidR="00F67542" w:rsidRPr="00F67542" w:rsidRDefault="00F67542" w:rsidP="00F67542">
      <w:pPr>
        <w:tabs>
          <w:tab w:val="left" w:pos="5310"/>
        </w:tabs>
      </w:pPr>
      <w:r>
        <w:tab/>
      </w:r>
    </w:p>
    <w:sectPr w:rsidR="00F67542" w:rsidRPr="00F6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A618B"/>
    <w:multiLevelType w:val="multilevel"/>
    <w:tmpl w:val="B326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062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DF"/>
    <w:rsid w:val="003155C9"/>
    <w:rsid w:val="003E5292"/>
    <w:rsid w:val="00512DC9"/>
    <w:rsid w:val="005C5A33"/>
    <w:rsid w:val="006E22AF"/>
    <w:rsid w:val="007E47DF"/>
    <w:rsid w:val="00877E1A"/>
    <w:rsid w:val="00C912A4"/>
    <w:rsid w:val="00D108C9"/>
    <w:rsid w:val="00F6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654A6"/>
  <w15:chartTrackingRefBased/>
  <w15:docId w15:val="{C3266F9C-02A8-4DCF-AC21-0225777A0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2AF"/>
  </w:style>
  <w:style w:type="paragraph" w:styleId="Heading1">
    <w:name w:val="heading 1"/>
    <w:basedOn w:val="Normal"/>
    <w:next w:val="Normal"/>
    <w:link w:val="Heading1Char"/>
    <w:uiPriority w:val="9"/>
    <w:qFormat/>
    <w:rsid w:val="006E2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2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2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2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2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2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2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2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2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2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2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2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2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E22A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E2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2A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2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2A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6E22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2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8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108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y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Wilson</dc:creator>
  <cp:keywords/>
  <dc:description/>
  <cp:lastModifiedBy>Ben Wilson</cp:lastModifiedBy>
  <cp:revision>3</cp:revision>
  <dcterms:created xsi:type="dcterms:W3CDTF">2026-09-08T13:07:00Z</dcterms:created>
  <dcterms:modified xsi:type="dcterms:W3CDTF">2026-09-08T20:12:00Z</dcterms:modified>
</cp:coreProperties>
</file>