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5D918" w14:textId="77777777" w:rsidR="006E161F" w:rsidRDefault="00000000">
      <w:pPr>
        <w:spacing w:before="240" w:after="80"/>
      </w:pPr>
      <w:r>
        <w:rPr>
          <w:b/>
          <w:bCs/>
          <w:color w:val="1F3A6E"/>
          <w:sz w:val="52"/>
          <w:szCs w:val="52"/>
        </w:rPr>
        <w:t>TESLA: THE AUTONOMY WAGER</w:t>
      </w:r>
    </w:p>
    <w:p w14:paraId="38A5D919" w14:textId="77777777" w:rsidR="006E161F" w:rsidRDefault="00000000">
      <w:pPr>
        <w:spacing w:after="60"/>
      </w:pPr>
      <w:r>
        <w:rPr>
          <w:i/>
          <w:iCs/>
          <w:color w:val="555555"/>
        </w:rPr>
        <w:t>Essay 1 of 3  —  Investment Thesis, Business Model &amp; Industry Analysis</w:t>
      </w:r>
    </w:p>
    <w:p w14:paraId="38A5D91A" w14:textId="77777777" w:rsidR="006E161F" w:rsidRDefault="006E161F">
      <w:pPr>
        <w:pBdr>
          <w:bottom w:val="single" w:sz="10" w:space="8" w:color="2E5FA3"/>
        </w:pBdr>
        <w:spacing w:after="320"/>
      </w:pPr>
    </w:p>
    <w:p w14:paraId="38A5D91B" w14:textId="77777777" w:rsidR="006E161F" w:rsidRDefault="00000000">
      <w:pPr>
        <w:pStyle w:val="Heading1"/>
        <w:pBdr>
          <w:bottom w:val="single" w:sz="6" w:space="6" w:color="2E5FA3"/>
        </w:pBdr>
      </w:pPr>
      <w:r>
        <w:t>I. Investment Thesis</w:t>
      </w:r>
    </w:p>
    <w:p w14:paraId="38A5D91C" w14:textId="77777777" w:rsidR="006E161F" w:rsidRDefault="00000000">
      <w:pPr>
        <w:spacing w:before="80" w:after="80" w:line="320" w:lineRule="auto"/>
        <w:jc w:val="both"/>
      </w:pPr>
      <w:r>
        <w:rPr>
          <w:color w:val="1A1A1A"/>
        </w:rPr>
        <w:t>At its surface, Tesla is an electric vehicle company navigating a maturing, increasingly commoditised market. Beneath that surface, however, lies a very different investment proposition. The central claim of this analysis is that Tesla is undervalued on a probability-weighted, forward-looking basis — not because the market is ignoring it, but because it is systematically mispricing two specific things: the probability-adjusted value of autonomy, and the optionality that a successful Robotaxi platform represents.</w:t>
      </w:r>
    </w:p>
    <w:p w14:paraId="38A5D91D" w14:textId="77777777" w:rsidR="006E161F" w:rsidRDefault="006E161F">
      <w:pPr>
        <w:spacing w:before="80"/>
      </w:pPr>
    </w:p>
    <w:p w14:paraId="38A5D91E" w14:textId="77777777" w:rsidR="006E161F" w:rsidRDefault="00000000">
      <w:pPr>
        <w:spacing w:before="80" w:after="80" w:line="320" w:lineRule="auto"/>
        <w:jc w:val="both"/>
      </w:pPr>
      <w:r>
        <w:rPr>
          <w:color w:val="1A1A1A"/>
        </w:rPr>
        <w:t>To understand why, consider how Tesla should be framed. Rather than treating it as a single business, the appropriate analytical lens is a three-layer company:</w:t>
      </w:r>
    </w:p>
    <w:p w14:paraId="38A5D91F" w14:textId="77777777" w:rsidR="006E161F" w:rsidRDefault="006E161F">
      <w:pPr>
        <w:spacing w:before="60"/>
      </w:pPr>
    </w:p>
    <w:p w14:paraId="38A5D920" w14:textId="77777777" w:rsidR="006E161F" w:rsidRDefault="00000000">
      <w:pPr>
        <w:pStyle w:val="ListParagraph"/>
        <w:numPr>
          <w:ilvl w:val="0"/>
          <w:numId w:val="2"/>
        </w:numPr>
        <w:spacing w:before="60" w:after="60" w:line="300" w:lineRule="auto"/>
      </w:pPr>
      <w:r>
        <w:rPr>
          <w:color w:val="1A1A1A"/>
        </w:rPr>
        <w:t>Layer 1 — EV Manufacturing: the baseline cash flow engine that funds the broader ambition.</w:t>
      </w:r>
    </w:p>
    <w:p w14:paraId="38A5D921" w14:textId="77777777" w:rsidR="006E161F" w:rsidRDefault="00000000">
      <w:pPr>
        <w:pStyle w:val="ListParagraph"/>
        <w:numPr>
          <w:ilvl w:val="0"/>
          <w:numId w:val="2"/>
        </w:numPr>
        <w:spacing w:before="60" w:after="60" w:line="300" w:lineRule="auto"/>
      </w:pPr>
      <w:r>
        <w:rPr>
          <w:color w:val="1A1A1A"/>
        </w:rPr>
        <w:t>Layer 2 — FSD Software: the margin expansion driver, shifting Tesla from hardware seller to recurring-revenue software platform.</w:t>
      </w:r>
    </w:p>
    <w:p w14:paraId="38A5D922" w14:textId="77777777" w:rsidR="006E161F" w:rsidRDefault="00000000">
      <w:pPr>
        <w:pStyle w:val="ListParagraph"/>
        <w:numPr>
          <w:ilvl w:val="0"/>
          <w:numId w:val="2"/>
        </w:numPr>
        <w:spacing w:before="60" w:after="60" w:line="300" w:lineRule="auto"/>
      </w:pPr>
      <w:r>
        <w:rPr>
          <w:color w:val="1A1A1A"/>
        </w:rPr>
        <w:t>Layer 3 — Robotaxi Platform: the high-variance, asymmetric upside option that transforms the unit economics of every vehicle in Tesla's fleet.</w:t>
      </w:r>
    </w:p>
    <w:p w14:paraId="38A5D923" w14:textId="77777777" w:rsidR="006E161F" w:rsidRDefault="006E161F">
      <w:pPr>
        <w:spacing w:before="80"/>
      </w:pPr>
    </w:p>
    <w:p w14:paraId="38A5D924" w14:textId="77777777" w:rsidR="006E161F" w:rsidRDefault="00000000">
      <w:pPr>
        <w:spacing w:before="80" w:after="80" w:line="320" w:lineRule="auto"/>
        <w:jc w:val="both"/>
      </w:pPr>
      <w:r>
        <w:rPr>
          <w:color w:val="1A1A1A"/>
        </w:rPr>
        <w:t>Each layer has a distinct risk profile, timeline, and valuation contribution. The market's error, this analysis argues, is in collapsing these three into a single EV narrative, which causes it to over-penalise near-term timeline uncertainty and regulatory friction while under-representing the convex upside embedded in the Robotaxi layer.</w:t>
      </w:r>
    </w:p>
    <w:p w14:paraId="38A5D925" w14:textId="77777777" w:rsidR="006E161F" w:rsidRDefault="006E161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161F" w14:paraId="38A5D928" w14:textId="77777777">
        <w:tc>
          <w:tcPr>
            <w:tcW w:w="9360" w:type="dxa"/>
            <w:tcBorders>
              <w:top w:val="single" w:sz="8" w:space="0" w:color="2E5FA3"/>
              <w:left w:val="thick" w:sz="20" w:space="0" w:color="2E5FA3"/>
              <w:bottom w:val="single" w:sz="8" w:space="0" w:color="2E5FA3"/>
              <w:right w:val="none" w:sz="0" w:space="0" w:color="FFFFFF"/>
            </w:tcBorders>
            <w:shd w:val="clear" w:color="auto" w:fill="EEF2F7"/>
            <w:tcMar>
              <w:top w:w="160" w:type="dxa"/>
              <w:left w:w="240" w:type="dxa"/>
              <w:bottom w:w="160" w:type="dxa"/>
              <w:right w:w="240" w:type="dxa"/>
            </w:tcMar>
          </w:tcPr>
          <w:p w14:paraId="38A5D926" w14:textId="77777777" w:rsidR="006E161F" w:rsidRDefault="00000000">
            <w:pPr>
              <w:spacing w:after="60"/>
            </w:pPr>
            <w:r>
              <w:rPr>
                <w:b/>
                <w:bCs/>
                <w:caps/>
                <w:color w:val="2E5FA3"/>
                <w:sz w:val="18"/>
                <w:szCs w:val="18"/>
              </w:rPr>
              <w:t>CORE CLAIM</w:t>
            </w:r>
          </w:p>
          <w:p w14:paraId="38A5D927" w14:textId="77777777" w:rsidR="006E161F" w:rsidRDefault="00000000">
            <w:r>
              <w:rPr>
                <w:i/>
                <w:iCs/>
                <w:color w:val="1A1A1A"/>
              </w:rPr>
              <w:t>Tesla is not being undervalued because the market is blind to its potential — it is being undervalued because the market conflates execution uncertainty with long-term structural irrelevance. These are not the same thing.</w:t>
            </w:r>
          </w:p>
        </w:tc>
      </w:tr>
    </w:tbl>
    <w:p w14:paraId="38A5D929" w14:textId="77777777" w:rsidR="006E161F" w:rsidRDefault="006E161F">
      <w:pPr>
        <w:spacing w:before="120"/>
      </w:pPr>
    </w:p>
    <w:p w14:paraId="38A5D92A" w14:textId="77777777" w:rsidR="006E161F" w:rsidRDefault="00000000">
      <w:pPr>
        <w:pStyle w:val="Heading2"/>
      </w:pPr>
      <w:r>
        <w:t>1.1  Why the Market Misprices Tesla</w:t>
      </w:r>
    </w:p>
    <w:p w14:paraId="38A5D92B" w14:textId="77777777" w:rsidR="006E161F" w:rsidRDefault="00000000">
      <w:pPr>
        <w:spacing w:before="80" w:after="80" w:line="320" w:lineRule="auto"/>
        <w:jc w:val="both"/>
      </w:pPr>
      <w:r>
        <w:rPr>
          <w:color w:val="1A1A1A"/>
        </w:rPr>
        <w:lastRenderedPageBreak/>
        <w:t>The two key market concerns are EV competition and execution risk, and both are real — but both are also framed in a way that distorts the investment calculus.</w:t>
      </w:r>
    </w:p>
    <w:p w14:paraId="38A5D92C" w14:textId="77777777" w:rsidR="006E161F" w:rsidRDefault="006E161F">
      <w:pPr>
        <w:spacing w:before="80"/>
      </w:pPr>
    </w:p>
    <w:p w14:paraId="38A5D92D" w14:textId="77777777" w:rsidR="006E161F" w:rsidRDefault="00000000">
      <w:pPr>
        <w:spacing w:before="200" w:after="80"/>
      </w:pPr>
      <w:r>
        <w:rPr>
          <w:b/>
          <w:bCs/>
          <w:color w:val="333333"/>
          <w:sz w:val="23"/>
          <w:szCs w:val="23"/>
        </w:rPr>
        <w:t>EV Competition</w:t>
      </w:r>
    </w:p>
    <w:p w14:paraId="38A5D92E" w14:textId="77777777" w:rsidR="006E161F" w:rsidRDefault="00000000">
      <w:pPr>
        <w:spacing w:before="80" w:after="80" w:line="320" w:lineRule="auto"/>
        <w:jc w:val="both"/>
      </w:pPr>
      <w:r>
        <w:rPr>
          <w:color w:val="1A1A1A"/>
        </w:rPr>
        <w:t>Competitors such as BYD have placed sustained price pressure on the EV market, compressing margins and accelerating the commoditisation of EV hardware. This is a valid concern for a company whose value is grounded in vehicle sales. But it is the wrong concern for a company whose thesis rests on software monetisation and fleet economics.</w:t>
      </w:r>
    </w:p>
    <w:p w14:paraId="38A5D92F" w14:textId="77777777" w:rsidR="006E161F" w:rsidRDefault="006E161F">
      <w:pPr>
        <w:spacing w:before="60"/>
      </w:pPr>
    </w:p>
    <w:p w14:paraId="38A5D930" w14:textId="77777777" w:rsidR="006E161F" w:rsidRDefault="00000000">
      <w:pPr>
        <w:spacing w:before="80" w:after="80" w:line="320" w:lineRule="auto"/>
        <w:jc w:val="both"/>
      </w:pPr>
      <w:r>
        <w:rPr>
          <w:color w:val="1A1A1A"/>
        </w:rPr>
        <w:t>The critical insight is this: the more commoditised the EV business becomes, the more Tesla's valuation must — and in the bull case, will — depend on its software stack. EV competition matters less if Tesla successfully transitions to software-defined revenue. The threat is not existential; it is a forcing function that accelerates the relevance of Layers 2 and 3.</w:t>
      </w:r>
    </w:p>
    <w:p w14:paraId="38A5D931" w14:textId="77777777" w:rsidR="006E161F" w:rsidRDefault="006E161F">
      <w:pPr>
        <w:spacing w:before="80"/>
      </w:pPr>
    </w:p>
    <w:p w14:paraId="38A5D932" w14:textId="77777777" w:rsidR="006E161F" w:rsidRDefault="00000000">
      <w:pPr>
        <w:spacing w:before="200" w:after="80"/>
      </w:pPr>
      <w:r>
        <w:rPr>
          <w:b/>
          <w:bCs/>
          <w:color w:val="333333"/>
          <w:sz w:val="23"/>
          <w:szCs w:val="23"/>
        </w:rPr>
        <w:t>Execution and Timeline Risk</w:t>
      </w:r>
    </w:p>
    <w:p w14:paraId="38A5D933" w14:textId="77777777" w:rsidR="006E161F" w:rsidRDefault="00000000">
      <w:pPr>
        <w:spacing w:before="80" w:after="80" w:line="320" w:lineRule="auto"/>
        <w:jc w:val="both"/>
      </w:pPr>
      <w:r>
        <w:rPr>
          <w:color w:val="1A1A1A"/>
        </w:rPr>
        <w:t>The second concern is more substantive. The key uncertainty is not whether full autonomy is achievable in principle — the broader industry has largely converged on the view that it is — but when it becomes commercially scalable. Delays in unsupervised FSD rollout, slow Robotaxi scaling, or constraints in Tesla's vision-only approach could trigger sharp expectation resets. Even modest delays can produce large valuation compressions, because the market prices in future cash flows on a discounted basis.</w:t>
      </w:r>
    </w:p>
    <w:p w14:paraId="38A5D934" w14:textId="77777777" w:rsidR="006E161F" w:rsidRDefault="006E161F">
      <w:pPr>
        <w:spacing w:before="60"/>
      </w:pPr>
    </w:p>
    <w:p w14:paraId="38A5D935" w14:textId="77777777" w:rsidR="006E161F" w:rsidRDefault="00000000">
      <w:pPr>
        <w:spacing w:before="80" w:after="80" w:line="320" w:lineRule="auto"/>
        <w:jc w:val="both"/>
      </w:pPr>
      <w:r>
        <w:rPr>
          <w:color w:val="1A1A1A"/>
        </w:rPr>
        <w:t>However, the market's tendency to penalise uncertainty with a blunt discount misses the asymmetric structure of the payoff. A small probability of a very large outcome — in this case, a functioning Robotaxi platform at scale — can be rationally worth more than a high probability of a moderate outcome. That asymmetry is the heart of the investment case.</w:t>
      </w:r>
    </w:p>
    <w:p w14:paraId="38A5D936" w14:textId="77777777" w:rsidR="006E161F" w:rsidRDefault="006E161F">
      <w:pPr>
        <w:spacing w:before="120"/>
      </w:pPr>
    </w:p>
    <w:p w14:paraId="38A5D937" w14:textId="77777777" w:rsidR="006E161F" w:rsidRDefault="00000000">
      <w:pPr>
        <w:pStyle w:val="Heading1"/>
        <w:pBdr>
          <w:bottom w:val="single" w:sz="6" w:space="6" w:color="2E5FA3"/>
        </w:pBdr>
      </w:pPr>
      <w:r>
        <w:t>II. Business Model Transformation</w:t>
      </w:r>
    </w:p>
    <w:p w14:paraId="38A5D938" w14:textId="77777777" w:rsidR="006E161F" w:rsidRDefault="00000000">
      <w:pPr>
        <w:spacing w:before="80" w:after="80" w:line="320" w:lineRule="auto"/>
        <w:jc w:val="both"/>
      </w:pPr>
      <w:r>
        <w:rPr>
          <w:color w:val="1A1A1A"/>
        </w:rPr>
        <w:t>Tesla's most significant strategic shift is not technological — it is economic. The transition from a vehicle manufacturer to a software-and-services platform fundamentally alters how value is created per asset, how margins behave at scale, and how the company should be valued.</w:t>
      </w:r>
    </w:p>
    <w:p w14:paraId="38A5D939" w14:textId="77777777" w:rsidR="006E161F" w:rsidRDefault="006E161F">
      <w:pPr>
        <w:spacing w:before="100"/>
      </w:pPr>
    </w:p>
    <w:p w14:paraId="38A5D93A" w14:textId="77777777" w:rsidR="006E161F" w:rsidRDefault="00000000">
      <w:pPr>
        <w:pStyle w:val="Heading2"/>
      </w:pPr>
      <w:r>
        <w:t>2.1  The FSD Commercialisation Lever</w:t>
      </w:r>
    </w:p>
    <w:p w14:paraId="38A5D93B" w14:textId="77777777" w:rsidR="006E161F" w:rsidRDefault="00000000">
      <w:pPr>
        <w:spacing w:before="80" w:after="80" w:line="320" w:lineRule="auto"/>
        <w:jc w:val="both"/>
      </w:pPr>
      <w:r>
        <w:rPr>
          <w:color w:val="1A1A1A"/>
        </w:rPr>
        <w:lastRenderedPageBreak/>
        <w:t>The move from an $8,000 upfront FSD purchase to a $99 per month subscription model is not merely a pricing change — it is a monetisation architecture change. At $8,000, adoption is constrained by upfront willingness to pay. At $99 per month, the barrier to entry drops dramatically, and adoption becomes a function of perceived ongoing value rather than a one-time capital commitment.</w:t>
      </w:r>
    </w:p>
    <w:p w14:paraId="38A5D93C" w14:textId="77777777" w:rsidR="006E161F" w:rsidRDefault="006E161F">
      <w:pPr>
        <w:spacing w:before="60"/>
      </w:pPr>
    </w:p>
    <w:p w14:paraId="38A5D93D" w14:textId="77777777" w:rsidR="006E161F" w:rsidRDefault="00000000">
      <w:pPr>
        <w:spacing w:before="80" w:after="80" w:line="320" w:lineRule="auto"/>
        <w:jc w:val="both"/>
      </w:pPr>
      <w:r>
        <w:rPr>
          <w:color w:val="1A1A1A"/>
        </w:rPr>
        <w:t>This matters enormously for the valuation model. The revenue formula for the FSD layer is straightforward:</w:t>
      </w:r>
    </w:p>
    <w:p w14:paraId="38A5D93E" w14:textId="77777777" w:rsidR="006E161F" w:rsidRDefault="006E161F">
      <w:pPr>
        <w:spacing w:before="40"/>
      </w:pPr>
    </w:p>
    <w:p w14:paraId="38A5D93F" w14:textId="77777777" w:rsidR="006E161F" w:rsidRDefault="00000000">
      <w:pPr>
        <w:spacing w:before="100" w:after="100"/>
        <w:jc w:val="center"/>
      </w:pPr>
      <w:r>
        <w:rPr>
          <w:b/>
          <w:bCs/>
          <w:color w:val="1F3A6E"/>
        </w:rPr>
        <w:t>Revenue  =  Penetration Rate  ×  ARPU  ×  Fleet Size</w:t>
      </w:r>
    </w:p>
    <w:p w14:paraId="38A5D940" w14:textId="77777777" w:rsidR="006E161F" w:rsidRDefault="006E161F">
      <w:pPr>
        <w:spacing w:before="40"/>
      </w:pPr>
    </w:p>
    <w:p w14:paraId="38A5D941" w14:textId="2F535E70" w:rsidR="006E161F" w:rsidRDefault="00000000">
      <w:pPr>
        <w:spacing w:before="80" w:after="80" w:line="320" w:lineRule="auto"/>
        <w:jc w:val="both"/>
      </w:pPr>
      <w:r>
        <w:rPr>
          <w:color w:val="1A1A1A"/>
        </w:rPr>
        <w:t xml:space="preserve">At $99 per month, the </w:t>
      </w:r>
      <w:r w:rsidR="005C6239">
        <w:rPr>
          <w:color w:val="1A1A1A"/>
        </w:rPr>
        <w:t>average</w:t>
      </w:r>
      <w:r>
        <w:rPr>
          <w:color w:val="1A1A1A"/>
        </w:rPr>
        <w:t xml:space="preserve"> revenue per </w:t>
      </w:r>
      <w:r w:rsidR="005C6239">
        <w:rPr>
          <w:color w:val="1A1A1A"/>
        </w:rPr>
        <w:t>user</w:t>
      </w:r>
      <w:r>
        <w:rPr>
          <w:color w:val="1A1A1A"/>
        </w:rPr>
        <w:t xml:space="preserve"> (ARPU) is approximately $1,200. With software margins of 70–80%, this is a high-quality, recurring revenue stream. The critical variable — and the one that most directly determines whether the FSD layer generates meaningful value — is penetration rate. At this stage, penetration rate matters more than near-term revenue maximisation; building the subscriber base at scale is what creates a durable, compounding revenue engine.</w:t>
      </w:r>
    </w:p>
    <w:p w14:paraId="38A5D942" w14:textId="77777777" w:rsidR="006E161F" w:rsidRDefault="006E161F">
      <w:pPr>
        <w:spacing w:before="60"/>
      </w:pPr>
    </w:p>
    <w:p w14:paraId="38A5D943" w14:textId="77777777" w:rsidR="006E161F" w:rsidRDefault="00000000">
      <w:pPr>
        <w:spacing w:before="80" w:after="80" w:line="320" w:lineRule="auto"/>
        <w:jc w:val="both"/>
      </w:pPr>
      <w:r>
        <w:rPr>
          <w:color w:val="1A1A1A"/>
        </w:rPr>
        <w:t>Modelling out the FSD layer against Tesla's forward fleet of approximately 8–10 million vehicles (on a 5–7 year horizon), the numbers become significant. A 30% penetration rate yields roughly 2.7 million subscribers, generating approximately $3.2 billion in annual revenue and around $2.4 billion in profit at 75% margins. Applied a 25–30x multiple consistent with software-like businesses, this implies a standalone valuation contribution of $60–70 billion. At 50% penetration, that figure rises to $100–120 billion.</w:t>
      </w:r>
    </w:p>
    <w:p w14:paraId="38A5D944" w14:textId="77777777" w:rsidR="006E161F" w:rsidRDefault="006E161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161F" w14:paraId="38A5D947" w14:textId="77777777">
        <w:tc>
          <w:tcPr>
            <w:tcW w:w="9360" w:type="dxa"/>
            <w:tcBorders>
              <w:top w:val="single" w:sz="8" w:space="0" w:color="2E5FA3"/>
              <w:left w:val="thick" w:sz="20" w:space="0" w:color="2E5FA3"/>
              <w:bottom w:val="single" w:sz="8" w:space="0" w:color="2E5FA3"/>
              <w:right w:val="none" w:sz="0" w:space="0" w:color="FFFFFF"/>
            </w:tcBorders>
            <w:shd w:val="clear" w:color="auto" w:fill="EEF2F7"/>
            <w:tcMar>
              <w:top w:w="160" w:type="dxa"/>
              <w:left w:w="240" w:type="dxa"/>
              <w:bottom w:w="160" w:type="dxa"/>
              <w:right w:w="240" w:type="dxa"/>
            </w:tcMar>
          </w:tcPr>
          <w:p w14:paraId="38A5D945" w14:textId="77777777" w:rsidR="006E161F" w:rsidRDefault="00000000">
            <w:pPr>
              <w:spacing w:after="60"/>
            </w:pPr>
            <w:r>
              <w:rPr>
                <w:b/>
                <w:bCs/>
                <w:caps/>
                <w:color w:val="2E5FA3"/>
                <w:sz w:val="18"/>
                <w:szCs w:val="18"/>
              </w:rPr>
              <w:t>KEY INSIGHT</w:t>
            </w:r>
          </w:p>
          <w:p w14:paraId="38A5D946" w14:textId="77777777" w:rsidR="006E161F" w:rsidRDefault="00000000">
            <w:r>
              <w:rPr>
                <w:i/>
                <w:iCs/>
                <w:color w:val="1A1A1A"/>
              </w:rPr>
              <w:t>The FSD subscription model transforms Tesla from a one-time hardware seller into a recurring-revenue software business. The penetration rate is the single most important near-term variable to monitor.</w:t>
            </w:r>
          </w:p>
        </w:tc>
      </w:tr>
    </w:tbl>
    <w:p w14:paraId="38A5D948" w14:textId="77777777" w:rsidR="006E161F" w:rsidRDefault="006E161F">
      <w:pPr>
        <w:spacing w:before="120"/>
      </w:pPr>
    </w:p>
    <w:p w14:paraId="38A5D949" w14:textId="77777777" w:rsidR="006E161F" w:rsidRDefault="00000000">
      <w:pPr>
        <w:pStyle w:val="Heading2"/>
      </w:pPr>
      <w:r>
        <w:t>2.2  The Robotaxi Platform — From Asset Sale to Revenue-Generating Asset</w:t>
      </w:r>
    </w:p>
    <w:p w14:paraId="38A5D94A" w14:textId="77777777" w:rsidR="006E161F" w:rsidRDefault="00000000">
      <w:pPr>
        <w:spacing w:before="80" w:after="80" w:line="320" w:lineRule="auto"/>
        <w:jc w:val="both"/>
      </w:pPr>
      <w:r>
        <w:rPr>
          <w:color w:val="1A1A1A"/>
        </w:rPr>
        <w:t>The Robotaxi layer represents the most structurally significant — and most uncertain — dimension of Tesla's transformation. The logic is compelling: a privately-owned vehicle generates one-time revenue at point of sale. A Robotaxi generates revenue continuously over its operational life. The economics of utilisation, not production, become the dominant driver of value.</w:t>
      </w:r>
    </w:p>
    <w:p w14:paraId="38A5D94B" w14:textId="77777777" w:rsidR="006E161F" w:rsidRDefault="006E161F">
      <w:pPr>
        <w:spacing w:before="60"/>
      </w:pPr>
    </w:p>
    <w:p w14:paraId="38A5D94C" w14:textId="77777777" w:rsidR="006E161F" w:rsidRDefault="00000000">
      <w:pPr>
        <w:spacing w:before="80" w:after="80" w:line="320" w:lineRule="auto"/>
        <w:jc w:val="both"/>
      </w:pPr>
      <w:r>
        <w:rPr>
          <w:color w:val="1A1A1A"/>
        </w:rPr>
        <w:t xml:space="preserve">Under a high-utilisation scenario, each Robotaxi vehicle could generate $20,000–30,000 in annual gross revenue. With Tesla capturing a platform take rate of approximately 20–30%, each vehicle </w:t>
      </w:r>
      <w:r>
        <w:rPr>
          <w:color w:val="1A1A1A"/>
        </w:rPr>
        <w:lastRenderedPageBreak/>
        <w:t>contributes $4,000–9,000 per year to Tesla's revenue — compared to a one-time sale at $40,000–50,000. Over a vehicle lifetime, the Robotaxi model could generate several multiples of the upfront sale value. This is what is meant by the shift from product sale to revenue-generating asset model.</w:t>
      </w:r>
    </w:p>
    <w:p w14:paraId="38A5D94D" w14:textId="77777777" w:rsidR="006E161F" w:rsidRDefault="006E161F">
      <w:pPr>
        <w:spacing w:before="60"/>
      </w:pPr>
    </w:p>
    <w:p w14:paraId="38A5D94E" w14:textId="77777777" w:rsidR="006E161F" w:rsidRDefault="00000000">
      <w:pPr>
        <w:spacing w:before="80" w:after="80" w:line="320" w:lineRule="auto"/>
        <w:jc w:val="both"/>
      </w:pPr>
      <w:r>
        <w:rPr>
          <w:color w:val="1A1A1A"/>
        </w:rPr>
        <w:t>It is worth being precise about the nature of this economic advantage. It is not a pure network effect in the way that social platforms are — adding one more Robotaxi to the fleet does not inherently make the platform more valuable to every other participant. It is better described as a combination of scale economies (lower cost per mile at higher fleet density) and a data advantage (more miles driven generates better training data, which improves the model, which reduces cost and increases safety). The compounding of these two mechanisms is powerful, but it is not unconditional.</w:t>
      </w:r>
    </w:p>
    <w:p w14:paraId="38A5D94F" w14:textId="77777777" w:rsidR="006E161F" w:rsidRDefault="006E161F">
      <w:pPr>
        <w:spacing w:before="80"/>
      </w:pPr>
    </w:p>
    <w:p w14:paraId="38A5D950" w14:textId="77777777" w:rsidR="006E161F" w:rsidRDefault="00000000">
      <w:pPr>
        <w:pStyle w:val="Heading2"/>
      </w:pPr>
      <w:r>
        <w:t>2.3  The Data and AI Flywheel</w:t>
      </w:r>
    </w:p>
    <w:p w14:paraId="38A5D951" w14:textId="77777777" w:rsidR="006E161F" w:rsidRDefault="00000000">
      <w:pPr>
        <w:spacing w:before="80" w:after="80" w:line="320" w:lineRule="auto"/>
        <w:jc w:val="both"/>
      </w:pPr>
      <w:r>
        <w:rPr>
          <w:color w:val="1A1A1A"/>
        </w:rPr>
        <w:t>Underpinning both FSD and Robotaxi is Tesla's data moat. The mechanism is well understood: more real-world driving data produces better models, better models produce safer and more capable systems, safer systems attract higher adoption, and higher adoption generates more driving data. Tesla's current fleet represents the largest real-world autonomous driving dataset in existence, and this is a genuine competitive advantage.</w:t>
      </w:r>
    </w:p>
    <w:p w14:paraId="38A5D952" w14:textId="77777777" w:rsidR="006E161F" w:rsidRDefault="006E161F">
      <w:pPr>
        <w:spacing w:before="60"/>
      </w:pPr>
    </w:p>
    <w:p w14:paraId="38A5D953" w14:textId="77777777" w:rsidR="006E161F" w:rsidRDefault="00000000">
      <w:pPr>
        <w:spacing w:before="80" w:after="80" w:line="320" w:lineRule="auto"/>
        <w:jc w:val="both"/>
      </w:pPr>
      <w:r>
        <w:rPr>
          <w:color w:val="1A1A1A"/>
        </w:rPr>
        <w:t>However, it is important not to overstate the determinism of this flywheel. Data advantage does not automatically confer regulatory approval, and it does not guarantee faster convergence than well-capitalised competitors who may be using different technical approaches. The flywheel accelerates progress; it does not make the outcome certain.</w:t>
      </w:r>
    </w:p>
    <w:p w14:paraId="38A5D954" w14:textId="77777777" w:rsidR="006E161F" w:rsidRDefault="006E161F">
      <w:pPr>
        <w:spacing w:before="120"/>
      </w:pPr>
    </w:p>
    <w:p w14:paraId="38A5D955" w14:textId="77777777" w:rsidR="006E161F" w:rsidRDefault="00000000">
      <w:pPr>
        <w:pStyle w:val="Heading1"/>
        <w:pBdr>
          <w:bottom w:val="single" w:sz="6" w:space="6" w:color="2E5FA3"/>
        </w:pBdr>
      </w:pPr>
      <w:r>
        <w:t>III. Industry Analysis: The Autonomous Mobility Market</w:t>
      </w:r>
    </w:p>
    <w:p w14:paraId="38A5D956" w14:textId="77777777" w:rsidR="006E161F" w:rsidRDefault="00000000">
      <w:pPr>
        <w:spacing w:before="80" w:after="80" w:line="320" w:lineRule="auto"/>
        <w:jc w:val="both"/>
      </w:pPr>
      <w:r>
        <w:rPr>
          <w:color w:val="1A1A1A"/>
        </w:rPr>
        <w:t>To evaluate Tesla's Robotaxi ambitions, it is necessary to understand the economic structure of the autonomous mobility industry — what drives demand, where value accrues, and what the long-run equilibrium might look like.</w:t>
      </w:r>
    </w:p>
    <w:p w14:paraId="38A5D957" w14:textId="77777777" w:rsidR="006E161F" w:rsidRDefault="006E161F">
      <w:pPr>
        <w:spacing w:before="100"/>
      </w:pPr>
    </w:p>
    <w:p w14:paraId="38A5D958" w14:textId="77777777" w:rsidR="006E161F" w:rsidRDefault="00000000">
      <w:pPr>
        <w:pStyle w:val="Heading2"/>
      </w:pPr>
      <w:r>
        <w:t>3.1  Cost per Mile as the Central Variable</w:t>
      </w:r>
    </w:p>
    <w:p w14:paraId="38A5D959" w14:textId="77777777" w:rsidR="006E161F" w:rsidRDefault="00000000">
      <w:pPr>
        <w:spacing w:before="80" w:after="80" w:line="320" w:lineRule="auto"/>
        <w:jc w:val="both"/>
      </w:pPr>
      <w:r>
        <w:rPr>
          <w:color w:val="1A1A1A"/>
        </w:rPr>
        <w:t xml:space="preserve">The autonomous vehicle industry is not constrained primarily by technology. It is constrained by cost per mile. This is the variable that determines when consumer adoption shifts from early-stage curiosity to mass-market behaviour. The current ride-hailing equilibrium sits at approximately $1.80 per mile. </w:t>
      </w:r>
      <w:r>
        <w:rPr>
          <w:color w:val="1A1A1A"/>
        </w:rPr>
        <w:lastRenderedPageBreak/>
        <w:t>Bank of America estimates that a Robotaxi becomes broadly competitive at approximately $1.50 per mile — a threshold that sounds narrow but has profound demand implications.</w:t>
      </w:r>
    </w:p>
    <w:p w14:paraId="38A5D95A" w14:textId="77777777" w:rsidR="006E161F" w:rsidRDefault="006E161F">
      <w:pPr>
        <w:spacing w:before="60"/>
      </w:pPr>
    </w:p>
    <w:p w14:paraId="38A5D95B" w14:textId="77777777" w:rsidR="006E161F" w:rsidRDefault="00000000">
      <w:pPr>
        <w:spacing w:before="80" w:after="80" w:line="320" w:lineRule="auto"/>
        <w:jc w:val="both"/>
      </w:pPr>
      <w:r>
        <w:rPr>
          <w:color w:val="1A1A1A"/>
        </w:rPr>
        <w:t>The reason is that demand for personal mobility is highly elastic to price. Once a service becomes significantly cheaper than the incumbent alternative, adoption does not grow gradually — it accelerates non-linearly. The pattern is consistent across transportation history: when a new mode of transport crosses the affordability threshold, uptake is rapid. There is little reason to expect autonomous mobility to behave differently. The transition, when it comes, is likely to be fast.</w:t>
      </w:r>
    </w:p>
    <w:p w14:paraId="38A5D95C" w14:textId="77777777" w:rsidR="006E161F" w:rsidRDefault="006E161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161F" w14:paraId="38A5D95F" w14:textId="77777777">
        <w:tc>
          <w:tcPr>
            <w:tcW w:w="9360" w:type="dxa"/>
            <w:tcBorders>
              <w:top w:val="single" w:sz="8" w:space="0" w:color="2E5FA3"/>
              <w:left w:val="thick" w:sz="20" w:space="0" w:color="2E5FA3"/>
              <w:bottom w:val="single" w:sz="8" w:space="0" w:color="2E5FA3"/>
              <w:right w:val="none" w:sz="0" w:space="0" w:color="FFFFFF"/>
            </w:tcBorders>
            <w:shd w:val="clear" w:color="auto" w:fill="EEF2F7"/>
            <w:tcMar>
              <w:top w:w="160" w:type="dxa"/>
              <w:left w:w="240" w:type="dxa"/>
              <w:bottom w:w="160" w:type="dxa"/>
              <w:right w:w="240" w:type="dxa"/>
            </w:tcMar>
          </w:tcPr>
          <w:p w14:paraId="38A5D95D" w14:textId="77777777" w:rsidR="006E161F" w:rsidRDefault="00000000">
            <w:pPr>
              <w:spacing w:after="60"/>
            </w:pPr>
            <w:r>
              <w:rPr>
                <w:b/>
                <w:bCs/>
                <w:caps/>
                <w:color w:val="2E5FA3"/>
                <w:sz w:val="18"/>
                <w:szCs w:val="18"/>
              </w:rPr>
              <w:t>INDUSTRY THRESHOLD</w:t>
            </w:r>
          </w:p>
          <w:p w14:paraId="38A5D95E" w14:textId="77777777" w:rsidR="006E161F" w:rsidRDefault="00000000">
            <w:r>
              <w:rPr>
                <w:i/>
                <w:iCs/>
                <w:color w:val="1A1A1A"/>
              </w:rPr>
              <w:t>The $1.50/mile threshold is not just a financial milestone — it is a demand inflection point. Crossing it could trigger non-linear, potentially exponential, adoption. The question is not whether that threshold will be crossed, but when and by whom.</w:t>
            </w:r>
          </w:p>
        </w:tc>
      </w:tr>
    </w:tbl>
    <w:p w14:paraId="38A5D960" w14:textId="77777777" w:rsidR="006E161F" w:rsidRDefault="006E161F">
      <w:pPr>
        <w:spacing w:before="120"/>
      </w:pPr>
    </w:p>
    <w:p w14:paraId="38A5D961" w14:textId="77777777" w:rsidR="006E161F" w:rsidRDefault="00000000">
      <w:pPr>
        <w:pStyle w:val="Heading2"/>
      </w:pPr>
      <w:r>
        <w:t>3.2  Likely Industry Structure: Oligopoly, Not Monopoly</w:t>
      </w:r>
    </w:p>
    <w:p w14:paraId="38A5D962" w14:textId="77777777" w:rsidR="006E161F" w:rsidRDefault="00000000">
      <w:pPr>
        <w:spacing w:before="80" w:after="80" w:line="320" w:lineRule="auto"/>
        <w:jc w:val="both"/>
      </w:pPr>
      <w:r>
        <w:rPr>
          <w:color w:val="1A1A1A"/>
        </w:rPr>
        <w:t>The long-run structure of the autonomous vehicle market is likely to be an oligopoly — a small number of scaled players controlling the majority of fleet operations, rather than a single dominant platform. This reflects the physical and regulatory constraints of the industry, which make winner-take-all dynamics less likely than in pure software markets.</w:t>
      </w:r>
    </w:p>
    <w:p w14:paraId="38A5D963" w14:textId="77777777" w:rsidR="006E161F" w:rsidRDefault="006E161F">
      <w:pPr>
        <w:spacing w:before="60"/>
      </w:pPr>
    </w:p>
    <w:p w14:paraId="38A5D964" w14:textId="77777777" w:rsidR="006E161F" w:rsidRDefault="00000000">
      <w:pPr>
        <w:spacing w:before="80" w:after="80" w:line="320" w:lineRule="auto"/>
        <w:jc w:val="both"/>
      </w:pPr>
      <w:r>
        <w:rPr>
          <w:color w:val="1A1A1A"/>
        </w:rPr>
        <w:t>Three players are most relevant to understanding the competitive landscape Tesla is operating in:</w:t>
      </w:r>
    </w:p>
    <w:p w14:paraId="38A5D965" w14:textId="77777777" w:rsidR="006E161F" w:rsidRDefault="006E161F">
      <w:pPr>
        <w:spacing w:before="60"/>
      </w:pPr>
    </w:p>
    <w:p w14:paraId="38A5D966" w14:textId="77777777" w:rsidR="006E161F" w:rsidRDefault="00000000">
      <w:pPr>
        <w:pStyle w:val="ListParagraph"/>
        <w:numPr>
          <w:ilvl w:val="0"/>
          <w:numId w:val="2"/>
        </w:numPr>
        <w:spacing w:before="60" w:after="60" w:line="300" w:lineRule="auto"/>
      </w:pPr>
      <w:r>
        <w:rPr>
          <w:color w:val="1A1A1A"/>
        </w:rPr>
        <w:t>Waymo occupies the first-mover position, already operating commercial Robotaxi services in select markets. Its cost structure is higher than Tesla's ambition, but its regulatory track record and operational experience represent a substantial lead in demonstrated autonomy.</w:t>
      </w:r>
    </w:p>
    <w:p w14:paraId="38A5D967" w14:textId="77777777" w:rsidR="006E161F" w:rsidRDefault="00000000">
      <w:pPr>
        <w:pStyle w:val="ListParagraph"/>
        <w:numPr>
          <w:ilvl w:val="0"/>
          <w:numId w:val="2"/>
        </w:numPr>
        <w:spacing w:before="60" w:after="60" w:line="300" w:lineRule="auto"/>
      </w:pPr>
      <w:r>
        <w:rPr>
          <w:color w:val="1A1A1A"/>
        </w:rPr>
        <w:t xml:space="preserve">Tesla enters with a lower-cost hardware stack — the </w:t>
      </w:r>
      <w:proofErr w:type="spellStart"/>
      <w:r>
        <w:rPr>
          <w:color w:val="1A1A1A"/>
        </w:rPr>
        <w:t>Cybercab</w:t>
      </w:r>
      <w:proofErr w:type="spellEnd"/>
      <w:r>
        <w:rPr>
          <w:color w:val="1A1A1A"/>
        </w:rPr>
        <w:t xml:space="preserve"> is estimated at approximately $30,000 — and a vision-only sensor approach that reduces upfront hardware cost. However, full unsupervised autonomy remains unproven at commercial scale.</w:t>
      </w:r>
    </w:p>
    <w:p w14:paraId="38A5D968" w14:textId="77777777" w:rsidR="006E161F" w:rsidRDefault="00000000">
      <w:pPr>
        <w:pStyle w:val="ListParagraph"/>
        <w:numPr>
          <w:ilvl w:val="0"/>
          <w:numId w:val="2"/>
        </w:numPr>
        <w:spacing w:before="60" w:after="60" w:line="300" w:lineRule="auto"/>
      </w:pPr>
      <w:proofErr w:type="spellStart"/>
      <w:r>
        <w:rPr>
          <w:color w:val="1A1A1A"/>
        </w:rPr>
        <w:t>Zoox</w:t>
      </w:r>
      <w:proofErr w:type="spellEnd"/>
      <w:r>
        <w:rPr>
          <w:color w:val="1A1A1A"/>
        </w:rPr>
        <w:t xml:space="preserve"> represents an integrated approach, having designed both vehicle and autonomy stack from the ground up. Its long-term position in the competitive landscape remains to be determined.</w:t>
      </w:r>
    </w:p>
    <w:p w14:paraId="38A5D969" w14:textId="77777777" w:rsidR="006E161F" w:rsidRDefault="006E161F">
      <w:pPr>
        <w:spacing w:before="80"/>
      </w:pPr>
    </w:p>
    <w:p w14:paraId="38A5D96A" w14:textId="77777777" w:rsidR="006E161F" w:rsidRDefault="00000000">
      <w:pPr>
        <w:spacing w:before="80" w:after="80" w:line="320" w:lineRule="auto"/>
        <w:jc w:val="both"/>
      </w:pPr>
      <w:r>
        <w:rPr>
          <w:color w:val="1A1A1A"/>
        </w:rPr>
        <w:t xml:space="preserve">A significant development on the competitive technology front is NVIDIA's release of </w:t>
      </w:r>
      <w:proofErr w:type="spellStart"/>
      <w:r>
        <w:rPr>
          <w:color w:val="1A1A1A"/>
        </w:rPr>
        <w:t>Alpamayo</w:t>
      </w:r>
      <w:proofErr w:type="spellEnd"/>
      <w:r>
        <w:rPr>
          <w:color w:val="1A1A1A"/>
        </w:rPr>
        <w:t xml:space="preserve"> 1, a 10-billion parameter Vision-Language-Action (VLA) reasoning model designed specifically for Level 4 autonomous driving research. As an open-source model, it has the potential to accelerate </w:t>
      </w:r>
      <w:r>
        <w:rPr>
          <w:color w:val="1A1A1A"/>
        </w:rPr>
        <w:lastRenderedPageBreak/>
        <w:t>development across the industry and lower barriers to entry for new entrants — which could affect Tesla's relative data advantage over time.</w:t>
      </w:r>
    </w:p>
    <w:p w14:paraId="38A5D96B" w14:textId="77777777" w:rsidR="006E161F" w:rsidRDefault="006E161F">
      <w:pPr>
        <w:spacing w:before="80"/>
      </w:pPr>
    </w:p>
    <w:p w14:paraId="38A5D96C" w14:textId="77777777" w:rsidR="006E161F" w:rsidRDefault="00000000">
      <w:pPr>
        <w:pStyle w:val="Heading2"/>
      </w:pPr>
      <w:r>
        <w:t>3.3  The Platform Risk: Uber and Lyft</w:t>
      </w:r>
    </w:p>
    <w:p w14:paraId="38A5D96D" w14:textId="77777777" w:rsidR="006E161F" w:rsidRDefault="00000000">
      <w:pPr>
        <w:spacing w:before="80" w:after="80" w:line="320" w:lineRule="auto"/>
        <w:jc w:val="both"/>
      </w:pPr>
      <w:r>
        <w:rPr>
          <w:color w:val="1A1A1A"/>
        </w:rPr>
        <w:t>One underappreciated risk in the Robotaxi thesis is the role of existing ride-hailing platforms. Uber and Lyft occupy the demand layer of the ride-hailing market — they own the customer relationship, the pricing interface, and the distribution network. If Tesla deploys Robotaxis through third-party platforms rather than its own app, it risks becoming a fleet commodity, with pricing power sitting with the platform rather than the vehicle operator.</w:t>
      </w:r>
    </w:p>
    <w:p w14:paraId="38A5D96E" w14:textId="77777777" w:rsidR="006E161F" w:rsidRDefault="006E161F">
      <w:pPr>
        <w:spacing w:before="60"/>
      </w:pPr>
    </w:p>
    <w:p w14:paraId="38A5D96F" w14:textId="77777777" w:rsidR="006E161F" w:rsidRDefault="00000000">
      <w:pPr>
        <w:spacing w:before="80" w:after="80" w:line="320" w:lineRule="auto"/>
        <w:jc w:val="both"/>
      </w:pPr>
      <w:r>
        <w:rPr>
          <w:color w:val="1A1A1A"/>
        </w:rPr>
        <w:t>This is not an insurmountable problem — Tesla could build its own distribution — but it is a structural risk that affects both the revenue ceiling and the margin structure of the Robotaxi business. The most favourable economic outcome for Tesla is one where it controls both the fleet economics and the customer interface. The least favourable is one where it supplies vehicles to platforms that extract the majority of consumer surplus.</w:t>
      </w:r>
    </w:p>
    <w:p w14:paraId="38A5D970" w14:textId="77777777" w:rsidR="006E161F" w:rsidRDefault="006E161F">
      <w:pPr>
        <w:spacing w:before="120"/>
      </w:pPr>
    </w:p>
    <w:p w14:paraId="38A5D971" w14:textId="77777777" w:rsidR="006E161F" w:rsidRDefault="00000000">
      <w:pPr>
        <w:pStyle w:val="Heading1"/>
        <w:pBdr>
          <w:bottom w:val="single" w:sz="6" w:space="6" w:color="2E5FA3"/>
        </w:pBdr>
      </w:pPr>
      <w:r>
        <w:t xml:space="preserve">IV. Competitive Position and the </w:t>
      </w:r>
      <w:proofErr w:type="spellStart"/>
      <w:r>
        <w:t>Cybercab</w:t>
      </w:r>
      <w:proofErr w:type="spellEnd"/>
    </w:p>
    <w:p w14:paraId="38A5D972" w14:textId="77777777" w:rsidR="006E161F" w:rsidRDefault="00000000">
      <w:pPr>
        <w:spacing w:before="80" w:after="80" w:line="320" w:lineRule="auto"/>
        <w:jc w:val="both"/>
      </w:pPr>
      <w:r>
        <w:rPr>
          <w:color w:val="1A1A1A"/>
        </w:rPr>
        <w:t>Understanding Tesla's competitive position requires distinguishing between what is genuinely advantaged and what remains unproven. The two are not the same, and conflating them leads to either excessive optimism or misplaced pessimism.</w:t>
      </w:r>
    </w:p>
    <w:p w14:paraId="38A5D973" w14:textId="77777777" w:rsidR="006E161F" w:rsidRDefault="006E161F">
      <w:pPr>
        <w:spacing w:before="100"/>
      </w:pPr>
    </w:p>
    <w:p w14:paraId="38A5D974" w14:textId="77777777" w:rsidR="006E161F" w:rsidRDefault="00000000">
      <w:pPr>
        <w:pStyle w:val="Heading2"/>
      </w:pPr>
      <w:r>
        <w:t xml:space="preserve">4.1  The </w:t>
      </w:r>
      <w:proofErr w:type="spellStart"/>
      <w:r>
        <w:t>Cybercab</w:t>
      </w:r>
      <w:proofErr w:type="spellEnd"/>
      <w:r>
        <w:t>: Progress and Interpretation</w:t>
      </w:r>
    </w:p>
    <w:p w14:paraId="38A5D975" w14:textId="77777777" w:rsidR="006E161F" w:rsidRDefault="00000000">
      <w:pPr>
        <w:spacing w:before="80" w:after="80" w:line="320" w:lineRule="auto"/>
        <w:jc w:val="both"/>
      </w:pPr>
      <w:r>
        <w:rPr>
          <w:color w:val="1A1A1A"/>
        </w:rPr>
        <w:t xml:space="preserve">The </w:t>
      </w:r>
      <w:proofErr w:type="spellStart"/>
      <w:r>
        <w:rPr>
          <w:color w:val="1A1A1A"/>
        </w:rPr>
        <w:t>Cybercab</w:t>
      </w:r>
      <w:proofErr w:type="spellEnd"/>
      <w:r>
        <w:rPr>
          <w:color w:val="1A1A1A"/>
        </w:rPr>
        <w:t xml:space="preserve"> rollout has been slower than initially targeted — approximately 200 vehicles deployed against an internal target of around 1,000. There are two reasonable interpretations of this. The bearish reading is that the slower pace signals unresolved technical or regulatory bottlenecks that may be more intractable than management has communicated. The bullish reading is that the delay reflects prioritisation of safety validation and regulatory compliance — the unsexy but necessary groundwork for large-scale deployment.</w:t>
      </w:r>
    </w:p>
    <w:p w14:paraId="38A5D976" w14:textId="77777777" w:rsidR="006E161F" w:rsidRDefault="006E161F">
      <w:pPr>
        <w:spacing w:before="60"/>
      </w:pPr>
    </w:p>
    <w:p w14:paraId="38A5D977" w14:textId="77777777" w:rsidR="006E161F" w:rsidRDefault="00000000">
      <w:pPr>
        <w:spacing w:before="80" w:after="80" w:line="320" w:lineRule="auto"/>
        <w:jc w:val="both"/>
      </w:pPr>
      <w:r>
        <w:rPr>
          <w:color w:val="1A1A1A"/>
        </w:rPr>
        <w:t>Which interpretation is correct matters enormously for valuation. If the delays reflect manageable friction in a fundamentally sound process, the timeline extends but the destination remains reachable. If they reflect structural limitations in Tesla's vision-only approach or deeper regulatory resistance, the Robotaxi thesis may be materially impaired on relevant timescales.</w:t>
      </w:r>
    </w:p>
    <w:p w14:paraId="38A5D978" w14:textId="77777777" w:rsidR="006E161F" w:rsidRDefault="006E161F">
      <w:pPr>
        <w:spacing w:before="80"/>
      </w:pPr>
    </w:p>
    <w:p w14:paraId="38A5D979" w14:textId="77777777" w:rsidR="006E161F" w:rsidRDefault="00000000">
      <w:pPr>
        <w:pStyle w:val="Heading2"/>
      </w:pPr>
      <w:r>
        <w:t>4.2  Hardware Cost vs Total System Cost — A Critical Distinction</w:t>
      </w:r>
    </w:p>
    <w:p w14:paraId="38A5D97A" w14:textId="77777777" w:rsidR="006E161F" w:rsidRDefault="00000000">
      <w:pPr>
        <w:spacing w:before="80" w:after="80" w:line="320" w:lineRule="auto"/>
        <w:jc w:val="both"/>
      </w:pPr>
      <w:r>
        <w:rPr>
          <w:color w:val="1A1A1A"/>
        </w:rPr>
        <w:t xml:space="preserve">Tesla's manufacturing capability and simplified hardware stack represent a genuine structural advantage. The absence of expensive lidar sensors and the company's vertically integrated production model drive the estimated </w:t>
      </w:r>
      <w:proofErr w:type="spellStart"/>
      <w:r>
        <w:rPr>
          <w:color w:val="1A1A1A"/>
        </w:rPr>
        <w:t>Cybercab</w:t>
      </w:r>
      <w:proofErr w:type="spellEnd"/>
      <w:r>
        <w:rPr>
          <w:color w:val="1A1A1A"/>
        </w:rPr>
        <w:t xml:space="preserve"> cost down to approximately $30,000 — significantly below Waymo's hardware cost base.</w:t>
      </w:r>
    </w:p>
    <w:p w14:paraId="38A5D97B" w14:textId="77777777" w:rsidR="006E161F" w:rsidRDefault="006E161F">
      <w:pPr>
        <w:spacing w:before="60"/>
      </w:pPr>
    </w:p>
    <w:p w14:paraId="38A5D97C" w14:textId="77777777" w:rsidR="006E161F" w:rsidRDefault="00000000">
      <w:pPr>
        <w:spacing w:before="80" w:after="80" w:line="320" w:lineRule="auto"/>
        <w:jc w:val="both"/>
      </w:pPr>
      <w:r>
        <w:rPr>
          <w:color w:val="1A1A1A"/>
        </w:rPr>
        <w:t>However, it is essential to separate hardware cost from total system cost. The latter includes software development and ongoing model training, safety redundancy systems, regulatory compliance across multiple jurisdictions, and the operational infrastructure required to manage a commercial fleet. When all of these are included, Tesla's cost advantage narrows — though it likely persists in absolute terms if the autonomy stack matures.</w:t>
      </w:r>
    </w:p>
    <w:p w14:paraId="38A5D97D" w14:textId="77777777" w:rsidR="006E161F" w:rsidRDefault="006E161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161F" w14:paraId="38A5D980" w14:textId="77777777">
        <w:tc>
          <w:tcPr>
            <w:tcW w:w="9360" w:type="dxa"/>
            <w:tcBorders>
              <w:top w:val="single" w:sz="8" w:space="0" w:color="2E5FA3"/>
              <w:left w:val="thick" w:sz="20" w:space="0" w:color="2E5FA3"/>
              <w:bottom w:val="single" w:sz="8" w:space="0" w:color="2E5FA3"/>
              <w:right w:val="none" w:sz="0" w:space="0" w:color="FFFFFF"/>
            </w:tcBorders>
            <w:shd w:val="clear" w:color="auto" w:fill="EEF2F7"/>
            <w:tcMar>
              <w:top w:w="160" w:type="dxa"/>
              <w:left w:w="240" w:type="dxa"/>
              <w:bottom w:w="160" w:type="dxa"/>
              <w:right w:w="240" w:type="dxa"/>
            </w:tcMar>
          </w:tcPr>
          <w:p w14:paraId="38A5D97E" w14:textId="77777777" w:rsidR="006E161F" w:rsidRDefault="00000000">
            <w:pPr>
              <w:spacing w:after="60"/>
            </w:pPr>
            <w:r>
              <w:rPr>
                <w:b/>
                <w:bCs/>
                <w:caps/>
                <w:color w:val="2E5FA3"/>
                <w:sz w:val="18"/>
                <w:szCs w:val="18"/>
              </w:rPr>
              <w:t>COMPETITIVE REALITY</w:t>
            </w:r>
          </w:p>
          <w:p w14:paraId="38A5D97F" w14:textId="77777777" w:rsidR="006E161F" w:rsidRDefault="00000000">
            <w:r>
              <w:rPr>
                <w:i/>
                <w:iCs/>
                <w:color w:val="1A1A1A"/>
              </w:rPr>
              <w:t>Waymo is already commercially deployed at higher cost. Tesla has lower cost potential but unproven autonomy. To win, Tesla must succeed on both dimensions simultaneously — not just one.</w:t>
            </w:r>
          </w:p>
        </w:tc>
      </w:tr>
    </w:tbl>
    <w:p w14:paraId="38A5D981" w14:textId="77777777" w:rsidR="006E161F" w:rsidRDefault="006E161F">
      <w:pPr>
        <w:spacing w:before="80"/>
      </w:pPr>
    </w:p>
    <w:p w14:paraId="38A5D982" w14:textId="77777777" w:rsidR="006E161F" w:rsidRDefault="00000000">
      <w:pPr>
        <w:pStyle w:val="Heading2"/>
      </w:pPr>
      <w:r>
        <w:t>4.3  Regulatory Risk as a Structural Constraint</w:t>
      </w:r>
    </w:p>
    <w:p w14:paraId="38A5D983" w14:textId="77777777" w:rsidR="006E161F" w:rsidRDefault="00000000">
      <w:pPr>
        <w:spacing w:before="80" w:after="80" w:line="320" w:lineRule="auto"/>
        <w:jc w:val="both"/>
      </w:pPr>
      <w:r>
        <w:rPr>
          <w:color w:val="1A1A1A"/>
        </w:rPr>
        <w:t>Autonomy is not purely a technology problem. It is a regulatory problem. Commercial deployment at scale requires country-level approvals across the US, China, and the European Union — three distinct regulatory regimes with different standards, timelines, and political dynamics. Waymo's experience illustrates the pattern clearly: even a well-validated system faces geographically constrained rollout, with expansion proceeding city by city rather than in one national deployment.</w:t>
      </w:r>
    </w:p>
    <w:p w14:paraId="38A5D984" w14:textId="77777777" w:rsidR="006E161F" w:rsidRDefault="006E161F">
      <w:pPr>
        <w:spacing w:before="60"/>
      </w:pPr>
    </w:p>
    <w:p w14:paraId="38A5D985" w14:textId="77777777" w:rsidR="006E161F" w:rsidRDefault="00000000">
      <w:pPr>
        <w:spacing w:before="80" w:after="80" w:line="320" w:lineRule="auto"/>
        <w:jc w:val="both"/>
      </w:pPr>
      <w:r>
        <w:rPr>
          <w:color w:val="1A1A1A"/>
        </w:rPr>
        <w:t>For Tesla, this means that even if the technology matures on schedule, the revenue ramp from Robotaxi will be non-linear and region-specific. Regulatory approval in the US does not confer approval in China, and vice versa. This is not a reason to dismiss the thesis — it is a reason to model the timeline conservatively and weight the value accordingly.</w:t>
      </w:r>
    </w:p>
    <w:p w14:paraId="38A5D986" w14:textId="77777777" w:rsidR="006E161F" w:rsidRDefault="006E161F">
      <w:pPr>
        <w:spacing w:before="100"/>
      </w:pPr>
    </w:p>
    <w:p w14:paraId="38A5D987" w14:textId="77777777" w:rsidR="006E161F" w:rsidRDefault="00000000">
      <w:pPr>
        <w:pStyle w:val="Heading2"/>
      </w:pPr>
      <w:r>
        <w:t>4.4  The Long-Term Outcome: AI-Driven Mobility Oligopoly</w:t>
      </w:r>
    </w:p>
    <w:p w14:paraId="38A5D988" w14:textId="77777777" w:rsidR="006E161F" w:rsidRDefault="00000000">
      <w:pPr>
        <w:spacing w:before="80" w:after="80" w:line="320" w:lineRule="auto"/>
        <w:jc w:val="both"/>
      </w:pPr>
      <w:r>
        <w:rPr>
          <w:color w:val="1A1A1A"/>
        </w:rPr>
        <w:t>Looking across the competitive landscape, the most plausible long-run structure for the autonomous mobility industry is an AI-driven oligopoly in which value is captured by companies that control three things: the autonomy stack, the fleet economics, and the customer interface. No single incumbent is currently dominant across all three dimensions.</w:t>
      </w:r>
    </w:p>
    <w:p w14:paraId="38A5D989" w14:textId="77777777" w:rsidR="006E161F" w:rsidRDefault="006E161F">
      <w:pPr>
        <w:spacing w:before="60"/>
      </w:pPr>
    </w:p>
    <w:p w14:paraId="38A5D98A" w14:textId="77777777" w:rsidR="006E161F" w:rsidRDefault="00000000">
      <w:pPr>
        <w:spacing w:before="80" w:after="80" w:line="320" w:lineRule="auto"/>
        <w:jc w:val="both"/>
      </w:pPr>
      <w:r>
        <w:rPr>
          <w:color w:val="1A1A1A"/>
        </w:rPr>
        <w:t>Tesla's ambition — and the basis of its valuation premium — is that it can build toward dominance in all three. Its manufacturing scale addresses fleet economics. Its FSD software addresses the autonomy stack. Its direct-to-consumer brand and potential Robotaxi app could address the customer interface. Whether it achieves all three, or only one or two, will determine whether this is a transformational investment or an expensive near-miss.</w:t>
      </w:r>
    </w:p>
    <w:p w14:paraId="56895A89" w14:textId="77777777" w:rsidR="00206323" w:rsidRDefault="00206323">
      <w:pPr>
        <w:spacing w:before="120"/>
      </w:pPr>
    </w:p>
    <w:p w14:paraId="7C4A6D26" w14:textId="77777777" w:rsidR="000251A0" w:rsidRDefault="000251A0">
      <w:pPr>
        <w:spacing w:before="120"/>
      </w:pPr>
    </w:p>
    <w:p w14:paraId="664A4854" w14:textId="09548C06" w:rsidR="00206323" w:rsidRPr="000251A0" w:rsidRDefault="00206323" w:rsidP="000251A0">
      <w:pPr>
        <w:spacing w:before="80" w:after="80" w:line="320" w:lineRule="auto"/>
        <w:jc w:val="both"/>
        <w:rPr>
          <w:b/>
          <w:bCs/>
          <w:color w:val="1A1A1A"/>
        </w:rPr>
      </w:pPr>
      <w:r w:rsidRPr="000251A0">
        <w:rPr>
          <w:b/>
          <w:bCs/>
          <w:color w:val="1A1A1A"/>
        </w:rPr>
        <w:t>A note on d</w:t>
      </w:r>
      <w:r w:rsidR="0016409F" w:rsidRPr="000251A0">
        <w:rPr>
          <w:b/>
          <w:bCs/>
          <w:color w:val="1A1A1A"/>
        </w:rPr>
        <w:t>a</w:t>
      </w:r>
      <w:r w:rsidRPr="000251A0">
        <w:rPr>
          <w:b/>
          <w:bCs/>
          <w:color w:val="1A1A1A"/>
        </w:rPr>
        <w:t>ta and sources</w:t>
      </w:r>
    </w:p>
    <w:p w14:paraId="4AC5AD09" w14:textId="77777777" w:rsidR="00206323" w:rsidRPr="000251A0" w:rsidRDefault="00206323" w:rsidP="000251A0">
      <w:pPr>
        <w:spacing w:before="80" w:after="80" w:line="320" w:lineRule="auto"/>
        <w:jc w:val="both"/>
        <w:rPr>
          <w:color w:val="1A1A1A"/>
        </w:rPr>
      </w:pPr>
      <w:r w:rsidRPr="000251A0">
        <w:rPr>
          <w:color w:val="1A1A1A"/>
        </w:rPr>
        <w:t xml:space="preserve">The financial figures in this analysis draw on several sources. Core Tesla metrics — annual deliveries, revenue, and gross margins — are sourced from Tesla's Q4 2024 earnings release and shareholder letter. The Q4 2025 delivery decline figure is from Tesla's January 2026 delivery report. FSD subscription pricing ($99/month) is from Tesla's official product page. The </w:t>
      </w:r>
      <w:proofErr w:type="spellStart"/>
      <w:r w:rsidRPr="000251A0">
        <w:rPr>
          <w:color w:val="1A1A1A"/>
        </w:rPr>
        <w:t>Cybercab</w:t>
      </w:r>
      <w:proofErr w:type="spellEnd"/>
      <w:r w:rsidRPr="000251A0">
        <w:rPr>
          <w:color w:val="1A1A1A"/>
        </w:rPr>
        <w:t xml:space="preserve"> cost estimate (~$30,000) reflects Elon Musk's statement at the October 2024 We, Robot event.</w:t>
      </w:r>
    </w:p>
    <w:p w14:paraId="1C8C090A" w14:textId="77777777" w:rsidR="00206323" w:rsidRPr="000251A0" w:rsidRDefault="00206323" w:rsidP="000251A0">
      <w:pPr>
        <w:spacing w:before="80" w:after="80" w:line="320" w:lineRule="auto"/>
        <w:jc w:val="both"/>
        <w:rPr>
          <w:color w:val="1A1A1A"/>
        </w:rPr>
      </w:pPr>
      <w:r w:rsidRPr="000251A0">
        <w:rPr>
          <w:color w:val="1A1A1A"/>
        </w:rPr>
        <w:t>Industry thresholds and competitive estimates — including the $1.50/mile Robotaxi competitiveness threshold and platform take-rate assumptions — draw on published research from Bank of America and ARK Invest. All valuation figures, scenario outputs, and modelling assumptions (penetration rates, ARPU projections, SOTP components) are the author's own analytical estimates built on top of these inputs and do not represent the views of any cited institution.</w:t>
      </w:r>
    </w:p>
    <w:p w14:paraId="6DA2EEEC" w14:textId="77777777" w:rsidR="00206323" w:rsidRDefault="00206323">
      <w:pPr>
        <w:spacing w:before="120"/>
      </w:pPr>
    </w:p>
    <w:p w14:paraId="38A5D98C" w14:textId="77777777" w:rsidR="006E161F" w:rsidRDefault="00000000">
      <w:pPr>
        <w:pBdr>
          <w:top w:val="single" w:sz="6" w:space="6" w:color="2E5FA3"/>
          <w:bottom w:val="single" w:sz="6" w:space="6" w:color="2E5FA3"/>
        </w:pBdr>
        <w:spacing w:before="160" w:after="160"/>
        <w:jc w:val="center"/>
      </w:pPr>
      <w:r>
        <w:rPr>
          <w:i/>
          <w:iCs/>
          <w:color w:val="555555"/>
          <w:sz w:val="20"/>
          <w:szCs w:val="20"/>
        </w:rPr>
        <w:t>Continued in Essay 2:  Financial Analysis, Unit Economics &amp; Link to Valuation Drivers</w:t>
      </w:r>
    </w:p>
    <w:sectPr w:rsidR="006E161F">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AC964" w14:textId="77777777" w:rsidR="001A62B8" w:rsidRDefault="001A62B8">
      <w:r>
        <w:separator/>
      </w:r>
    </w:p>
  </w:endnote>
  <w:endnote w:type="continuationSeparator" w:id="0">
    <w:p w14:paraId="0CCC57EF" w14:textId="77777777" w:rsidR="001A62B8" w:rsidRDefault="001A62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5D98E" w14:textId="0C08404F" w:rsidR="006E161F" w:rsidRDefault="00000000">
    <w:pPr>
      <w:pBdr>
        <w:top w:val="single" w:sz="4" w:space="4" w:color="2E5FA3"/>
      </w:pBdr>
      <w:spacing w:before="80"/>
      <w:jc w:val="right"/>
    </w:pPr>
    <w:r>
      <w:rPr>
        <w:color w:val="888888"/>
        <w:sz w:val="16"/>
        <w:szCs w:val="16"/>
      </w:rPr>
      <w:t xml:space="preserve">Page </w:t>
    </w:r>
    <w:r>
      <w:fldChar w:fldCharType="begin"/>
    </w:r>
    <w:r>
      <w:instrText>PAGE</w:instrText>
    </w:r>
    <w:r>
      <w:fldChar w:fldCharType="separate"/>
    </w:r>
    <w:r w:rsidR="002063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CCD11" w14:textId="77777777" w:rsidR="001A62B8" w:rsidRDefault="001A62B8">
      <w:r>
        <w:separator/>
      </w:r>
    </w:p>
  </w:footnote>
  <w:footnote w:type="continuationSeparator" w:id="0">
    <w:p w14:paraId="50312393" w14:textId="77777777" w:rsidR="001A62B8" w:rsidRDefault="001A62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5D98D" w14:textId="77777777" w:rsidR="006E161F" w:rsidRDefault="00000000">
    <w:pPr>
      <w:pBdr>
        <w:bottom w:val="single" w:sz="4" w:space="4" w:color="2E5FA3"/>
      </w:pBdr>
      <w:spacing w:after="120"/>
    </w:pPr>
    <w:r>
      <w:rPr>
        <w:caps/>
        <w:color w:val="888888"/>
        <w:sz w:val="16"/>
        <w:szCs w:val="16"/>
      </w:rPr>
      <w:t>TESLA INVESTMENT ANALYSIS  |  ESSAY 1 OF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530B0"/>
    <w:multiLevelType w:val="hybridMultilevel"/>
    <w:tmpl w:val="1FAC5AA2"/>
    <w:lvl w:ilvl="0" w:tplc="5A562A8E">
      <w:start w:val="1"/>
      <w:numFmt w:val="bullet"/>
      <w:lvlText w:val="●"/>
      <w:lvlJc w:val="left"/>
      <w:pPr>
        <w:ind w:left="720" w:hanging="360"/>
      </w:pPr>
    </w:lvl>
    <w:lvl w:ilvl="1" w:tplc="F11685BE">
      <w:start w:val="1"/>
      <w:numFmt w:val="bullet"/>
      <w:lvlText w:val="○"/>
      <w:lvlJc w:val="left"/>
      <w:pPr>
        <w:ind w:left="1440" w:hanging="360"/>
      </w:pPr>
    </w:lvl>
    <w:lvl w:ilvl="2" w:tplc="415CE5C4">
      <w:start w:val="1"/>
      <w:numFmt w:val="bullet"/>
      <w:lvlText w:val="■"/>
      <w:lvlJc w:val="left"/>
      <w:pPr>
        <w:ind w:left="2160" w:hanging="360"/>
      </w:pPr>
    </w:lvl>
    <w:lvl w:ilvl="3" w:tplc="0BAE6C74">
      <w:start w:val="1"/>
      <w:numFmt w:val="bullet"/>
      <w:lvlText w:val="●"/>
      <w:lvlJc w:val="left"/>
      <w:pPr>
        <w:ind w:left="2880" w:hanging="360"/>
      </w:pPr>
    </w:lvl>
    <w:lvl w:ilvl="4" w:tplc="0AD84464">
      <w:start w:val="1"/>
      <w:numFmt w:val="bullet"/>
      <w:lvlText w:val="○"/>
      <w:lvlJc w:val="left"/>
      <w:pPr>
        <w:ind w:left="3600" w:hanging="360"/>
      </w:pPr>
    </w:lvl>
    <w:lvl w:ilvl="5" w:tplc="422842DC">
      <w:start w:val="1"/>
      <w:numFmt w:val="bullet"/>
      <w:lvlText w:val="■"/>
      <w:lvlJc w:val="left"/>
      <w:pPr>
        <w:ind w:left="4320" w:hanging="360"/>
      </w:pPr>
    </w:lvl>
    <w:lvl w:ilvl="6" w:tplc="6AE6900C">
      <w:start w:val="1"/>
      <w:numFmt w:val="bullet"/>
      <w:lvlText w:val="●"/>
      <w:lvlJc w:val="left"/>
      <w:pPr>
        <w:ind w:left="5040" w:hanging="360"/>
      </w:pPr>
    </w:lvl>
    <w:lvl w:ilvl="7" w:tplc="B6267C0C">
      <w:start w:val="1"/>
      <w:numFmt w:val="bullet"/>
      <w:lvlText w:val="●"/>
      <w:lvlJc w:val="left"/>
      <w:pPr>
        <w:ind w:left="5760" w:hanging="360"/>
      </w:pPr>
    </w:lvl>
    <w:lvl w:ilvl="8" w:tplc="78526318">
      <w:start w:val="1"/>
      <w:numFmt w:val="bullet"/>
      <w:lvlText w:val="●"/>
      <w:lvlJc w:val="left"/>
      <w:pPr>
        <w:ind w:left="6480" w:hanging="360"/>
      </w:pPr>
    </w:lvl>
  </w:abstractNum>
  <w:abstractNum w:abstractNumId="1" w15:restartNumberingAfterBreak="0">
    <w:nsid w:val="795B6041"/>
    <w:multiLevelType w:val="hybridMultilevel"/>
    <w:tmpl w:val="BDB4471A"/>
    <w:lvl w:ilvl="0" w:tplc="237EE024">
      <w:start w:val="1"/>
      <w:numFmt w:val="bullet"/>
      <w:lvlText w:val="•"/>
      <w:lvlJc w:val="left"/>
      <w:pPr>
        <w:ind w:left="540" w:hanging="260"/>
      </w:pPr>
    </w:lvl>
    <w:lvl w:ilvl="1" w:tplc="6D18B2A8">
      <w:start w:val="1"/>
      <w:numFmt w:val="bullet"/>
      <w:lvlText w:val="◦"/>
      <w:lvlJc w:val="left"/>
      <w:pPr>
        <w:ind w:left="900" w:hanging="260"/>
      </w:pPr>
    </w:lvl>
    <w:lvl w:ilvl="2" w:tplc="8EEC9402">
      <w:numFmt w:val="decimal"/>
      <w:lvlText w:val=""/>
      <w:lvlJc w:val="left"/>
    </w:lvl>
    <w:lvl w:ilvl="3" w:tplc="8B0CABCA">
      <w:numFmt w:val="decimal"/>
      <w:lvlText w:val=""/>
      <w:lvlJc w:val="left"/>
    </w:lvl>
    <w:lvl w:ilvl="4" w:tplc="18A4C186">
      <w:numFmt w:val="decimal"/>
      <w:lvlText w:val=""/>
      <w:lvlJc w:val="left"/>
    </w:lvl>
    <w:lvl w:ilvl="5" w:tplc="AF109C46">
      <w:numFmt w:val="decimal"/>
      <w:lvlText w:val=""/>
      <w:lvlJc w:val="left"/>
    </w:lvl>
    <w:lvl w:ilvl="6" w:tplc="AFCE0D8E">
      <w:numFmt w:val="decimal"/>
      <w:lvlText w:val=""/>
      <w:lvlJc w:val="left"/>
    </w:lvl>
    <w:lvl w:ilvl="7" w:tplc="518A89D2">
      <w:numFmt w:val="decimal"/>
      <w:lvlText w:val=""/>
      <w:lvlJc w:val="left"/>
    </w:lvl>
    <w:lvl w:ilvl="8" w:tplc="E41464F2">
      <w:numFmt w:val="decimal"/>
      <w:lvlText w:val=""/>
      <w:lvlJc w:val="left"/>
    </w:lvl>
  </w:abstractNum>
  <w:num w:numId="1" w16cid:durableId="1830243653">
    <w:abstractNumId w:val="0"/>
    <w:lvlOverride w:ilvl="0">
      <w:startOverride w:val="1"/>
    </w:lvlOverride>
  </w:num>
  <w:num w:numId="2" w16cid:durableId="3876092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61F"/>
    <w:rsid w:val="000251A0"/>
    <w:rsid w:val="000C5B5B"/>
    <w:rsid w:val="0016409F"/>
    <w:rsid w:val="001A62B8"/>
    <w:rsid w:val="00206323"/>
    <w:rsid w:val="005C6239"/>
    <w:rsid w:val="006E161F"/>
    <w:rsid w:val="00C83DE9"/>
    <w:rsid w:val="00F948D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A5D918"/>
  <w15:docId w15:val="{7CC26CA1-A1EB-DF4B-BD3E-D403E69E4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A6E"/>
      <w:sz w:val="32"/>
      <w:szCs w:val="32"/>
    </w:rPr>
  </w:style>
  <w:style w:type="paragraph" w:styleId="Heading2">
    <w:name w:val="heading 2"/>
    <w:uiPriority w:val="9"/>
    <w:unhideWhenUsed/>
    <w:qFormat/>
    <w:pPr>
      <w:spacing w:before="280" w:after="120"/>
      <w:outlineLvl w:val="1"/>
    </w:pPr>
    <w:rPr>
      <w:b/>
      <w:bCs/>
      <w:color w:val="1F3A6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206323"/>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063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2508</Words>
  <Characters>14556</Characters>
  <Application>Microsoft Office Word</Application>
  <DocSecurity>0</DocSecurity>
  <Lines>256</Lines>
  <Paragraphs>73</Paragraphs>
  <ScaleCrop>false</ScaleCrop>
  <Company/>
  <LinksUpToDate>false</LinksUpToDate>
  <CharactersWithSpaces>17054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 Yuxiao</cp:lastModifiedBy>
  <cp:revision>6</cp:revision>
  <dcterms:created xsi:type="dcterms:W3CDTF">2026-03-25T10:23:00Z</dcterms:created>
  <dcterms:modified xsi:type="dcterms:W3CDTF">2026-03-26T05:37:00Z</dcterms:modified>
</cp:coreProperties>
</file>