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C82F" w14:textId="77777777" w:rsidR="0031055A" w:rsidRDefault="00000000">
      <w:pPr>
        <w:spacing w:before="240" w:after="80"/>
      </w:pPr>
      <w:r>
        <w:rPr>
          <w:b/>
          <w:bCs/>
          <w:color w:val="1F3A6E"/>
          <w:sz w:val="52"/>
          <w:szCs w:val="52"/>
        </w:rPr>
        <w:t>FOLLOW THE MONEY</w:t>
      </w:r>
    </w:p>
    <w:p w14:paraId="09F9C830" w14:textId="77777777" w:rsidR="0031055A" w:rsidRDefault="00000000">
      <w:pPr>
        <w:spacing w:after="60"/>
      </w:pPr>
      <w:r>
        <w:rPr>
          <w:i/>
          <w:iCs/>
          <w:color w:val="555555"/>
        </w:rPr>
        <w:t>Essay 2 of 3  —  Financial Analysis, Unit Economics &amp; Link to Valuation Drivers</w:t>
      </w:r>
    </w:p>
    <w:p w14:paraId="09F9C831" w14:textId="77777777" w:rsidR="0031055A" w:rsidRDefault="0031055A">
      <w:pPr>
        <w:pBdr>
          <w:bottom w:val="single" w:sz="10" w:space="8" w:color="2E5FA3"/>
        </w:pBdr>
        <w:spacing w:after="320"/>
      </w:pPr>
    </w:p>
    <w:p w14:paraId="09F9C832" w14:textId="77777777" w:rsidR="0031055A" w:rsidRDefault="00000000">
      <w:pPr>
        <w:pStyle w:val="Heading1"/>
        <w:pBdr>
          <w:bottom w:val="single" w:sz="6" w:space="6" w:color="2E5FA3"/>
        </w:pBdr>
      </w:pPr>
      <w:r>
        <w:t>I. Financial Analysis</w:t>
      </w:r>
    </w:p>
    <w:p w14:paraId="09F9C833" w14:textId="77777777" w:rsidR="0031055A" w:rsidRDefault="00000000">
      <w:pPr>
        <w:spacing w:before="80" w:after="80" w:line="320" w:lineRule="auto"/>
        <w:jc w:val="both"/>
      </w:pPr>
      <w:r>
        <w:rPr>
          <w:color w:val="1A1A1A"/>
        </w:rPr>
        <w:t>The financial statements tell a story that the stock price alone cannot. Tesla's Q4 2024 results and full-year 2024 financials reveal a company at an inflection point: the core EV business is maturing, margin dynamics are under pressure, and the revenue composition is quietly shifting. Reading these signals correctly is essential for understanding where Tesla's valuation is going — and why.</w:t>
      </w:r>
    </w:p>
    <w:p w14:paraId="09F9C834" w14:textId="77777777" w:rsidR="0031055A" w:rsidRDefault="0031055A">
      <w:pPr>
        <w:spacing w:before="80"/>
      </w:pPr>
    </w:p>
    <w:p w14:paraId="09F9C835" w14:textId="77777777" w:rsidR="0031055A" w:rsidRDefault="00000000">
      <w:pPr>
        <w:pStyle w:val="Heading2"/>
      </w:pPr>
      <w:r>
        <w:t>1.1  Delivery Trends — Reading the Volume Signal</w:t>
      </w:r>
    </w:p>
    <w:p w14:paraId="09F9C836" w14:textId="77777777" w:rsidR="0031055A" w:rsidRDefault="00000000">
      <w:pPr>
        <w:spacing w:before="80" w:after="80" w:line="320" w:lineRule="auto"/>
        <w:jc w:val="both"/>
      </w:pPr>
      <w:r>
        <w:rPr>
          <w:color w:val="1A1A1A"/>
        </w:rPr>
        <w:t>Full-year 2024 deliveries came in at approximately 1.79 million vehicles — a marginal decline from 2023, and the first annual delivery drop in Tesla's history as a public company. On a quarterly basis, Q4 2025 deliveries fell approximately 16% year-over-year, a figure that drew significant market attention.</w:t>
      </w:r>
    </w:p>
    <w:p w14:paraId="09F9C837" w14:textId="77777777" w:rsidR="0031055A" w:rsidRDefault="0031055A">
      <w:pPr>
        <w:spacing w:before="60"/>
      </w:pPr>
    </w:p>
    <w:p w14:paraId="09F9C838" w14:textId="77777777" w:rsidR="0031055A" w:rsidRDefault="00000000">
      <w:pPr>
        <w:spacing w:before="80" w:after="80" w:line="320" w:lineRule="auto"/>
        <w:jc w:val="both"/>
      </w:pPr>
      <w:r>
        <w:rPr>
          <w:color w:val="1A1A1A"/>
        </w:rPr>
        <w:t>The surface interpretation — that Tesla is losing market share to competitors like BYD — is only partially correct. The deeper explanation is structural. EV demand is cyclical and highly sensitive to financing conditions, subsidy policy, and consumer confidence. The 'One Big Beautiful Bill' in the US, which triggered a pull-forward effect in Q3 2025, inflated that quarter's delivery numbers artificially; the sequential decline in Q4 was partly a correction from that distortion, not purely organic demand weakness.</w:t>
      </w:r>
    </w:p>
    <w:p w14:paraId="09F9C839" w14:textId="77777777" w:rsidR="0031055A" w:rsidRDefault="003105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55A" w14:paraId="09F9C83C"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09F9C83A" w14:textId="77777777" w:rsidR="0031055A" w:rsidRDefault="00000000">
            <w:pPr>
              <w:spacing w:after="60"/>
            </w:pPr>
            <w:r>
              <w:rPr>
                <w:b/>
                <w:bCs/>
                <w:caps/>
                <w:color w:val="2E5FA3"/>
                <w:sz w:val="18"/>
                <w:szCs w:val="18"/>
              </w:rPr>
              <w:t>FRAMING NOTE</w:t>
            </w:r>
          </w:p>
          <w:p w14:paraId="09F9C83B" w14:textId="77777777" w:rsidR="0031055A" w:rsidRDefault="00000000">
            <w:r>
              <w:rPr>
                <w:i/>
                <w:iCs/>
                <w:color w:val="1A1A1A"/>
              </w:rPr>
              <w:t>Delivery volume is an increasingly poor signal of Tesla's fundamental value. Management's decision to remove delivery guidance reflects exactly this — the company is pivoting from a volume growth story to a value-per-vehicle story. The market that punishes delivery misses is pricing the wrong variable.</w:t>
            </w:r>
          </w:p>
        </w:tc>
      </w:tr>
    </w:tbl>
    <w:p w14:paraId="09F9C83D" w14:textId="77777777" w:rsidR="0031055A" w:rsidRDefault="0031055A">
      <w:pPr>
        <w:spacing w:before="80"/>
      </w:pPr>
    </w:p>
    <w:p w14:paraId="09F9C83E" w14:textId="77777777" w:rsidR="0031055A" w:rsidRDefault="00000000">
      <w:pPr>
        <w:spacing w:before="80" w:after="80" w:line="320" w:lineRule="auto"/>
        <w:jc w:val="both"/>
      </w:pPr>
      <w:r>
        <w:rPr>
          <w:color w:val="1A1A1A"/>
        </w:rPr>
        <w:t>More telling than the volume number is what management chose to do about it: remove delivery guidance entirely. This is not a defensive move — it is a strategic signal. When a company stops guiding on a metric, it is telling the market that metric is no longer the right lens. Investors who continue to anchor on delivery counts are, in effect, evaluating Tesla's autonomy thesis through an EV manufacturer's scorecard.</w:t>
      </w:r>
    </w:p>
    <w:p w14:paraId="09F9C83F" w14:textId="77777777" w:rsidR="0031055A" w:rsidRDefault="0031055A">
      <w:pPr>
        <w:spacing w:before="100"/>
      </w:pPr>
    </w:p>
    <w:p w14:paraId="09F9C840" w14:textId="77777777" w:rsidR="0031055A" w:rsidRDefault="00000000">
      <w:pPr>
        <w:pStyle w:val="Heading2"/>
      </w:pPr>
      <w:r>
        <w:t>1.2  Margins — Pressure at the Surface, Resilience Underneath</w:t>
      </w:r>
    </w:p>
    <w:p w14:paraId="09F9C841" w14:textId="77777777" w:rsidR="0031055A" w:rsidRDefault="00000000">
      <w:pPr>
        <w:spacing w:before="80" w:after="80" w:line="320" w:lineRule="auto"/>
        <w:jc w:val="both"/>
      </w:pPr>
      <w:r>
        <w:rPr>
          <w:color w:val="1A1A1A"/>
        </w:rPr>
        <w:t>Tesla's automotive gross margin for 2024 ranged between approximately 16.3% and 19.8% across quarters — above many market expectations given the severity of price cuts deployed to defend volume, but structurally constrained by the forces shaping the broader EV market.</w:t>
      </w:r>
    </w:p>
    <w:p w14:paraId="09F9C842" w14:textId="77777777" w:rsidR="0031055A" w:rsidRDefault="0031055A">
      <w:pPr>
        <w:spacing w:before="60"/>
      </w:pPr>
    </w:p>
    <w:p w14:paraId="09F9C843" w14:textId="77777777" w:rsidR="0031055A" w:rsidRDefault="00000000">
      <w:pPr>
        <w:spacing w:before="80" w:after="80" w:line="320" w:lineRule="auto"/>
        <w:jc w:val="both"/>
      </w:pPr>
      <w:r>
        <w:rPr>
          <w:color w:val="1A1A1A"/>
        </w:rPr>
        <w:t>The twin pressures on margin are well understood. First, BYD and other Chinese manufacturers continue to exert downward pricing pressure, forcing Tesla to compete on cost in a market it once dominated on technology premium. Second, the hardware economics of EV manufacturing are structurally commoditising: battery costs are converging across manufacturers, manufacturing efficiency gains are replicable, and the differentiation that once justified Tesla's premium is narrowing.</w:t>
      </w:r>
    </w:p>
    <w:p w14:paraId="09F9C844" w14:textId="77777777" w:rsidR="0031055A" w:rsidRDefault="0031055A">
      <w:pPr>
        <w:spacing w:before="60"/>
      </w:pPr>
    </w:p>
    <w:p w14:paraId="09F9C845" w14:textId="77777777" w:rsidR="0031055A" w:rsidRDefault="00000000">
      <w:pPr>
        <w:spacing w:before="80" w:after="80" w:line="320" w:lineRule="auto"/>
        <w:jc w:val="both"/>
      </w:pPr>
      <w:r>
        <w:rPr>
          <w:color w:val="1A1A1A"/>
        </w:rPr>
        <w:t>The implication is stark: automotive margin cannot be the primary driver of long-term value creation. Even optimistically, Tesla's EV manufacturing business gravitates toward a mid-teens gross margin over time — respectable, but not the foundation of a platform multiple. Long-term margin expansion must come from software and services, not from vehicles.</w:t>
      </w:r>
    </w:p>
    <w:p w14:paraId="09F9C846" w14:textId="77777777" w:rsidR="0031055A" w:rsidRDefault="003105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1055A" w14:paraId="09F9C84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09F9C847" w14:textId="77777777" w:rsidR="0031055A" w:rsidRDefault="00000000">
            <w:r>
              <w:rPr>
                <w:b/>
                <w:bCs/>
                <w:color w:val="FFFFFF"/>
                <w:sz w:val="20"/>
                <w:szCs w:val="20"/>
              </w:rPr>
              <w:t>Segment</w:t>
            </w:r>
          </w:p>
        </w:tc>
        <w:tc>
          <w:tcPr>
            <w:tcW w:w="3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09F9C848" w14:textId="77777777" w:rsidR="0031055A" w:rsidRDefault="00000000">
            <w:r>
              <w:rPr>
                <w:b/>
                <w:bCs/>
                <w:color w:val="FFFFFF"/>
                <w:sz w:val="20"/>
                <w:szCs w:val="20"/>
              </w:rPr>
              <w:t>Current Margin Range</w:t>
            </w:r>
          </w:p>
        </w:tc>
        <w:tc>
          <w:tcPr>
            <w:tcW w:w="33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09F9C849" w14:textId="77777777" w:rsidR="0031055A" w:rsidRDefault="00000000">
            <w:r>
              <w:rPr>
                <w:b/>
                <w:bCs/>
                <w:color w:val="FFFFFF"/>
                <w:sz w:val="20"/>
                <w:szCs w:val="20"/>
              </w:rPr>
              <w:t>Long-Term Trajectory</w:t>
            </w:r>
          </w:p>
        </w:tc>
      </w:tr>
      <w:tr w:rsidR="0031055A" w14:paraId="09F9C84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9F9C84B" w14:textId="77777777" w:rsidR="0031055A" w:rsidRDefault="00000000">
            <w:r>
              <w:rPr>
                <w:color w:val="1A1A1A"/>
                <w:sz w:val="20"/>
                <w:szCs w:val="20"/>
              </w:rPr>
              <w:t>EV Manufacturing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4C" w14:textId="77777777" w:rsidR="0031055A" w:rsidRDefault="00000000">
            <w:pPr>
              <w:jc w:val="center"/>
            </w:pPr>
            <w:r>
              <w:rPr>
                <w:color w:val="1A1A1A"/>
                <w:sz w:val="20"/>
                <w:szCs w:val="20"/>
              </w:rPr>
              <w:t>16–20% (gross)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4D" w14:textId="77777777" w:rsidR="0031055A" w:rsidRDefault="00000000">
            <w:pPr>
              <w:jc w:val="center"/>
            </w:pPr>
            <w:r>
              <w:rPr>
                <w:color w:val="1A1A1A"/>
                <w:sz w:val="20"/>
                <w:szCs w:val="20"/>
              </w:rPr>
              <w:t>Structurally compressing toward mid-teens</w:t>
            </w:r>
          </w:p>
        </w:tc>
      </w:tr>
      <w:tr w:rsidR="0031055A" w14:paraId="09F9C85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9F9C84F" w14:textId="77777777" w:rsidR="0031055A" w:rsidRDefault="00000000">
            <w:r>
              <w:rPr>
                <w:color w:val="1A1A1A"/>
                <w:sz w:val="20"/>
                <w:szCs w:val="20"/>
              </w:rPr>
              <w:t>FSD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50" w14:textId="77777777" w:rsidR="0031055A" w:rsidRDefault="00000000">
            <w:pPr>
              <w:jc w:val="center"/>
            </w:pPr>
            <w:r>
              <w:rPr>
                <w:color w:val="1A1A1A"/>
                <w:sz w:val="20"/>
                <w:szCs w:val="20"/>
              </w:rPr>
              <w:t>Est. 70–80%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51" w14:textId="77777777" w:rsidR="0031055A" w:rsidRDefault="00000000">
            <w:pPr>
              <w:jc w:val="center"/>
            </w:pPr>
            <w:r>
              <w:rPr>
                <w:color w:val="1A1A1A"/>
                <w:sz w:val="20"/>
                <w:szCs w:val="20"/>
              </w:rPr>
              <w:t>Expands with penetration; minimal marginal cost</w:t>
            </w:r>
          </w:p>
        </w:tc>
      </w:tr>
      <w:tr w:rsidR="0031055A" w14:paraId="09F9C85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9F9C853" w14:textId="77777777" w:rsidR="0031055A" w:rsidRDefault="00000000">
            <w:r>
              <w:rPr>
                <w:color w:val="1A1A1A"/>
                <w:sz w:val="20"/>
                <w:szCs w:val="20"/>
              </w:rPr>
              <w:t>Robotaxi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54" w14:textId="77777777" w:rsidR="0031055A" w:rsidRDefault="00000000">
            <w:pPr>
              <w:jc w:val="center"/>
            </w:pPr>
            <w:r>
              <w:rPr>
                <w:color w:val="1A1A1A"/>
                <w:sz w:val="20"/>
                <w:szCs w:val="20"/>
              </w:rPr>
              <w:t>Est. 40–50% (profit)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55" w14:textId="77777777" w:rsidR="0031055A" w:rsidRDefault="00000000">
            <w:pPr>
              <w:jc w:val="center"/>
            </w:pPr>
            <w:r>
              <w:rPr>
                <w:color w:val="1A1A1A"/>
                <w:sz w:val="20"/>
                <w:szCs w:val="20"/>
              </w:rPr>
              <w:t>Scales with utilisation; fixed cost leverage</w:t>
            </w:r>
          </w:p>
        </w:tc>
      </w:tr>
      <w:tr w:rsidR="0031055A" w14:paraId="09F9C85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9F9C857" w14:textId="77777777" w:rsidR="0031055A" w:rsidRDefault="00000000">
            <w:r>
              <w:rPr>
                <w:color w:val="1A1A1A"/>
                <w:sz w:val="20"/>
                <w:szCs w:val="20"/>
              </w:rPr>
              <w:t>Energy &amp; Services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58" w14:textId="77777777" w:rsidR="0031055A" w:rsidRDefault="00000000">
            <w:pPr>
              <w:jc w:val="center"/>
            </w:pPr>
            <w:r>
              <w:rPr>
                <w:color w:val="1A1A1A"/>
                <w:sz w:val="20"/>
                <w:szCs w:val="20"/>
              </w:rPr>
              <w:t>~25%+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59" w14:textId="77777777" w:rsidR="0031055A" w:rsidRDefault="00000000">
            <w:pPr>
              <w:jc w:val="center"/>
            </w:pPr>
            <w:r>
              <w:rPr>
                <w:color w:val="1A1A1A"/>
                <w:sz w:val="20"/>
                <w:szCs w:val="20"/>
              </w:rPr>
              <w:t>Growing but secondary to core thesis</w:t>
            </w:r>
          </w:p>
        </w:tc>
      </w:tr>
    </w:tbl>
    <w:p w14:paraId="09F9C85B" w14:textId="77777777" w:rsidR="0031055A" w:rsidRDefault="0031055A">
      <w:pPr>
        <w:spacing w:before="120"/>
      </w:pPr>
    </w:p>
    <w:p w14:paraId="09F9C85C" w14:textId="77777777" w:rsidR="0031055A" w:rsidRDefault="00000000">
      <w:pPr>
        <w:pStyle w:val="Heading2"/>
      </w:pPr>
      <w:r>
        <w:t>1.3  Revenue Shift — From Hardware to Recurring Revenue</w:t>
      </w:r>
    </w:p>
    <w:p w14:paraId="09F9C85D" w14:textId="77777777" w:rsidR="0031055A" w:rsidRDefault="00000000">
      <w:pPr>
        <w:spacing w:before="80" w:after="80" w:line="320" w:lineRule="auto"/>
        <w:jc w:val="both"/>
      </w:pPr>
      <w:r>
        <w:rPr>
          <w:color w:val="1A1A1A"/>
        </w:rPr>
        <w:t>Perhaps the most consequential financial development of the past 12 months is the shift in Tesla's revenue composition. The move from an $8,000 upfront FSD payment to a $99 per month subscription is not a pricing decision — it is a revenue architecture decision.</w:t>
      </w:r>
    </w:p>
    <w:p w14:paraId="09F9C85E" w14:textId="77777777" w:rsidR="0031055A" w:rsidRDefault="0031055A">
      <w:pPr>
        <w:spacing w:before="60"/>
      </w:pPr>
    </w:p>
    <w:p w14:paraId="09F9C85F" w14:textId="77777777" w:rsidR="0031055A" w:rsidRDefault="00000000">
      <w:pPr>
        <w:spacing w:before="80" w:after="80" w:line="320" w:lineRule="auto"/>
        <w:jc w:val="both"/>
      </w:pPr>
      <w:r>
        <w:rPr>
          <w:color w:val="1A1A1A"/>
        </w:rPr>
        <w:t xml:space="preserve">Under the old model, FSD revenue was recognised at point of sale, lumpy, and entirely dependent on vehicle delivery volume. Under the subscription model, revenue is recognised monthly, recurring, and decoupled from delivery volume. The same customer who would have paid $8,000 once now </w:t>
      </w:r>
      <w:r>
        <w:rPr>
          <w:color w:val="1A1A1A"/>
        </w:rPr>
        <w:lastRenderedPageBreak/>
        <w:t>generates $1,200 annually — and that revenue stream persists for as long as the subscription continues, compounding in value as the fleet grows and adoption deepens.</w:t>
      </w:r>
    </w:p>
    <w:p w14:paraId="09F9C860" w14:textId="77777777" w:rsidR="0031055A" w:rsidRDefault="0031055A">
      <w:pPr>
        <w:spacing w:before="60"/>
      </w:pPr>
    </w:p>
    <w:p w14:paraId="09F9C861" w14:textId="77777777" w:rsidR="0031055A" w:rsidRDefault="00000000">
      <w:pPr>
        <w:spacing w:before="80" w:after="80" w:line="320" w:lineRule="auto"/>
        <w:jc w:val="both"/>
      </w:pPr>
      <w:r>
        <w:rPr>
          <w:color w:val="1A1A1A"/>
        </w:rPr>
        <w:t>This shift also changes the risk profile of the revenue stream. Subscription revenue is more predictable, less cyclical, and carries characteristics that markets reward with higher multiples. It is the same structural transition that transformed Adobe, Microsoft, and Autodesk from hardware-adjacent software sellers into premium-multiple recurring revenue businesses.</w:t>
      </w:r>
    </w:p>
    <w:p w14:paraId="09F9C862" w14:textId="77777777" w:rsidR="0031055A" w:rsidRDefault="003105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55A" w14:paraId="09F9C865"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09F9C863" w14:textId="77777777" w:rsidR="0031055A" w:rsidRDefault="00000000">
            <w:pPr>
              <w:spacing w:after="60"/>
            </w:pPr>
            <w:r>
              <w:rPr>
                <w:b/>
                <w:bCs/>
                <w:caps/>
                <w:color w:val="2E5FA3"/>
                <w:sz w:val="18"/>
                <w:szCs w:val="18"/>
              </w:rPr>
              <w:t>KEY INSIGHT</w:t>
            </w:r>
          </w:p>
          <w:p w14:paraId="09F9C864" w14:textId="77777777" w:rsidR="0031055A" w:rsidRDefault="00000000">
            <w:r>
              <w:rPr>
                <w:i/>
                <w:iCs/>
                <w:color w:val="1A1A1A"/>
              </w:rPr>
              <w:t>Tesla is replicating the SaaS transition playbook in the physical world. The subscription shift is the single most important financial architecture change in the company's recent history — yet it receives far less attention than quarterly delivery numbers.</w:t>
            </w:r>
          </w:p>
        </w:tc>
      </w:tr>
    </w:tbl>
    <w:p w14:paraId="09F9C866" w14:textId="77777777" w:rsidR="0031055A" w:rsidRDefault="0031055A">
      <w:pPr>
        <w:spacing w:before="120"/>
      </w:pPr>
    </w:p>
    <w:p w14:paraId="09F9C867" w14:textId="77777777" w:rsidR="0031055A" w:rsidRDefault="00000000">
      <w:pPr>
        <w:pStyle w:val="Heading1"/>
        <w:pBdr>
          <w:bottom w:val="single" w:sz="6" w:space="6" w:color="2E5FA3"/>
        </w:pBdr>
      </w:pPr>
      <w:r>
        <w:t>II. Unit Economics</w:t>
      </w:r>
    </w:p>
    <w:p w14:paraId="09F9C868" w14:textId="77777777" w:rsidR="0031055A" w:rsidRDefault="00000000">
      <w:pPr>
        <w:spacing w:before="80" w:after="80" w:line="320" w:lineRule="auto"/>
        <w:jc w:val="both"/>
      </w:pPr>
      <w:r>
        <w:rPr>
          <w:color w:val="1A1A1A"/>
        </w:rPr>
        <w:t>Unit economics are the bridge between financial statements and valuation. They answer the question the income statement cannot: how much value does Tesla extract from a single vehicle over its lifetime? The answer to that question changes dramatically depending on which layer of Tesla's business model is active.</w:t>
      </w:r>
    </w:p>
    <w:p w14:paraId="09F9C869" w14:textId="77777777" w:rsidR="0031055A" w:rsidRDefault="0031055A">
      <w:pPr>
        <w:spacing w:before="100"/>
      </w:pPr>
    </w:p>
    <w:p w14:paraId="09F9C86A" w14:textId="77777777" w:rsidR="0031055A" w:rsidRDefault="00000000">
      <w:pPr>
        <w:pStyle w:val="Heading2"/>
      </w:pPr>
      <w:r>
        <w:t>2.1  The Lifetime Value Framework</w:t>
      </w:r>
    </w:p>
    <w:p w14:paraId="09F9C86B" w14:textId="77777777" w:rsidR="0031055A" w:rsidRDefault="00000000">
      <w:pPr>
        <w:spacing w:before="80" w:after="80" w:line="320" w:lineRule="auto"/>
        <w:jc w:val="both"/>
      </w:pPr>
      <w:r>
        <w:rPr>
          <w:color w:val="1A1A1A"/>
        </w:rPr>
        <w:t>Traditional automotive economics are simple and static. A car is manufactured, sold, and the transaction is complete. Revenue is realised upfront; there is no ongoing economic relationship between manufacturer and vehicle owner. At approximately $41,000–50,000 per vehicle, Tesla's average selling price under this model is competitive, but the value captured terminates at the point of sale.</w:t>
      </w:r>
    </w:p>
    <w:p w14:paraId="09F9C86C" w14:textId="77777777" w:rsidR="0031055A" w:rsidRDefault="0031055A">
      <w:pPr>
        <w:spacing w:before="60"/>
      </w:pPr>
    </w:p>
    <w:p w14:paraId="09F9C86D" w14:textId="77777777" w:rsidR="0031055A" w:rsidRDefault="00000000">
      <w:pPr>
        <w:spacing w:before="80" w:after="80" w:line="320" w:lineRule="auto"/>
        <w:jc w:val="both"/>
      </w:pPr>
      <w:r>
        <w:rPr>
          <w:color w:val="1A1A1A"/>
        </w:rPr>
        <w:t>The FSD subscription model breaks this static relationship. At $99 per month, a subscribing vehicle owner generates $1,200 annually for Tesla — indefinitely, as long as the subscription continues. Over a 5–10 year vehicle ownership period, that single vehicle generates $6,000–$12,000 in recurring, high-margin software revenue on top of the original hardware sale. The lifetime value (LTV) of a subscribed vehicle is substantially higher than a non-subscribed one.</w:t>
      </w:r>
    </w:p>
    <w:p w14:paraId="09F9C86E" w14:textId="77777777" w:rsidR="0031055A" w:rsidRDefault="0031055A">
      <w:pPr>
        <w:spacing w:before="60"/>
      </w:pPr>
    </w:p>
    <w:p w14:paraId="09F9C86F" w14:textId="77777777" w:rsidR="0031055A" w:rsidRDefault="00000000">
      <w:pPr>
        <w:spacing w:before="120" w:after="120"/>
        <w:jc w:val="center"/>
      </w:pPr>
      <w:r>
        <w:rPr>
          <w:b/>
          <w:bCs/>
          <w:color w:val="1F3A6E"/>
          <w:sz w:val="23"/>
          <w:szCs w:val="23"/>
        </w:rPr>
        <w:t>LTV per Vehicle  =  Hardware Revenue  +  (ARPU × Subscription Years)</w:t>
      </w:r>
    </w:p>
    <w:p w14:paraId="09F9C870" w14:textId="77777777" w:rsidR="0031055A" w:rsidRDefault="0031055A">
      <w:pPr>
        <w:spacing w:before="60"/>
      </w:pPr>
    </w:p>
    <w:p w14:paraId="09F9C871" w14:textId="77777777" w:rsidR="0031055A" w:rsidRDefault="00000000">
      <w:pPr>
        <w:spacing w:before="80" w:after="80" w:line="320" w:lineRule="auto"/>
        <w:jc w:val="both"/>
      </w:pPr>
      <w:r>
        <w:rPr>
          <w:color w:val="1A1A1A"/>
        </w:rPr>
        <w:lastRenderedPageBreak/>
        <w:t>The compounding effect across the fleet is significant. With 1.79 million vehicles delivered in 2024, and assuming that delivery rate grows modestly, the cumulative fleet eligible for FSD subscription grows each year. A 30% penetration rate applied to a forward fleet of 8–10 million vehicles generates a subscriber base — and a recurring revenue engine — that did not exist three years ago.</w:t>
      </w:r>
    </w:p>
    <w:p w14:paraId="09F9C872" w14:textId="77777777" w:rsidR="0031055A" w:rsidRDefault="0031055A">
      <w:pPr>
        <w:spacing w:before="100"/>
      </w:pPr>
    </w:p>
    <w:p w14:paraId="09F9C873" w14:textId="77777777" w:rsidR="0031055A" w:rsidRDefault="00000000">
      <w:pPr>
        <w:pStyle w:val="Heading2"/>
      </w:pPr>
      <w:r>
        <w:t>2.2  Robotaxi Economics — The Asset Utilisation Inversion</w:t>
      </w:r>
    </w:p>
    <w:p w14:paraId="09F9C874" w14:textId="77777777" w:rsidR="0031055A" w:rsidRDefault="00000000">
      <w:pPr>
        <w:spacing w:before="80" w:after="80" w:line="320" w:lineRule="auto"/>
        <w:jc w:val="both"/>
      </w:pPr>
      <w:r>
        <w:rPr>
          <w:color w:val="1A1A1A"/>
        </w:rPr>
        <w:t>The Robotaxi layer inverts the unit economics model entirely. A privately-owned vehicle is, by definition, an underutilised asset — it sits idle for the vast majority of its life. A Robotaxi is a continuously deployed revenue-generating asset. The economic value is not extracted at the moment of sale; it is extracted through utilisation, continuously, over the vehicle's operational life.</w:t>
      </w:r>
    </w:p>
    <w:p w14:paraId="09F9C875" w14:textId="77777777" w:rsidR="0031055A" w:rsidRDefault="0031055A">
      <w:pPr>
        <w:spacing w:before="60"/>
      </w:pPr>
    </w:p>
    <w:p w14:paraId="09F9C876" w14:textId="77777777" w:rsidR="0031055A" w:rsidRDefault="00000000">
      <w:pPr>
        <w:spacing w:before="80" w:after="80" w:line="320" w:lineRule="auto"/>
        <w:jc w:val="both"/>
      </w:pPr>
      <w:r>
        <w:rPr>
          <w:color w:val="1A1A1A"/>
        </w:rPr>
        <w:t>Under a high-utilisation Robotaxi scenario, each vehicle could generate $20,000–30,000 in gross annual revenue. With Tesla capturing approximately 20–30% of that as a platform take-rate, each active Robotaxi contributes $4,000–9,000 per year to Tesla's revenue — compared to a one-time hardware margin of perhaps $6,000–8,000 on a direct vehicle sale. After three years of operation, the Robotaxi has already delivered more value to Tesla than a conventional sale, with each subsequent year representing incremental high-margin upside.</w:t>
      </w:r>
    </w:p>
    <w:p w14:paraId="09F9C877" w14:textId="77777777" w:rsidR="0031055A" w:rsidRDefault="003105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2700"/>
        <w:gridCol w:w="2160"/>
      </w:tblGrid>
      <w:tr w:rsidR="0031055A" w14:paraId="09F9C87C"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09F9C878" w14:textId="77777777" w:rsidR="0031055A" w:rsidRDefault="00000000">
            <w:r>
              <w:rPr>
                <w:b/>
                <w:bCs/>
                <w:color w:val="FFFFFF"/>
                <w:sz w:val="20"/>
                <w:szCs w:val="20"/>
              </w:rPr>
              <w:t>Revenue Model</w:t>
            </w:r>
          </w:p>
        </w:tc>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09F9C879" w14:textId="77777777" w:rsidR="0031055A" w:rsidRDefault="00000000">
            <w:r>
              <w:rPr>
                <w:b/>
                <w:bCs/>
                <w:color w:val="FFFFFF"/>
                <w:sz w:val="20"/>
                <w:szCs w:val="20"/>
              </w:rPr>
              <w:t>Revenue Type</w:t>
            </w:r>
          </w:p>
        </w:tc>
        <w:tc>
          <w:tcPr>
            <w:tcW w:w="27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09F9C87A" w14:textId="77777777" w:rsidR="0031055A" w:rsidRDefault="00000000">
            <w:r>
              <w:rPr>
                <w:b/>
                <w:bCs/>
                <w:color w:val="FFFFFF"/>
                <w:sz w:val="20"/>
                <w:szCs w:val="20"/>
              </w:rPr>
              <w:t>Per-Vehicle Revenue</w:t>
            </w:r>
          </w:p>
        </w:tc>
        <w:tc>
          <w:tcPr>
            <w:tcW w:w="21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40" w:type="dxa"/>
              <w:bottom w:w="100" w:type="dxa"/>
              <w:right w:w="140" w:type="dxa"/>
            </w:tcMar>
            <w:vAlign w:val="center"/>
          </w:tcPr>
          <w:p w14:paraId="09F9C87B" w14:textId="77777777" w:rsidR="0031055A" w:rsidRDefault="00000000">
            <w:r>
              <w:rPr>
                <w:b/>
                <w:bCs/>
                <w:color w:val="FFFFFF"/>
                <w:sz w:val="20"/>
                <w:szCs w:val="20"/>
              </w:rPr>
              <w:t>Margin Profile</w:t>
            </w:r>
          </w:p>
        </w:tc>
      </w:tr>
      <w:tr w:rsidR="0031055A" w14:paraId="09F9C881" w14:textId="77777777">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9F9C87D" w14:textId="77777777" w:rsidR="0031055A" w:rsidRDefault="00000000">
            <w:r>
              <w:rPr>
                <w:color w:val="1A1A1A"/>
                <w:sz w:val="20"/>
                <w:szCs w:val="20"/>
              </w:rPr>
              <w:t>EV Sale (no FSD)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7E" w14:textId="77777777" w:rsidR="0031055A" w:rsidRDefault="00000000">
            <w:pPr>
              <w:jc w:val="center"/>
            </w:pPr>
            <w:r>
              <w:rPr>
                <w:color w:val="1A1A1A"/>
                <w:sz w:val="20"/>
                <w:szCs w:val="20"/>
              </w:rPr>
              <w:t>One-time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7F" w14:textId="77777777" w:rsidR="0031055A" w:rsidRDefault="00000000">
            <w:pPr>
              <w:jc w:val="center"/>
            </w:pPr>
            <w:r>
              <w:rPr>
                <w:color w:val="1A1A1A"/>
                <w:sz w:val="20"/>
                <w:szCs w:val="20"/>
              </w:rPr>
              <w:t>~$41–50k (hardware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80" w14:textId="77777777" w:rsidR="0031055A" w:rsidRDefault="00000000">
            <w:pPr>
              <w:jc w:val="center"/>
            </w:pPr>
            <w:r>
              <w:rPr>
                <w:color w:val="1A1A1A"/>
                <w:sz w:val="20"/>
                <w:szCs w:val="20"/>
              </w:rPr>
              <w:t>~17–20% gross</w:t>
            </w:r>
          </w:p>
        </w:tc>
      </w:tr>
      <w:tr w:rsidR="0031055A" w14:paraId="09F9C886" w14:textId="77777777">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9F9C882" w14:textId="77777777" w:rsidR="0031055A" w:rsidRDefault="00000000">
            <w:r>
              <w:rPr>
                <w:color w:val="1A1A1A"/>
                <w:sz w:val="20"/>
                <w:szCs w:val="20"/>
              </w:rPr>
              <w:t>EV Sale + FSD Sub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83" w14:textId="77777777" w:rsidR="0031055A" w:rsidRDefault="00000000">
            <w:pPr>
              <w:jc w:val="center"/>
            </w:pPr>
            <w:r>
              <w:rPr>
                <w:color w:val="1A1A1A"/>
                <w:sz w:val="20"/>
                <w:szCs w:val="20"/>
              </w:rPr>
              <w:t>One-time + recur.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84" w14:textId="77777777" w:rsidR="0031055A" w:rsidRDefault="00000000">
            <w:pPr>
              <w:jc w:val="center"/>
            </w:pPr>
            <w:r>
              <w:rPr>
                <w:color w:val="1A1A1A"/>
                <w:sz w:val="20"/>
                <w:szCs w:val="20"/>
              </w:rPr>
              <w:t>$41–50k + $1,200/yr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85" w14:textId="77777777" w:rsidR="0031055A" w:rsidRDefault="00000000">
            <w:pPr>
              <w:jc w:val="center"/>
            </w:pPr>
            <w:r>
              <w:rPr>
                <w:color w:val="1A1A1A"/>
                <w:sz w:val="20"/>
                <w:szCs w:val="20"/>
              </w:rPr>
              <w:t>Hardware + ~75% on FSD</w:t>
            </w:r>
          </w:p>
        </w:tc>
      </w:tr>
      <w:tr w:rsidR="0031055A" w14:paraId="09F9C88B" w14:textId="77777777">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9F9C887" w14:textId="77777777" w:rsidR="0031055A" w:rsidRDefault="00000000">
            <w:r>
              <w:rPr>
                <w:color w:val="1A1A1A"/>
                <w:sz w:val="20"/>
                <w:szCs w:val="20"/>
              </w:rPr>
              <w:t>Robotaxi (Tesla share)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88" w14:textId="77777777" w:rsidR="0031055A" w:rsidRDefault="00000000">
            <w:pPr>
              <w:jc w:val="center"/>
            </w:pPr>
            <w:r>
              <w:rPr>
                <w:color w:val="1A1A1A"/>
                <w:sz w:val="20"/>
                <w:szCs w:val="20"/>
              </w:rPr>
              <w:t>Recurring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89" w14:textId="77777777" w:rsidR="0031055A" w:rsidRDefault="00000000">
            <w:pPr>
              <w:jc w:val="center"/>
            </w:pPr>
            <w:r>
              <w:rPr>
                <w:color w:val="1A1A1A"/>
                <w:sz w:val="20"/>
                <w:szCs w:val="20"/>
              </w:rPr>
              <w:t>~$4–9k/yr (platform cut)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9C88A" w14:textId="77777777" w:rsidR="0031055A" w:rsidRDefault="00000000">
            <w:pPr>
              <w:jc w:val="center"/>
            </w:pPr>
            <w:r>
              <w:rPr>
                <w:color w:val="1A1A1A"/>
                <w:sz w:val="20"/>
                <w:szCs w:val="20"/>
              </w:rPr>
              <w:t>~40–50% profit margin</w:t>
            </w:r>
          </w:p>
        </w:tc>
      </w:tr>
    </w:tbl>
    <w:p w14:paraId="09F9C88C" w14:textId="77777777" w:rsidR="0031055A" w:rsidRDefault="0031055A">
      <w:pPr>
        <w:spacing w:before="80"/>
      </w:pPr>
    </w:p>
    <w:p w14:paraId="09F9C88D" w14:textId="77777777" w:rsidR="0031055A" w:rsidRDefault="00000000">
      <w:pPr>
        <w:spacing w:before="80" w:after="80" w:line="320" w:lineRule="auto"/>
        <w:jc w:val="both"/>
      </w:pPr>
      <w:r>
        <w:rPr>
          <w:color w:val="1A1A1A"/>
        </w:rPr>
        <w:t>What makes this comparison powerful is that it reframes the question from 'how many vehicles does Tesla sell?' to 'how much value does Tesla extract per vehicle over its lifetime?' These are very different questions, and the valuation implications of the second question — once Robotaxi is operating at scale — are orders of magnitude larger.</w:t>
      </w:r>
    </w:p>
    <w:p w14:paraId="09F9C88E" w14:textId="77777777" w:rsidR="0031055A" w:rsidRDefault="0031055A">
      <w:pPr>
        <w:spacing w:before="100"/>
      </w:pPr>
    </w:p>
    <w:p w14:paraId="09F9C88F" w14:textId="77777777" w:rsidR="0031055A" w:rsidRDefault="00000000">
      <w:pPr>
        <w:pStyle w:val="Heading2"/>
      </w:pPr>
      <w:r>
        <w:t>2.3  The Profitability Driver: Utilisation, Not Production</w:t>
      </w:r>
    </w:p>
    <w:p w14:paraId="09F9C890" w14:textId="77777777" w:rsidR="0031055A" w:rsidRDefault="00000000">
      <w:pPr>
        <w:spacing w:before="80" w:after="80" w:line="320" w:lineRule="auto"/>
        <w:jc w:val="both"/>
      </w:pPr>
      <w:r>
        <w:rPr>
          <w:color w:val="1A1A1A"/>
        </w:rPr>
        <w:t>The key insight from the Robotaxi unit economics is that profitability is determined primarily by utilisation rate, not by production cost. This is a fundamentally different cost structure from traditional automotive manufacturing, where scale economies in production are the dominant profit driver.</w:t>
      </w:r>
    </w:p>
    <w:p w14:paraId="09F9C891" w14:textId="77777777" w:rsidR="0031055A" w:rsidRDefault="0031055A">
      <w:pPr>
        <w:spacing w:before="60"/>
      </w:pPr>
    </w:p>
    <w:p w14:paraId="09F9C892" w14:textId="77777777" w:rsidR="0031055A" w:rsidRDefault="00000000">
      <w:pPr>
        <w:spacing w:before="80" w:after="80" w:line="320" w:lineRule="auto"/>
        <w:jc w:val="both"/>
      </w:pPr>
      <w:r>
        <w:rPr>
          <w:color w:val="1A1A1A"/>
        </w:rPr>
        <w:lastRenderedPageBreak/>
        <w:t xml:space="preserve">For a Robotaxi, the major cost components are: vehicle production (approximately $30,000 for the </w:t>
      </w:r>
      <w:proofErr w:type="spellStart"/>
      <w:r>
        <w:rPr>
          <w:color w:val="1A1A1A"/>
        </w:rPr>
        <w:t>Cybercab</w:t>
      </w:r>
      <w:proofErr w:type="spellEnd"/>
      <w:r>
        <w:rPr>
          <w:color w:val="1A1A1A"/>
        </w:rPr>
        <w:t>), software development and ongoing model training, safety redundancy systems, regulatory compliance across operating jurisdictions, and fleet operations infrastructure. Of these, the first is a one-time fixed cost. The remainder are largely fixed or semi-fixed at the fleet level — meaning that the marginal cost of adding utilisation to an existing Robotaxi is very low. The economics improve rapidly as utilisation rises.</w:t>
      </w:r>
    </w:p>
    <w:p w14:paraId="09F9C893" w14:textId="77777777" w:rsidR="0031055A" w:rsidRDefault="0031055A">
      <w:pPr>
        <w:spacing w:before="60"/>
      </w:pPr>
    </w:p>
    <w:p w14:paraId="09F9C894" w14:textId="77777777" w:rsidR="0031055A" w:rsidRDefault="00000000">
      <w:pPr>
        <w:spacing w:before="80" w:after="80" w:line="320" w:lineRule="auto"/>
        <w:jc w:val="both"/>
      </w:pPr>
      <w:r>
        <w:rPr>
          <w:color w:val="1A1A1A"/>
        </w:rPr>
        <w:t>This is the same economic logic that makes cloud infrastructure businesses so valuable at scale: once the fixed cost of the asset is covered, incremental revenue flows through at very high margins. The difference is that Robotaxi economics are physically constrained — a vehicle can only be in one place at a time, for a finite number of hours per day — which is why the utilisation assumption in any model is so consequential.</w:t>
      </w:r>
    </w:p>
    <w:p w14:paraId="09F9C895" w14:textId="77777777" w:rsidR="0031055A" w:rsidRDefault="0031055A">
      <w:pPr>
        <w:spacing w:before="120"/>
      </w:pPr>
    </w:p>
    <w:p w14:paraId="09F9C896" w14:textId="77777777" w:rsidR="0031055A" w:rsidRDefault="00000000">
      <w:pPr>
        <w:pStyle w:val="Heading1"/>
        <w:pBdr>
          <w:bottom w:val="single" w:sz="6" w:space="6" w:color="2E5FA3"/>
        </w:pBdr>
      </w:pPr>
      <w:r>
        <w:t>III. Cost Structure</w:t>
      </w:r>
    </w:p>
    <w:p w14:paraId="09F9C897" w14:textId="77777777" w:rsidR="0031055A" w:rsidRDefault="00000000">
      <w:pPr>
        <w:spacing w:before="80" w:after="80" w:line="320" w:lineRule="auto"/>
        <w:jc w:val="both"/>
      </w:pPr>
      <w:r>
        <w:rPr>
          <w:color w:val="1A1A1A"/>
        </w:rPr>
        <w:t>Understanding Tesla's cost structure requires distinguishing between three distinct cost environments: the mature EV business, the scaling FSD software layer, and the nascent Robotaxi infrastructure. Each has a different cost profile, a different trajectory, and a different implication for long-term margins.</w:t>
      </w:r>
    </w:p>
    <w:p w14:paraId="09F9C898" w14:textId="77777777" w:rsidR="0031055A" w:rsidRDefault="0031055A">
      <w:pPr>
        <w:spacing w:before="100"/>
      </w:pPr>
    </w:p>
    <w:p w14:paraId="09F9C899" w14:textId="77777777" w:rsidR="0031055A" w:rsidRDefault="00000000">
      <w:pPr>
        <w:pStyle w:val="Heading2"/>
      </w:pPr>
      <w:r>
        <w:t>3.1  EV Manufacturing — A Maturing Cost Curve</w:t>
      </w:r>
    </w:p>
    <w:p w14:paraId="09F9C89A" w14:textId="77777777" w:rsidR="0031055A" w:rsidRDefault="00000000">
      <w:pPr>
        <w:spacing w:before="80" w:after="80" w:line="320" w:lineRule="auto"/>
        <w:jc w:val="both"/>
      </w:pPr>
      <w:r>
        <w:rPr>
          <w:color w:val="1A1A1A"/>
        </w:rPr>
        <w:t>Tesla's manufacturing cost structure has improved dramatically over the past decade, driven by vertical integration, Gigafactory scale, and continuous process innovation. The company has been a genuine pioneer in automotive manufacturing efficiency, from the single-piece Giga casting process to battery cell design.</w:t>
      </w:r>
    </w:p>
    <w:p w14:paraId="09F9C89B" w14:textId="77777777" w:rsidR="0031055A" w:rsidRDefault="0031055A">
      <w:pPr>
        <w:spacing w:before="60"/>
      </w:pPr>
    </w:p>
    <w:p w14:paraId="09F9C89C" w14:textId="77777777" w:rsidR="0031055A" w:rsidRDefault="00000000">
      <w:pPr>
        <w:spacing w:before="80" w:after="80" w:line="320" w:lineRule="auto"/>
        <w:jc w:val="both"/>
      </w:pPr>
      <w:r>
        <w:rPr>
          <w:color w:val="1A1A1A"/>
        </w:rPr>
        <w:t>However, the marginal gains from here are more limited. Battery cell costs are converging across the industry. Competitors, particularly in China, have built manufacturing operations at comparable scale. The cost advantage that Tesla once held as a near-monopolist in EV manufacturing has narrowed, and in certain cost categories, Chinese manufacturers have drawn level or moved ahead. The EV cost curve is maturing, and so are Tesla's manufacturing cost advantages within it.</w:t>
      </w:r>
    </w:p>
    <w:p w14:paraId="09F9C89D" w14:textId="77777777" w:rsidR="0031055A" w:rsidRDefault="0031055A">
      <w:pPr>
        <w:spacing w:before="60"/>
      </w:pPr>
    </w:p>
    <w:p w14:paraId="09F9C89E" w14:textId="77777777" w:rsidR="0031055A" w:rsidRDefault="00000000">
      <w:pPr>
        <w:spacing w:before="80" w:after="80" w:line="320" w:lineRule="auto"/>
        <w:jc w:val="both"/>
      </w:pPr>
      <w:r>
        <w:rPr>
          <w:color w:val="1A1A1A"/>
        </w:rPr>
        <w:t xml:space="preserve">The practical implication: EV manufacturing margins are unlikely to expand materially from current levels through cost reduction alone. Price competition from BYD and others will continue to exert downward pressure on revenue per unit, while raw material costs remain volatile. The EV segment is </w:t>
      </w:r>
      <w:r>
        <w:rPr>
          <w:color w:val="1A1A1A"/>
        </w:rPr>
        <w:lastRenderedPageBreak/>
        <w:t>transitioning from a high-growth, margin-expanding business into a stable, capital-intensive operation that generates cash but does not drive multiple expansion.</w:t>
      </w:r>
    </w:p>
    <w:p w14:paraId="09F9C89F" w14:textId="77777777" w:rsidR="0031055A" w:rsidRDefault="0031055A">
      <w:pPr>
        <w:spacing w:before="100"/>
      </w:pPr>
    </w:p>
    <w:p w14:paraId="09F9C8A0" w14:textId="77777777" w:rsidR="0031055A" w:rsidRDefault="00000000">
      <w:pPr>
        <w:pStyle w:val="Heading2"/>
      </w:pPr>
      <w:r>
        <w:t>3.2  FSD Software — Near-Zero Marginal Cost at Scale</w:t>
      </w:r>
    </w:p>
    <w:p w14:paraId="09F9C8A1" w14:textId="77777777" w:rsidR="0031055A" w:rsidRDefault="00000000">
      <w:pPr>
        <w:spacing w:before="80" w:after="80" w:line="320" w:lineRule="auto"/>
        <w:jc w:val="both"/>
      </w:pPr>
      <w:r>
        <w:rPr>
          <w:color w:val="1A1A1A"/>
        </w:rPr>
        <w:t>The FSD cost structure is fundamentally different. Software development costs are largely fixed — a team of engineers, a compute infrastructure, and a training pipeline. These costs do not scale linearly with subscriber count. The marginal cost of serving the ten-millionth FSD subscriber is close to zero.</w:t>
      </w:r>
    </w:p>
    <w:p w14:paraId="09F9C8A2" w14:textId="77777777" w:rsidR="0031055A" w:rsidRDefault="0031055A">
      <w:pPr>
        <w:spacing w:before="60"/>
      </w:pPr>
    </w:p>
    <w:p w14:paraId="09F9C8A3" w14:textId="77777777" w:rsidR="0031055A" w:rsidRDefault="00000000">
      <w:pPr>
        <w:spacing w:before="80" w:after="80" w:line="320" w:lineRule="auto"/>
        <w:jc w:val="both"/>
      </w:pPr>
      <w:r>
        <w:rPr>
          <w:color w:val="1A1A1A"/>
        </w:rPr>
        <w:t>This is why software margins of 70–80% are achievable at scale: once the development cost is covered, incremental revenue from each additional subscriber flows through almost entirely to profit. The cost curve is steep initially — building and validating a full self-driving system is among the most expensive software engineering challenges in the world — but the long-run economics are exceptional.</w:t>
      </w:r>
    </w:p>
    <w:p w14:paraId="09F9C8A4" w14:textId="77777777" w:rsidR="0031055A" w:rsidRDefault="0031055A">
      <w:pPr>
        <w:spacing w:before="60"/>
      </w:pPr>
    </w:p>
    <w:p w14:paraId="09F9C8A5" w14:textId="77777777" w:rsidR="0031055A" w:rsidRDefault="00000000">
      <w:pPr>
        <w:spacing w:before="80" w:after="80" w:line="320" w:lineRule="auto"/>
        <w:jc w:val="both"/>
      </w:pPr>
      <w:r>
        <w:rPr>
          <w:color w:val="1A1A1A"/>
        </w:rPr>
        <w:t>The remaining variable cost in the FSD layer is compute. Training large neural networks on petabytes of driving data requires significant GPU infrastructure, and inference costs (running the model in real-time on the vehicle) are non-trivial. Tesla's investment in its own Dojo supercomputer is partly an attempt to internalise this cost, reducing dependency on third-party compute and lowering the long-run marginal cost of the software layer.</w:t>
      </w:r>
    </w:p>
    <w:p w14:paraId="09F9C8A6" w14:textId="77777777" w:rsidR="0031055A" w:rsidRDefault="003105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55A" w14:paraId="09F9C8A9"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09F9C8A7" w14:textId="77777777" w:rsidR="0031055A" w:rsidRDefault="00000000">
            <w:pPr>
              <w:spacing w:after="60"/>
            </w:pPr>
            <w:r>
              <w:rPr>
                <w:b/>
                <w:bCs/>
                <w:caps/>
                <w:color w:val="2E5FA3"/>
                <w:sz w:val="18"/>
                <w:szCs w:val="18"/>
              </w:rPr>
              <w:t>COST STRUCTURE INSIGHT</w:t>
            </w:r>
          </w:p>
          <w:p w14:paraId="09F9C8A8" w14:textId="77777777" w:rsidR="0031055A" w:rsidRDefault="00000000">
            <w:r>
              <w:rPr>
                <w:i/>
                <w:iCs/>
                <w:color w:val="1A1A1A"/>
              </w:rPr>
              <w:t>The shift from hardware to software changes the fundamental shape of Tesla's cost curve. Hardware costs are variable and scale with units; software costs are largely fixed and spread across subscribers. This is why penetration rate — not vehicle volume — becomes the critical financial variable.</w:t>
            </w:r>
          </w:p>
        </w:tc>
      </w:tr>
    </w:tbl>
    <w:p w14:paraId="09F9C8AA" w14:textId="77777777" w:rsidR="0031055A" w:rsidRDefault="0031055A">
      <w:pPr>
        <w:spacing w:before="100"/>
      </w:pPr>
    </w:p>
    <w:p w14:paraId="09F9C8AB" w14:textId="77777777" w:rsidR="0031055A" w:rsidRDefault="00000000">
      <w:pPr>
        <w:pStyle w:val="Heading2"/>
      </w:pPr>
      <w:r>
        <w:t>3.3  Robotaxi Infrastructure — The Hidden Cost Layer</w:t>
      </w:r>
    </w:p>
    <w:p w14:paraId="09F9C8AC" w14:textId="77777777" w:rsidR="0031055A" w:rsidRDefault="00000000">
      <w:pPr>
        <w:spacing w:before="80" w:after="80" w:line="320" w:lineRule="auto"/>
        <w:jc w:val="both"/>
      </w:pPr>
      <w:r>
        <w:rPr>
          <w:color w:val="1A1A1A"/>
        </w:rPr>
        <w:t>The most frequently underestimated component of Tesla's cost structure is the Robotaxi operational layer. A deployed Robotaxi fleet is not just a collection of autonomous vehicles — it is a managed mobility service that requires continuous investment in operational infrastructure.</w:t>
      </w:r>
    </w:p>
    <w:p w14:paraId="09F9C8AD" w14:textId="77777777" w:rsidR="0031055A" w:rsidRDefault="0031055A">
      <w:pPr>
        <w:spacing w:before="60"/>
      </w:pPr>
    </w:p>
    <w:p w14:paraId="09F9C8AE" w14:textId="77777777" w:rsidR="0031055A" w:rsidRDefault="00000000">
      <w:pPr>
        <w:spacing w:before="80" w:after="80" w:line="320" w:lineRule="auto"/>
        <w:jc w:val="both"/>
      </w:pPr>
      <w:r>
        <w:rPr>
          <w:color w:val="1A1A1A"/>
        </w:rPr>
        <w:t xml:space="preserve">The full cost stack for a Robotaxi operation includes: vehicle manufacturing (~$30,000 per </w:t>
      </w:r>
      <w:proofErr w:type="spellStart"/>
      <w:r>
        <w:rPr>
          <w:color w:val="1A1A1A"/>
        </w:rPr>
        <w:t>Cybercab</w:t>
      </w:r>
      <w:proofErr w:type="spellEnd"/>
      <w:r>
        <w:rPr>
          <w:color w:val="1A1A1A"/>
        </w:rPr>
        <w:t xml:space="preserve">), software development and model updates, safety monitoring and remote intervention systems, vehicle maintenance and cleaning operations, insurance and liability provisions, and regulatory </w:t>
      </w:r>
      <w:r>
        <w:rPr>
          <w:color w:val="1A1A1A"/>
        </w:rPr>
        <w:lastRenderedPageBreak/>
        <w:t>compliance across each operating jurisdiction. When all of these are included, the total system cost per vehicle is meaningfully higher than the hardware cost alone suggests.</w:t>
      </w:r>
    </w:p>
    <w:p w14:paraId="09F9C8AF" w14:textId="77777777" w:rsidR="0031055A" w:rsidRDefault="0031055A">
      <w:pPr>
        <w:spacing w:before="60"/>
      </w:pPr>
    </w:p>
    <w:p w14:paraId="09F9C8B0" w14:textId="77777777" w:rsidR="0031055A" w:rsidRDefault="00000000">
      <w:pPr>
        <w:spacing w:before="80" w:after="80" w:line="320" w:lineRule="auto"/>
        <w:jc w:val="both"/>
      </w:pPr>
      <w:r>
        <w:rPr>
          <w:color w:val="1A1A1A"/>
        </w:rPr>
        <w:t>This distinction — hardware cost versus total system cost — is critical for evaluating Tesla's competitive position against Waymo. Waymo's hardware is more expensive, but it has already built and tested the operational infrastructure required to run a commercial Robotaxi service. Tesla's lower hardware cost is a genuine advantage, but it does not automatically translate into lower total system cost until the operational layer is fully built and scaled.</w:t>
      </w:r>
    </w:p>
    <w:p w14:paraId="09F9C8B1" w14:textId="77777777" w:rsidR="0031055A" w:rsidRDefault="0031055A">
      <w:pPr>
        <w:spacing w:before="120"/>
      </w:pPr>
    </w:p>
    <w:p w14:paraId="09F9C8B2" w14:textId="77777777" w:rsidR="0031055A" w:rsidRDefault="00000000">
      <w:pPr>
        <w:pStyle w:val="Heading1"/>
        <w:pBdr>
          <w:bottom w:val="single" w:sz="6" w:space="6" w:color="2E5FA3"/>
        </w:pBdr>
      </w:pPr>
      <w:r>
        <w:t>IV. Link to Valuation Drivers</w:t>
      </w:r>
    </w:p>
    <w:p w14:paraId="09F9C8B3" w14:textId="77777777" w:rsidR="0031055A" w:rsidRDefault="00000000">
      <w:pPr>
        <w:spacing w:before="80" w:after="80" w:line="320" w:lineRule="auto"/>
        <w:jc w:val="both"/>
      </w:pPr>
      <w:r>
        <w:rPr>
          <w:color w:val="1A1A1A"/>
        </w:rPr>
        <w:t>The financial analysis, unit economics, and cost structure do not exist in isolation — they feed directly into a valuation framework. The purpose of this section is to make those connections explicit: to show how each financial observation translates into a specific valuation input, and why small changes in those inputs produce large changes in the implied value of Tesla's equity.</w:t>
      </w:r>
    </w:p>
    <w:p w14:paraId="09F9C8B4" w14:textId="77777777" w:rsidR="0031055A" w:rsidRDefault="0031055A">
      <w:pPr>
        <w:spacing w:before="100"/>
      </w:pPr>
    </w:p>
    <w:p w14:paraId="09F9C8B5" w14:textId="77777777" w:rsidR="0031055A" w:rsidRDefault="00000000">
      <w:pPr>
        <w:pStyle w:val="Heading2"/>
      </w:pPr>
      <w:r>
        <w:t>4.1  Deliveries → EV Valuation Floor</w:t>
      </w:r>
    </w:p>
    <w:p w14:paraId="09F9C8B6" w14:textId="77777777" w:rsidR="0031055A" w:rsidRDefault="00000000">
      <w:pPr>
        <w:spacing w:before="80" w:after="80" w:line="320" w:lineRule="auto"/>
        <w:jc w:val="both"/>
      </w:pPr>
      <w:r>
        <w:rPr>
          <w:color w:val="1A1A1A"/>
        </w:rPr>
        <w:t>Tesla's delivery volume, combined with its automotive gross margin, determines the earnings power of its EV business. At approximately 1.8 million annual deliveries, a 10–12% long-run operating margin, and a 20x earnings multiple consistent with a high-quality automotive business with some growth premium, the EV segment contributes an implied valuation of approximately $240–300 billion. This forms the valuation floor — the value Tesla retains even if autonomy never succeeds commercially.</w:t>
      </w:r>
    </w:p>
    <w:p w14:paraId="09F9C8B7" w14:textId="77777777" w:rsidR="0031055A" w:rsidRDefault="0031055A">
      <w:pPr>
        <w:spacing w:before="60"/>
      </w:pPr>
    </w:p>
    <w:p w14:paraId="09F9C8B8" w14:textId="77777777" w:rsidR="0031055A" w:rsidRDefault="00000000">
      <w:pPr>
        <w:spacing w:before="80" w:after="80" w:line="320" w:lineRule="auto"/>
        <w:jc w:val="both"/>
      </w:pPr>
      <w:r>
        <w:rPr>
          <w:color w:val="1A1A1A"/>
        </w:rPr>
        <w:t>It is worth noting that this floor is not trivial. A $240–300 billion valuation for the EV business alone implies that any value from FSD or Robotaxi is pure optionality on top. The base is large enough to limit the downside, which is a meaningful feature of the investment thesis.</w:t>
      </w:r>
    </w:p>
    <w:p w14:paraId="09F9C8B9" w14:textId="77777777" w:rsidR="0031055A" w:rsidRDefault="0031055A">
      <w:pPr>
        <w:spacing w:before="100"/>
      </w:pPr>
    </w:p>
    <w:p w14:paraId="09F9C8BA" w14:textId="77777777" w:rsidR="0031055A" w:rsidRDefault="00000000">
      <w:pPr>
        <w:pStyle w:val="Heading2"/>
      </w:pPr>
      <w:r>
        <w:t>4.2  FSD Penetration → Near-Term Multiple Expansion</w:t>
      </w:r>
    </w:p>
    <w:p w14:paraId="09F9C8BB" w14:textId="77777777" w:rsidR="0031055A" w:rsidRDefault="00000000">
      <w:pPr>
        <w:spacing w:before="80" w:after="80" w:line="320" w:lineRule="auto"/>
        <w:jc w:val="both"/>
      </w:pPr>
      <w:r>
        <w:rPr>
          <w:color w:val="1A1A1A"/>
        </w:rPr>
        <w:t>The FSD subscription layer is the primary driver of near-to-medium-term multiple expansion. As penetration grows — from low single digits today toward the 30–50% range used in base and bull case modelling — the proportion of Tesla's revenue that is recurring, high-margin, and software-like increases. Markets reprice this type of revenue at higher multiples than hardware revenue.</w:t>
      </w:r>
    </w:p>
    <w:p w14:paraId="09F9C8BC" w14:textId="77777777" w:rsidR="0031055A" w:rsidRDefault="0031055A">
      <w:pPr>
        <w:spacing w:before="60"/>
      </w:pPr>
    </w:p>
    <w:p w14:paraId="09F9C8BD" w14:textId="77777777" w:rsidR="0031055A" w:rsidRDefault="00000000">
      <w:pPr>
        <w:spacing w:before="80" w:after="80" w:line="320" w:lineRule="auto"/>
        <w:jc w:val="both"/>
      </w:pPr>
      <w:r>
        <w:rPr>
          <w:color w:val="1A1A1A"/>
        </w:rPr>
        <w:lastRenderedPageBreak/>
        <w:t>The sensitivity is sharp. Moving from 20% to 30% FSD penetration across a 9 million vehicle fleet adds approximately 900,000 subscribers, generating roughly $1 billion in additional high-margin annual revenue. At a 25–30x software multiple, that is $25–30 billion in incremental implied valuation from a single penetration rate percentage point movement.</w:t>
      </w:r>
    </w:p>
    <w:p w14:paraId="09F9C8BE" w14:textId="77777777" w:rsidR="0031055A" w:rsidRDefault="0031055A">
      <w:pPr>
        <w:spacing w:before="60"/>
      </w:pPr>
    </w:p>
    <w:p w14:paraId="09F9C8BF" w14:textId="77777777" w:rsidR="0031055A" w:rsidRDefault="00000000">
      <w:pPr>
        <w:spacing w:before="120" w:after="120"/>
        <w:jc w:val="center"/>
      </w:pPr>
      <w:r>
        <w:rPr>
          <w:b/>
          <w:bCs/>
          <w:color w:val="1F3A6E"/>
          <w:sz w:val="23"/>
          <w:szCs w:val="23"/>
        </w:rPr>
        <w:t xml:space="preserve">ΔSOTP Value  ≈  ΔARPU × </w:t>
      </w:r>
      <w:proofErr w:type="spellStart"/>
      <w:r>
        <w:rPr>
          <w:b/>
          <w:bCs/>
          <w:color w:val="1F3A6E"/>
          <w:sz w:val="23"/>
          <w:szCs w:val="23"/>
        </w:rPr>
        <w:t>ΔSubscribers</w:t>
      </w:r>
      <w:proofErr w:type="spellEnd"/>
      <w:r>
        <w:rPr>
          <w:b/>
          <w:bCs/>
          <w:color w:val="1F3A6E"/>
          <w:sz w:val="23"/>
          <w:szCs w:val="23"/>
        </w:rPr>
        <w:t xml:space="preserve"> × Margin × Multiple</w:t>
      </w:r>
    </w:p>
    <w:p w14:paraId="09F9C8C0" w14:textId="77777777" w:rsidR="0031055A" w:rsidRDefault="0031055A">
      <w:pPr>
        <w:spacing w:before="60"/>
      </w:pPr>
    </w:p>
    <w:p w14:paraId="09F9C8C1" w14:textId="77777777" w:rsidR="0031055A" w:rsidRDefault="00000000">
      <w:pPr>
        <w:spacing w:before="80" w:after="80" w:line="320" w:lineRule="auto"/>
        <w:jc w:val="both"/>
      </w:pPr>
      <w:r>
        <w:rPr>
          <w:color w:val="1A1A1A"/>
        </w:rPr>
        <w:t>This sensitivity is why the penetration rate is the most important near-term variable to monitor in Tesla's financials — more important than delivery volume, more important than automotive margin. It is the variable that determines whether Tesla re-rates toward a software multiple or remains anchored to an automotive one.</w:t>
      </w:r>
    </w:p>
    <w:p w14:paraId="09F9C8C2" w14:textId="77777777" w:rsidR="0031055A" w:rsidRDefault="0031055A">
      <w:pPr>
        <w:spacing w:before="100"/>
      </w:pPr>
    </w:p>
    <w:p w14:paraId="09F9C8C3" w14:textId="77777777" w:rsidR="0031055A" w:rsidRDefault="00000000">
      <w:pPr>
        <w:pStyle w:val="Heading2"/>
      </w:pPr>
      <w:r>
        <w:t>4.3  Robotaxi Utilisation → Long-Term Convex Upside</w:t>
      </w:r>
    </w:p>
    <w:p w14:paraId="09F9C8C4" w14:textId="77777777" w:rsidR="0031055A" w:rsidRDefault="00000000">
      <w:pPr>
        <w:spacing w:before="80" w:after="80" w:line="320" w:lineRule="auto"/>
        <w:jc w:val="both"/>
      </w:pPr>
      <w:r>
        <w:rPr>
          <w:color w:val="1A1A1A"/>
        </w:rPr>
        <w:t>The Robotaxi layer provides what the EV business and FSD layer cannot: convex, non-linear upside. The unit economics modelled in Section II — $20,000–30,000 gross revenue per vehicle at scale, with Tesla capturing 20–30% — imply that even a partial Robotaxi rollout creates a valuation contribution that can exceed the entire current EV business.</w:t>
      </w:r>
    </w:p>
    <w:p w14:paraId="09F9C8C5" w14:textId="77777777" w:rsidR="0031055A" w:rsidRDefault="0031055A">
      <w:pPr>
        <w:spacing w:before="60"/>
      </w:pPr>
    </w:p>
    <w:p w14:paraId="09F9C8C6" w14:textId="77777777" w:rsidR="0031055A" w:rsidRDefault="00000000">
      <w:pPr>
        <w:spacing w:before="80" w:after="80" w:line="320" w:lineRule="auto"/>
        <w:jc w:val="both"/>
      </w:pPr>
      <w:r>
        <w:rPr>
          <w:color w:val="1A1A1A"/>
        </w:rPr>
        <w:t>At 2 million active Robotaxis generating $25,000 in gross revenue, Tesla's platform take-rate of 25% yields approximately $12.5 billion in annual revenue from the Robotaxi segment alone. At a 45% profit margin and a 27x multiple, that implies roughly $150 billion in standalone Robotaxi valuation — from a fleet that is a fraction of Tesla's total vehicle base.</w:t>
      </w:r>
    </w:p>
    <w:p w14:paraId="09F9C8C7" w14:textId="77777777" w:rsidR="0031055A" w:rsidRDefault="0031055A">
      <w:pPr>
        <w:spacing w:before="60"/>
      </w:pPr>
    </w:p>
    <w:p w14:paraId="09F9C8C8" w14:textId="77777777" w:rsidR="0031055A" w:rsidRDefault="00000000">
      <w:pPr>
        <w:spacing w:before="80" w:after="80" w:line="320" w:lineRule="auto"/>
        <w:jc w:val="both"/>
      </w:pPr>
      <w:r>
        <w:rPr>
          <w:color w:val="1A1A1A"/>
        </w:rPr>
        <w:t xml:space="preserve">The critical point is the non-linearity. Robotaxi economics improve as utilisation rises, as the fleet grows, and as the operational infrastructure achieves scale. The first 100,000 Robotaxis are expensive to deploy. The next million become dramatically cheaper per unit. This convexity — where incremental scale generates </w:t>
      </w:r>
      <w:proofErr w:type="spellStart"/>
      <w:r>
        <w:rPr>
          <w:color w:val="1A1A1A"/>
        </w:rPr>
        <w:t>superlinear</w:t>
      </w:r>
      <w:proofErr w:type="spellEnd"/>
      <w:r>
        <w:rPr>
          <w:color w:val="1A1A1A"/>
        </w:rPr>
        <w:t xml:space="preserve"> value — is what makes the Robotaxi layer so disproportionately important to the overall investment thesis.</w:t>
      </w:r>
    </w:p>
    <w:p w14:paraId="09F9C8C9" w14:textId="77777777" w:rsidR="0031055A" w:rsidRDefault="003105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055A" w14:paraId="09F9C8CC" w14:textId="77777777">
        <w:tc>
          <w:tcPr>
            <w:tcW w:w="9360" w:type="dxa"/>
            <w:tcBorders>
              <w:top w:val="single" w:sz="8" w:space="0" w:color="2E5FA3"/>
              <w:left w:val="thick" w:sz="20" w:space="0" w:color="2E5FA3"/>
              <w:bottom w:val="single" w:sz="8" w:space="0" w:color="2E5FA3"/>
              <w:right w:val="none" w:sz="0" w:space="0" w:color="FFFFFF"/>
            </w:tcBorders>
            <w:shd w:val="clear" w:color="auto" w:fill="EEF2F7"/>
            <w:tcMar>
              <w:top w:w="160" w:type="dxa"/>
              <w:left w:w="240" w:type="dxa"/>
              <w:bottom w:w="160" w:type="dxa"/>
              <w:right w:w="240" w:type="dxa"/>
            </w:tcMar>
          </w:tcPr>
          <w:p w14:paraId="09F9C8CA" w14:textId="77777777" w:rsidR="0031055A" w:rsidRDefault="00000000">
            <w:pPr>
              <w:spacing w:after="60"/>
            </w:pPr>
            <w:r>
              <w:rPr>
                <w:b/>
                <w:bCs/>
                <w:caps/>
                <w:color w:val="2E5FA3"/>
                <w:sz w:val="18"/>
                <w:szCs w:val="18"/>
              </w:rPr>
              <w:t>SYNTHESIS</w:t>
            </w:r>
          </w:p>
          <w:p w14:paraId="09F9C8CB" w14:textId="77777777" w:rsidR="0031055A" w:rsidRDefault="00000000">
            <w:r>
              <w:rPr>
                <w:i/>
                <w:iCs/>
                <w:color w:val="1A1A1A"/>
              </w:rPr>
              <w:t>The three financial layers map directly onto three valuation components: EV earnings set the floor, FSD penetration drives the multiple, and Robotaxi utilisation provides the convex upside. Investors who only see the floor are undervaluing Tesla. Investors who only see the upside are ignoring the risks. The right framework holds all three simultaneously.</w:t>
            </w:r>
          </w:p>
        </w:tc>
      </w:tr>
    </w:tbl>
    <w:p w14:paraId="09F9C8CD" w14:textId="77777777" w:rsidR="0031055A" w:rsidRDefault="0031055A">
      <w:pPr>
        <w:spacing w:before="100"/>
      </w:pPr>
    </w:p>
    <w:p w14:paraId="09F9C8CE" w14:textId="77777777" w:rsidR="0031055A" w:rsidRDefault="00000000">
      <w:pPr>
        <w:pStyle w:val="Heading2"/>
      </w:pPr>
      <w:r>
        <w:lastRenderedPageBreak/>
        <w:t>4.4  Cost Structure → Margin Trajectory → Discount Rate</w:t>
      </w:r>
    </w:p>
    <w:p w14:paraId="09F9C8CF" w14:textId="77777777" w:rsidR="0031055A" w:rsidRDefault="00000000">
      <w:pPr>
        <w:spacing w:before="80" w:after="80" w:line="320" w:lineRule="auto"/>
        <w:jc w:val="both"/>
      </w:pPr>
      <w:r>
        <w:rPr>
          <w:color w:val="1A1A1A"/>
        </w:rPr>
        <w:t>The cost structure analysis has one final, underappreciated link to valuation: it determines the discount rate applied to Tesla's future cash flows. A company with high execution uncertainty, long investment timelines, and unproven unit economics in its highest-upside segments commands a higher discount rate than one with visible, near-term cash conversion.</w:t>
      </w:r>
    </w:p>
    <w:p w14:paraId="09F9C8D0" w14:textId="77777777" w:rsidR="0031055A" w:rsidRDefault="0031055A">
      <w:pPr>
        <w:spacing w:before="60"/>
      </w:pPr>
    </w:p>
    <w:p w14:paraId="09F9C8D1" w14:textId="77777777" w:rsidR="0031055A" w:rsidRDefault="00000000">
      <w:pPr>
        <w:spacing w:before="80" w:after="80" w:line="320" w:lineRule="auto"/>
        <w:jc w:val="both"/>
      </w:pPr>
      <w:r>
        <w:rPr>
          <w:color w:val="1A1A1A"/>
        </w:rPr>
        <w:t>Tesla sits at an unusual point on this spectrum. Its EV business is mature and generates real cash. Its FSD software is generating early recurring revenue. Its Robotaxi business is pre-revenue at commercial scale. The blended discount rate appropriate for such a company is neither the low rate of a stable cash generator nor the very high rate of a pure pre-revenue startup — it sits somewhere in between, and the exact position on that spectrum is a function of how credible the market believes the Robotaxi timeline to be.</w:t>
      </w:r>
    </w:p>
    <w:p w14:paraId="09F9C8D2" w14:textId="77777777" w:rsidR="0031055A" w:rsidRDefault="0031055A">
      <w:pPr>
        <w:spacing w:before="60"/>
      </w:pPr>
    </w:p>
    <w:p w14:paraId="09F9C8D3" w14:textId="77777777" w:rsidR="0031055A" w:rsidRDefault="00000000">
      <w:pPr>
        <w:spacing w:before="80" w:after="80" w:line="320" w:lineRule="auto"/>
        <w:jc w:val="both"/>
        <w:rPr>
          <w:color w:val="1A1A1A"/>
        </w:rPr>
      </w:pPr>
      <w:r>
        <w:rPr>
          <w:color w:val="1A1A1A"/>
        </w:rPr>
        <w:t>As catalysts validate the autonomy timeline — regulatory approvals, fleet scaling milestones, falling cost-per-mile data — the appropriate discount rate compresses, and the net present value of Tesla's future cash flows rises even without any change in the underlying cash flow forecasts. This mechanism, known as multiple expansion driven by uncertainty reduction, is a core part of what the bull case is betting on.</w:t>
      </w:r>
    </w:p>
    <w:p w14:paraId="6CEB97D8" w14:textId="77777777" w:rsidR="007D0837" w:rsidRDefault="007D0837">
      <w:pPr>
        <w:spacing w:before="80" w:after="80" w:line="320" w:lineRule="auto"/>
        <w:jc w:val="both"/>
        <w:rPr>
          <w:color w:val="1A1A1A"/>
        </w:rPr>
      </w:pPr>
    </w:p>
    <w:p w14:paraId="27CF72C6" w14:textId="77777777" w:rsidR="007D0837" w:rsidRPr="00CE53AF" w:rsidRDefault="007D0837" w:rsidP="001159E9">
      <w:pPr>
        <w:spacing w:line="319" w:lineRule="auto"/>
        <w:jc w:val="both"/>
        <w:rPr>
          <w:b/>
          <w:bCs/>
        </w:rPr>
      </w:pPr>
      <w:r w:rsidRPr="00CE53AF">
        <w:rPr>
          <w:b/>
          <w:bCs/>
        </w:rPr>
        <w:t>A note on data and sources</w:t>
      </w:r>
    </w:p>
    <w:p w14:paraId="5C72ED5F" w14:textId="77777777" w:rsidR="007D0837" w:rsidRPr="007D0837" w:rsidRDefault="007D0837" w:rsidP="001159E9">
      <w:pPr>
        <w:spacing w:line="319" w:lineRule="auto"/>
        <w:jc w:val="both"/>
      </w:pPr>
      <w:r w:rsidRPr="007D0837">
        <w:t xml:space="preserve">The financial figures in this essay draw on Tesla's Q4 2024 earnings release and shareholder letter for core reported metrics: full-year 2024 deliveries (1.79 million vehicles), total revenue (~$97.7 billion), and quarterly automotive gross margins (16.3%–19.8%). The Q4 2025 delivery decline figure (~16% year-over-year) is from Tesla's January 2026 delivery report. The $99/month FSD subscription price is from Tesla's official product page, and the </w:t>
      </w:r>
      <w:proofErr w:type="spellStart"/>
      <w:r w:rsidRPr="007D0837">
        <w:t>Cybercab</w:t>
      </w:r>
      <w:proofErr w:type="spellEnd"/>
      <w:r w:rsidRPr="007D0837">
        <w:t xml:space="preserve"> cost estimate (~$30,000) reflects Elon Musk's statement at the October 2024 We, Robot event.</w:t>
      </w:r>
    </w:p>
    <w:p w14:paraId="40092E61" w14:textId="77777777" w:rsidR="007D0837" w:rsidRPr="007D0837" w:rsidRDefault="007D0837" w:rsidP="001159E9">
      <w:pPr>
        <w:spacing w:line="319" w:lineRule="auto"/>
        <w:jc w:val="both"/>
      </w:pPr>
      <w:r w:rsidRPr="007D0837">
        <w:t>Software margin assumptions (70–80% for FSD) and Robotaxi profit margin estimates (40–50%) are analyst consensus assumptions widely used in institutional research; Tesla does not separately disclose margins at this segment level. Robotaxi revenue-per-vehicle figures ($20,000–30,000 annually) and platform take-rate assumptions (20–30%) are drawn from ARK Invest and Bank of America research. The Adobe, Microsoft, and Autodesk SaaS transition references are cited as industry analogies based on publicly available company reporting history.</w:t>
      </w:r>
    </w:p>
    <w:p w14:paraId="4E44A41F" w14:textId="325563B0" w:rsidR="007D0837" w:rsidRDefault="007D0837" w:rsidP="00CE53AF">
      <w:pPr>
        <w:spacing w:line="319" w:lineRule="auto"/>
        <w:jc w:val="both"/>
      </w:pPr>
      <w:r w:rsidRPr="007D0837">
        <w:t>All valuation outputs — the EV floor range ($240–300 billion), FSD implied valuation, Robotaxi implied valuation, and the sensitivity formula outputs — are the author's own analytical estimates derived from the inputs above, and do not represent the views of any cited institution.</w:t>
      </w:r>
    </w:p>
    <w:p w14:paraId="09F9C8D4" w14:textId="77777777" w:rsidR="0031055A" w:rsidRDefault="0031055A">
      <w:pPr>
        <w:spacing w:before="120"/>
      </w:pPr>
    </w:p>
    <w:p w14:paraId="09F9C8D5" w14:textId="77777777" w:rsidR="0031055A" w:rsidRDefault="00000000">
      <w:pPr>
        <w:pBdr>
          <w:top w:val="single" w:sz="6" w:space="6" w:color="2E5FA3"/>
          <w:bottom w:val="single" w:sz="6" w:space="6" w:color="2E5FA3"/>
        </w:pBdr>
        <w:spacing w:before="160" w:after="160"/>
        <w:jc w:val="center"/>
      </w:pPr>
      <w:r>
        <w:rPr>
          <w:i/>
          <w:iCs/>
          <w:color w:val="555555"/>
          <w:sz w:val="20"/>
          <w:szCs w:val="20"/>
        </w:rPr>
        <w:lastRenderedPageBreak/>
        <w:t>Continued in Essay 3:  Valuation Framework, Sensitivity Analysis, Risk &amp; Catalyst Analysis</w:t>
      </w:r>
    </w:p>
    <w:sectPr w:rsidR="0031055A">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F077A" w14:textId="77777777" w:rsidR="00BE01EE" w:rsidRDefault="00BE01EE">
      <w:r>
        <w:separator/>
      </w:r>
    </w:p>
  </w:endnote>
  <w:endnote w:type="continuationSeparator" w:id="0">
    <w:p w14:paraId="4C86F3D5" w14:textId="77777777" w:rsidR="00BE01EE" w:rsidRDefault="00BE0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C8D7" w14:textId="480A39D2" w:rsidR="0031055A" w:rsidRDefault="00000000">
    <w:pPr>
      <w:pBdr>
        <w:top w:val="single" w:sz="4" w:space="4" w:color="2E5FA3"/>
      </w:pBdr>
      <w:spacing w:before="80"/>
      <w:jc w:val="right"/>
    </w:pPr>
    <w:r>
      <w:rPr>
        <w:color w:val="888888"/>
        <w:sz w:val="16"/>
        <w:szCs w:val="16"/>
      </w:rPr>
      <w:t xml:space="preserve">Page </w:t>
    </w:r>
    <w:r>
      <w:fldChar w:fldCharType="begin"/>
    </w:r>
    <w:r>
      <w:instrText>PAGE</w:instrText>
    </w:r>
    <w:r>
      <w:fldChar w:fldCharType="separate"/>
    </w:r>
    <w:r w:rsidR="007D08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629B" w14:textId="77777777" w:rsidR="00BE01EE" w:rsidRDefault="00BE01EE">
      <w:r>
        <w:separator/>
      </w:r>
    </w:p>
  </w:footnote>
  <w:footnote w:type="continuationSeparator" w:id="0">
    <w:p w14:paraId="2B3F5523" w14:textId="77777777" w:rsidR="00BE01EE" w:rsidRDefault="00BE0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C8D6" w14:textId="77777777" w:rsidR="0031055A" w:rsidRDefault="00000000">
    <w:pPr>
      <w:pBdr>
        <w:bottom w:val="single" w:sz="4" w:space="4" w:color="2E5FA3"/>
      </w:pBdr>
      <w:spacing w:after="120"/>
    </w:pPr>
    <w:r>
      <w:rPr>
        <w:caps/>
        <w:color w:val="888888"/>
        <w:sz w:val="16"/>
        <w:szCs w:val="16"/>
      </w:rPr>
      <w:t>TESLA INVESTMENT ANALYSIS  |  ESSAY 2 OF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05858"/>
    <w:multiLevelType w:val="hybridMultilevel"/>
    <w:tmpl w:val="BEDA3AD4"/>
    <w:lvl w:ilvl="0" w:tplc="53C290B4">
      <w:start w:val="1"/>
      <w:numFmt w:val="bullet"/>
      <w:lvlText w:val="●"/>
      <w:lvlJc w:val="left"/>
      <w:pPr>
        <w:ind w:left="720" w:hanging="360"/>
      </w:pPr>
    </w:lvl>
    <w:lvl w:ilvl="1" w:tplc="BC5240D4">
      <w:start w:val="1"/>
      <w:numFmt w:val="bullet"/>
      <w:lvlText w:val="○"/>
      <w:lvlJc w:val="left"/>
      <w:pPr>
        <w:ind w:left="1440" w:hanging="360"/>
      </w:pPr>
    </w:lvl>
    <w:lvl w:ilvl="2" w:tplc="621098C8">
      <w:start w:val="1"/>
      <w:numFmt w:val="bullet"/>
      <w:lvlText w:val="■"/>
      <w:lvlJc w:val="left"/>
      <w:pPr>
        <w:ind w:left="2160" w:hanging="360"/>
      </w:pPr>
    </w:lvl>
    <w:lvl w:ilvl="3" w:tplc="C10EC166">
      <w:start w:val="1"/>
      <w:numFmt w:val="bullet"/>
      <w:lvlText w:val="●"/>
      <w:lvlJc w:val="left"/>
      <w:pPr>
        <w:ind w:left="2880" w:hanging="360"/>
      </w:pPr>
    </w:lvl>
    <w:lvl w:ilvl="4" w:tplc="FD5A21B2">
      <w:start w:val="1"/>
      <w:numFmt w:val="bullet"/>
      <w:lvlText w:val="○"/>
      <w:lvlJc w:val="left"/>
      <w:pPr>
        <w:ind w:left="3600" w:hanging="360"/>
      </w:pPr>
    </w:lvl>
    <w:lvl w:ilvl="5" w:tplc="225A48C0">
      <w:start w:val="1"/>
      <w:numFmt w:val="bullet"/>
      <w:lvlText w:val="■"/>
      <w:lvlJc w:val="left"/>
      <w:pPr>
        <w:ind w:left="4320" w:hanging="360"/>
      </w:pPr>
    </w:lvl>
    <w:lvl w:ilvl="6" w:tplc="52587568">
      <w:start w:val="1"/>
      <w:numFmt w:val="bullet"/>
      <w:lvlText w:val="●"/>
      <w:lvlJc w:val="left"/>
      <w:pPr>
        <w:ind w:left="5040" w:hanging="360"/>
      </w:pPr>
    </w:lvl>
    <w:lvl w:ilvl="7" w:tplc="B8A8A314">
      <w:start w:val="1"/>
      <w:numFmt w:val="bullet"/>
      <w:lvlText w:val="●"/>
      <w:lvlJc w:val="left"/>
      <w:pPr>
        <w:ind w:left="5760" w:hanging="360"/>
      </w:pPr>
    </w:lvl>
    <w:lvl w:ilvl="8" w:tplc="9FB20302">
      <w:start w:val="1"/>
      <w:numFmt w:val="bullet"/>
      <w:lvlText w:val="●"/>
      <w:lvlJc w:val="left"/>
      <w:pPr>
        <w:ind w:left="6480" w:hanging="360"/>
      </w:pPr>
    </w:lvl>
  </w:abstractNum>
  <w:abstractNum w:abstractNumId="1" w15:restartNumberingAfterBreak="0">
    <w:nsid w:val="57C85A5D"/>
    <w:multiLevelType w:val="hybridMultilevel"/>
    <w:tmpl w:val="EDFECA94"/>
    <w:lvl w:ilvl="0" w:tplc="1ACA1186">
      <w:start w:val="1"/>
      <w:numFmt w:val="bullet"/>
      <w:lvlText w:val="•"/>
      <w:lvlJc w:val="left"/>
      <w:pPr>
        <w:ind w:left="540" w:hanging="260"/>
      </w:pPr>
    </w:lvl>
    <w:lvl w:ilvl="1" w:tplc="89A866FC">
      <w:start w:val="1"/>
      <w:numFmt w:val="bullet"/>
      <w:lvlText w:val="◦"/>
      <w:lvlJc w:val="left"/>
      <w:pPr>
        <w:ind w:left="900" w:hanging="260"/>
      </w:pPr>
    </w:lvl>
    <w:lvl w:ilvl="2" w:tplc="4A84215C">
      <w:numFmt w:val="decimal"/>
      <w:lvlText w:val=""/>
      <w:lvlJc w:val="left"/>
    </w:lvl>
    <w:lvl w:ilvl="3" w:tplc="3DB825D6">
      <w:numFmt w:val="decimal"/>
      <w:lvlText w:val=""/>
      <w:lvlJc w:val="left"/>
    </w:lvl>
    <w:lvl w:ilvl="4" w:tplc="CD245E9E">
      <w:numFmt w:val="decimal"/>
      <w:lvlText w:val=""/>
      <w:lvlJc w:val="left"/>
    </w:lvl>
    <w:lvl w:ilvl="5" w:tplc="4710929A">
      <w:numFmt w:val="decimal"/>
      <w:lvlText w:val=""/>
      <w:lvlJc w:val="left"/>
    </w:lvl>
    <w:lvl w:ilvl="6" w:tplc="C9F2F770">
      <w:numFmt w:val="decimal"/>
      <w:lvlText w:val=""/>
      <w:lvlJc w:val="left"/>
    </w:lvl>
    <w:lvl w:ilvl="7" w:tplc="25D8441C">
      <w:numFmt w:val="decimal"/>
      <w:lvlText w:val=""/>
      <w:lvlJc w:val="left"/>
    </w:lvl>
    <w:lvl w:ilvl="8" w:tplc="797CF3D0">
      <w:numFmt w:val="decimal"/>
      <w:lvlText w:val=""/>
      <w:lvlJc w:val="left"/>
    </w:lvl>
  </w:abstractNum>
  <w:num w:numId="1" w16cid:durableId="1139107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55A"/>
    <w:rsid w:val="000B6D2F"/>
    <w:rsid w:val="001159E9"/>
    <w:rsid w:val="002B6EB9"/>
    <w:rsid w:val="0031055A"/>
    <w:rsid w:val="00576039"/>
    <w:rsid w:val="007D0837"/>
    <w:rsid w:val="00AD005C"/>
    <w:rsid w:val="00AE62F3"/>
    <w:rsid w:val="00BD2101"/>
    <w:rsid w:val="00BE01EE"/>
    <w:rsid w:val="00C83DE9"/>
    <w:rsid w:val="00CE53AF"/>
    <w:rsid w:val="00E91038"/>
    <w:rsid w:val="00EF122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F9C82F"/>
  <w15:docId w15:val="{7CC26CA1-A1EB-DF4B-BD3E-D403E69E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A6E"/>
      <w:sz w:val="32"/>
      <w:szCs w:val="32"/>
    </w:rPr>
  </w:style>
  <w:style w:type="paragraph" w:styleId="Heading2">
    <w:name w:val="heading 2"/>
    <w:uiPriority w:val="9"/>
    <w:unhideWhenUsed/>
    <w:qFormat/>
    <w:pPr>
      <w:spacing w:before="280" w:after="120"/>
      <w:outlineLvl w:val="1"/>
    </w:pPr>
    <w:rPr>
      <w:b/>
      <w:bCs/>
      <w:color w:val="1F3A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7D083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D08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3096</Words>
  <Characters>17754</Characters>
  <Application>Microsoft Office Word</Application>
  <DocSecurity>0</DocSecurity>
  <Lines>333</Lines>
  <Paragraphs>107</Paragraphs>
  <ScaleCrop>false</ScaleCrop>
  <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Yuxiao</cp:lastModifiedBy>
  <cp:revision>10</cp:revision>
  <dcterms:created xsi:type="dcterms:W3CDTF">2026-03-25T10:51:00Z</dcterms:created>
  <dcterms:modified xsi:type="dcterms:W3CDTF">2026-03-26T06:45:00Z</dcterms:modified>
</cp:coreProperties>
</file>