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8F063" w14:textId="77777777" w:rsidR="00AD6FA8" w:rsidRDefault="00000000">
      <w:pPr>
        <w:spacing w:before="240" w:after="80"/>
      </w:pPr>
      <w:r>
        <w:rPr>
          <w:b/>
          <w:bCs/>
          <w:color w:val="1F3A6E"/>
          <w:sz w:val="52"/>
          <w:szCs w:val="52"/>
        </w:rPr>
        <w:t>WHAT IS TESLA WORTH?</w:t>
      </w:r>
    </w:p>
    <w:p w14:paraId="1828F064" w14:textId="77777777" w:rsidR="00AD6FA8" w:rsidRDefault="00000000">
      <w:pPr>
        <w:spacing w:after="60"/>
      </w:pPr>
      <w:r>
        <w:rPr>
          <w:i/>
          <w:iCs/>
          <w:color w:val="555555"/>
        </w:rPr>
        <w:t>Essay 3 of 3  —  Valuation Framework, Sensitivity Analysis, Risk &amp; Catalyst Analysis</w:t>
      </w:r>
    </w:p>
    <w:p w14:paraId="1828F065" w14:textId="77777777" w:rsidR="00AD6FA8" w:rsidRDefault="00AD6FA8">
      <w:pPr>
        <w:pBdr>
          <w:bottom w:val="single" w:sz="10" w:space="8" w:color="2E5FA3"/>
        </w:pBdr>
        <w:spacing w:after="320"/>
      </w:pPr>
    </w:p>
    <w:p w14:paraId="1828F066" w14:textId="77777777" w:rsidR="00AD6FA8" w:rsidRDefault="00000000">
      <w:pPr>
        <w:pStyle w:val="Heading1"/>
        <w:pBdr>
          <w:bottom w:val="single" w:sz="6" w:space="6" w:color="2E5FA3"/>
        </w:pBdr>
      </w:pPr>
      <w:r>
        <w:t>I. Valuation Framework</w:t>
      </w:r>
    </w:p>
    <w:p w14:paraId="1828F067" w14:textId="77777777" w:rsidR="00AD6FA8" w:rsidRDefault="00000000">
      <w:pPr>
        <w:spacing w:before="80" w:after="80" w:line="320" w:lineRule="auto"/>
        <w:jc w:val="both"/>
      </w:pPr>
      <w:r>
        <w:rPr>
          <w:color w:val="1A1A1A"/>
        </w:rPr>
        <w:t>Valuing Tesla with a traditional single-stage Discounted Cash Flow model produces an answer that is technically precise and analytically misleading. A single-stage DCF implicitly assumes that Tesla is already in its terminal state — a stable, predictable business whose future cash flows can be reasonably extrapolated from today. Tesla is not that company. It is a multi-segment business in the middle of a structural transition, with one segment that is mature, one that is scaling, and one that is pre-revenue at commercial scale.</w:t>
      </w:r>
    </w:p>
    <w:p w14:paraId="1828F068" w14:textId="77777777" w:rsidR="00AD6FA8" w:rsidRDefault="00AD6FA8">
      <w:pPr>
        <w:spacing w:before="60"/>
      </w:pPr>
    </w:p>
    <w:p w14:paraId="1828F069" w14:textId="77777777" w:rsidR="00AD6FA8" w:rsidRDefault="00000000">
      <w:pPr>
        <w:spacing w:before="80" w:after="80" w:line="320" w:lineRule="auto"/>
        <w:jc w:val="both"/>
      </w:pPr>
      <w:r>
        <w:rPr>
          <w:color w:val="1A1A1A"/>
        </w:rPr>
        <w:t>The appropriate framework is a Sum-of-the-Parts (SOTP) valuation, probability-weighted across three scenarios. Each segment is valued independently using the multiple most appropriate to its economics, and the resulting values are summed to produce an implied equity value. The scenarios then probability-weight the range of outcomes across different autonomy timelines.</w:t>
      </w:r>
    </w:p>
    <w:p w14:paraId="1828F06A" w14:textId="77777777" w:rsidR="00AD6FA8" w:rsidRDefault="00AD6FA8">
      <w:pPr>
        <w:spacing w:before="80"/>
      </w:pPr>
    </w:p>
    <w:p w14:paraId="1828F06B" w14:textId="77777777" w:rsidR="00AD6FA8" w:rsidRDefault="00000000">
      <w:pPr>
        <w:pStyle w:val="Heading2"/>
      </w:pPr>
      <w:r>
        <w:t>1.1  Model Architecture</w:t>
      </w:r>
    </w:p>
    <w:p w14:paraId="1828F06C" w14:textId="77777777" w:rsidR="00AD6FA8" w:rsidRDefault="00000000">
      <w:pPr>
        <w:spacing w:before="80" w:after="80" w:line="320" w:lineRule="auto"/>
        <w:jc w:val="both"/>
      </w:pPr>
      <w:r>
        <w:rPr>
          <w:color w:val="1A1A1A"/>
        </w:rPr>
        <w:t>The model has three layers, each with distinct assumptions, valuation methodology, and sensitivity profile. The table below summarises the architecture before working through each layer in detail.</w:t>
      </w:r>
    </w:p>
    <w:p w14:paraId="1828F06D" w14:textId="77777777" w:rsidR="00AD6FA8" w:rsidRDefault="00AD6FA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3"/>
        <w:gridCol w:w="2107"/>
        <w:gridCol w:w="2083"/>
        <w:gridCol w:w="1606"/>
        <w:gridCol w:w="1491"/>
      </w:tblGrid>
      <w:tr w:rsidR="00AD6FA8" w14:paraId="1828F073"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06E" w14:textId="77777777" w:rsidR="00AD6FA8" w:rsidRDefault="00000000">
            <w:r>
              <w:rPr>
                <w:b/>
                <w:bCs/>
                <w:color w:val="FFFFFF"/>
              </w:rPr>
              <w:t>Layer</w:t>
            </w:r>
          </w:p>
        </w:tc>
        <w:tc>
          <w:tcPr>
            <w:tcW w:w="23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06F" w14:textId="77777777" w:rsidR="00AD6FA8" w:rsidRDefault="00000000">
            <w:r>
              <w:rPr>
                <w:b/>
                <w:bCs/>
                <w:color w:val="FFFFFF"/>
              </w:rPr>
              <w:t>Valuation Method</w:t>
            </w:r>
          </w:p>
        </w:tc>
        <w:tc>
          <w:tcPr>
            <w:tcW w:w="23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070" w14:textId="77777777" w:rsidR="00AD6FA8" w:rsidRDefault="00000000">
            <w:r>
              <w:rPr>
                <w:b/>
                <w:bCs/>
                <w:color w:val="FFFFFF"/>
              </w:rPr>
              <w:t>Key Input Variable</w:t>
            </w:r>
          </w:p>
        </w:tc>
        <w:tc>
          <w:tcPr>
            <w:tcW w:w="176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071" w14:textId="77777777" w:rsidR="00AD6FA8" w:rsidRDefault="00000000">
            <w:r>
              <w:rPr>
                <w:b/>
                <w:bCs/>
                <w:color w:val="FFFFFF"/>
              </w:rPr>
              <w:t>Multiple Applied</w:t>
            </w:r>
          </w:p>
        </w:tc>
        <w:tc>
          <w:tcPr>
            <w:tcW w:w="8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072" w14:textId="77777777" w:rsidR="00AD6FA8" w:rsidRDefault="00000000">
            <w:r>
              <w:rPr>
                <w:b/>
                <w:bCs/>
                <w:color w:val="FFFFFF"/>
              </w:rPr>
              <w:t>Uncertainty</w:t>
            </w:r>
          </w:p>
        </w:tc>
      </w:tr>
      <w:tr w:rsidR="00AD6FA8" w14:paraId="1828F079"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074" w14:textId="77777777" w:rsidR="00AD6FA8" w:rsidRDefault="00000000">
            <w:r>
              <w:rPr>
                <w:color w:val="1A1A1A"/>
              </w:rPr>
              <w:t>EV Manufacturing</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75" w14:textId="77777777" w:rsidR="00AD6FA8" w:rsidRDefault="00000000">
            <w:pPr>
              <w:jc w:val="center"/>
            </w:pPr>
            <w:r>
              <w:rPr>
                <w:color w:val="1A1A1A"/>
              </w:rPr>
              <w:t>EV/Earnings (P/E)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76" w14:textId="77777777" w:rsidR="00AD6FA8" w:rsidRDefault="00000000">
            <w:pPr>
              <w:jc w:val="center"/>
            </w:pPr>
            <w:r>
              <w:rPr>
                <w:color w:val="1A1A1A"/>
              </w:rPr>
              <w:t>Delivery volume + OPM</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77" w14:textId="77777777" w:rsidR="00AD6FA8" w:rsidRDefault="00000000">
            <w:pPr>
              <w:jc w:val="center"/>
            </w:pPr>
            <w:r>
              <w:rPr>
                <w:color w:val="1A1A1A"/>
              </w:rPr>
              <w:t>~20x earnings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78" w14:textId="77777777" w:rsidR="00AD6FA8" w:rsidRDefault="00000000">
            <w:pPr>
              <w:jc w:val="center"/>
            </w:pPr>
            <w:r>
              <w:rPr>
                <w:color w:val="1A1A1A"/>
              </w:rPr>
              <w:t>Low</w:t>
            </w:r>
          </w:p>
        </w:tc>
      </w:tr>
      <w:tr w:rsidR="00AD6FA8" w14:paraId="1828F07F"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07A" w14:textId="77777777" w:rsidR="00AD6FA8" w:rsidRDefault="00000000">
            <w:r>
              <w:rPr>
                <w:color w:val="1A1A1A"/>
              </w:rPr>
              <w:t>FSD Software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7B" w14:textId="77777777" w:rsidR="00AD6FA8" w:rsidRDefault="00000000">
            <w:pPr>
              <w:jc w:val="center"/>
            </w:pPr>
            <w:r>
              <w:rPr>
                <w:color w:val="1A1A1A"/>
              </w:rPr>
              <w:t>Revenue × Margin × P/E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7C" w14:textId="77777777" w:rsidR="00AD6FA8" w:rsidRDefault="00000000">
            <w:pPr>
              <w:jc w:val="center"/>
            </w:pPr>
            <w:r>
              <w:rPr>
                <w:color w:val="1A1A1A"/>
              </w:rPr>
              <w:t>Penetration rate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7D" w14:textId="77777777" w:rsidR="00AD6FA8" w:rsidRDefault="00000000">
            <w:pPr>
              <w:jc w:val="center"/>
            </w:pPr>
            <w:r>
              <w:rPr>
                <w:color w:val="1A1A1A"/>
              </w:rPr>
              <w:t>25–30x earnings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7E" w14:textId="77777777" w:rsidR="00AD6FA8" w:rsidRDefault="00000000">
            <w:pPr>
              <w:jc w:val="center"/>
            </w:pPr>
            <w:r>
              <w:rPr>
                <w:color w:val="1A1A1A"/>
              </w:rPr>
              <w:t>Medium</w:t>
            </w:r>
          </w:p>
        </w:tc>
      </w:tr>
      <w:tr w:rsidR="00AD6FA8" w14:paraId="1828F085"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080" w14:textId="77777777" w:rsidR="00AD6FA8" w:rsidRDefault="00000000">
            <w:r>
              <w:rPr>
                <w:color w:val="1A1A1A"/>
              </w:rPr>
              <w:t>Robotaxi Platform</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81" w14:textId="77777777" w:rsidR="00AD6FA8" w:rsidRDefault="00000000">
            <w:pPr>
              <w:jc w:val="center"/>
            </w:pPr>
            <w:r>
              <w:rPr>
                <w:color w:val="1A1A1A"/>
              </w:rPr>
              <w:t>Prob.-adj. SOTP</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82" w14:textId="77777777" w:rsidR="00AD6FA8" w:rsidRDefault="00000000">
            <w:pPr>
              <w:jc w:val="center"/>
            </w:pPr>
            <w:r>
              <w:rPr>
                <w:color w:val="1A1A1A"/>
              </w:rPr>
              <w:t>Utilisation + take-rate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83" w14:textId="77777777" w:rsidR="00AD6FA8" w:rsidRDefault="00000000">
            <w:pPr>
              <w:jc w:val="center"/>
            </w:pPr>
            <w:r>
              <w:rPr>
                <w:color w:val="1A1A1A"/>
              </w:rPr>
              <w:t>25–30x earnings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84" w14:textId="77777777" w:rsidR="00AD6FA8" w:rsidRDefault="00000000">
            <w:pPr>
              <w:jc w:val="center"/>
            </w:pPr>
            <w:r>
              <w:rPr>
                <w:color w:val="1A1A1A"/>
              </w:rPr>
              <w:t>High</w:t>
            </w:r>
          </w:p>
        </w:tc>
      </w:tr>
    </w:tbl>
    <w:p w14:paraId="1828F086" w14:textId="77777777" w:rsidR="00AD6FA8" w:rsidRDefault="00AD6FA8">
      <w:pPr>
        <w:spacing w:before="120"/>
      </w:pPr>
    </w:p>
    <w:p w14:paraId="1828F087" w14:textId="77777777" w:rsidR="00AD6FA8" w:rsidRDefault="00000000">
      <w:pPr>
        <w:pStyle w:val="Heading2"/>
      </w:pPr>
      <w:r>
        <w:t>1.2  Layer 1 — EV Manufacturing (Valuation Floor)</w:t>
      </w:r>
    </w:p>
    <w:p w14:paraId="1828F088" w14:textId="77777777" w:rsidR="00AD6FA8" w:rsidRDefault="00000000">
      <w:pPr>
        <w:spacing w:before="200" w:after="80"/>
      </w:pPr>
      <w:r>
        <w:rPr>
          <w:b/>
          <w:bCs/>
          <w:color w:val="333333"/>
          <w:sz w:val="23"/>
          <w:szCs w:val="23"/>
        </w:rPr>
        <w:t>Assumptions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800"/>
        <w:gridCol w:w="1800"/>
        <w:gridCol w:w="2400"/>
      </w:tblGrid>
      <w:tr w:rsidR="00AD6FA8" w14:paraId="1828F08D" w14:textId="77777777">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089" w14:textId="77777777" w:rsidR="00AD6FA8" w:rsidRDefault="00000000">
            <w:r>
              <w:rPr>
                <w:b/>
                <w:bCs/>
                <w:color w:val="FFFFFF"/>
              </w:rPr>
              <w:lastRenderedPageBreak/>
              <w:t>Parameter</w:t>
            </w:r>
          </w:p>
        </w:tc>
        <w:tc>
          <w:tcPr>
            <w:tcW w:w="18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08A" w14:textId="77777777" w:rsidR="00AD6FA8" w:rsidRDefault="00000000">
            <w:r>
              <w:rPr>
                <w:b/>
                <w:bCs/>
                <w:color w:val="FFFFFF"/>
              </w:rPr>
              <w:t>Bear</w:t>
            </w:r>
          </w:p>
        </w:tc>
        <w:tc>
          <w:tcPr>
            <w:tcW w:w="18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08B" w14:textId="77777777" w:rsidR="00AD6FA8" w:rsidRDefault="00000000">
            <w:r>
              <w:rPr>
                <w:b/>
                <w:bCs/>
                <w:color w:val="FFFFFF"/>
              </w:rPr>
              <w:t>Base</w:t>
            </w:r>
          </w:p>
        </w:tc>
        <w:tc>
          <w:tcPr>
            <w:tcW w:w="24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08C" w14:textId="77777777" w:rsidR="00AD6FA8" w:rsidRDefault="00000000">
            <w:r>
              <w:rPr>
                <w:b/>
                <w:bCs/>
                <w:color w:val="FFFFFF"/>
              </w:rPr>
              <w:t>Bull</w:t>
            </w:r>
          </w:p>
        </w:tc>
      </w:tr>
      <w:tr w:rsidR="00AD6FA8" w14:paraId="1828F092" w14:textId="77777777">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08E" w14:textId="77777777" w:rsidR="00AD6FA8" w:rsidRDefault="00000000">
            <w:r>
              <w:rPr>
                <w:color w:val="1A1A1A"/>
              </w:rPr>
              <w:t>Annual deliveries (</w:t>
            </w:r>
            <w:proofErr w:type="spellStart"/>
            <w:r>
              <w:rPr>
                <w:color w:val="1A1A1A"/>
              </w:rPr>
              <w:t>mn</w:t>
            </w:r>
            <w:proofErr w:type="spellEnd"/>
            <w:r>
              <w:rPr>
                <w:color w:val="1A1A1A"/>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8F" w14:textId="77777777" w:rsidR="00AD6FA8" w:rsidRDefault="00000000">
            <w:pPr>
              <w:jc w:val="center"/>
            </w:pPr>
            <w:r>
              <w:rPr>
                <w:color w:val="1A1A1A"/>
              </w:rPr>
              <w:t>1.6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90" w14:textId="77777777" w:rsidR="00AD6FA8" w:rsidRDefault="00000000">
            <w:pPr>
              <w:jc w:val="center"/>
            </w:pPr>
            <w:r>
              <w:rPr>
                <w:color w:val="1A1A1A"/>
              </w:rPr>
              <w:t>1.9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91" w14:textId="77777777" w:rsidR="00AD6FA8" w:rsidRDefault="00000000">
            <w:pPr>
              <w:jc w:val="center"/>
            </w:pPr>
            <w:r>
              <w:rPr>
                <w:color w:val="1A1A1A"/>
              </w:rPr>
              <w:t>2.3</w:t>
            </w:r>
          </w:p>
        </w:tc>
      </w:tr>
      <w:tr w:rsidR="00AD6FA8" w14:paraId="1828F097" w14:textId="77777777">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093" w14:textId="77777777" w:rsidR="00AD6FA8" w:rsidRDefault="00000000">
            <w:r>
              <w:rPr>
                <w:color w:val="1A1A1A"/>
              </w:rPr>
              <w:t>Long-run operating margin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94" w14:textId="77777777" w:rsidR="00AD6FA8" w:rsidRDefault="00000000">
            <w:pPr>
              <w:jc w:val="center"/>
            </w:pPr>
            <w:r>
              <w:rPr>
                <w:color w:val="1A1A1A"/>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95" w14:textId="77777777" w:rsidR="00AD6FA8" w:rsidRDefault="00000000">
            <w:pPr>
              <w:jc w:val="center"/>
            </w:pPr>
            <w:r>
              <w:rPr>
                <w:color w:val="1A1A1A"/>
              </w:rPr>
              <w:t>11%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96" w14:textId="77777777" w:rsidR="00AD6FA8" w:rsidRDefault="00000000">
            <w:pPr>
              <w:jc w:val="center"/>
            </w:pPr>
            <w:r>
              <w:rPr>
                <w:color w:val="1A1A1A"/>
              </w:rPr>
              <w:t>14%</w:t>
            </w:r>
          </w:p>
        </w:tc>
      </w:tr>
      <w:tr w:rsidR="00AD6FA8" w14:paraId="1828F09C" w14:textId="77777777">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098" w14:textId="77777777" w:rsidR="00AD6FA8" w:rsidRDefault="00000000">
            <w:r>
              <w:rPr>
                <w:color w:val="1A1A1A"/>
              </w:rPr>
              <w:t>Implied operating profit ($B)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99" w14:textId="77777777" w:rsidR="00AD6FA8" w:rsidRDefault="00000000">
            <w:pPr>
              <w:jc w:val="center"/>
            </w:pPr>
            <w:r>
              <w:rPr>
                <w:color w:val="1A1A1A"/>
              </w:rPr>
              <w:t>~$12B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9A" w14:textId="77777777" w:rsidR="00AD6FA8" w:rsidRDefault="00000000">
            <w:pPr>
              <w:jc w:val="center"/>
            </w:pPr>
            <w:r>
              <w:rPr>
                <w:color w:val="1A1A1A"/>
              </w:rPr>
              <w:t>~$17B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9B" w14:textId="77777777" w:rsidR="00AD6FA8" w:rsidRDefault="00000000">
            <w:pPr>
              <w:jc w:val="center"/>
            </w:pPr>
            <w:r>
              <w:rPr>
                <w:color w:val="1A1A1A"/>
              </w:rPr>
              <w:t>~$26B</w:t>
            </w:r>
          </w:p>
        </w:tc>
      </w:tr>
      <w:tr w:rsidR="00AD6FA8" w14:paraId="1828F0A1" w14:textId="77777777">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09D" w14:textId="77777777" w:rsidR="00AD6FA8" w:rsidRDefault="00000000">
            <w:r>
              <w:rPr>
                <w:color w:val="1A1A1A"/>
              </w:rPr>
              <w:t>Valuation multiple (P/E)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9E" w14:textId="77777777" w:rsidR="00AD6FA8" w:rsidRDefault="00000000">
            <w:pPr>
              <w:jc w:val="center"/>
            </w:pPr>
            <w:r>
              <w:rPr>
                <w:color w:val="1A1A1A"/>
              </w:rPr>
              <w:t>15x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9F" w14:textId="77777777" w:rsidR="00AD6FA8" w:rsidRDefault="00000000">
            <w:pPr>
              <w:jc w:val="center"/>
            </w:pPr>
            <w:r>
              <w:rPr>
                <w:color w:val="1A1A1A"/>
              </w:rPr>
              <w:t>20x</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A0" w14:textId="77777777" w:rsidR="00AD6FA8" w:rsidRDefault="00000000">
            <w:pPr>
              <w:jc w:val="center"/>
            </w:pPr>
            <w:r>
              <w:rPr>
                <w:color w:val="1A1A1A"/>
              </w:rPr>
              <w:t>22x</w:t>
            </w:r>
          </w:p>
        </w:tc>
      </w:tr>
      <w:tr w:rsidR="00AD6FA8" w14:paraId="1828F0A6" w14:textId="77777777">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0A2" w14:textId="77777777" w:rsidR="00AD6FA8" w:rsidRDefault="00000000">
            <w:r>
              <w:rPr>
                <w:color w:val="1A1A1A"/>
              </w:rPr>
              <w:t>Implied EV segment value ($B)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A3" w14:textId="77777777" w:rsidR="00AD6FA8" w:rsidRDefault="00000000">
            <w:pPr>
              <w:jc w:val="center"/>
            </w:pPr>
            <w:r>
              <w:rPr>
                <w:color w:val="1A1A1A"/>
              </w:rPr>
              <w:t>~$180B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A4" w14:textId="77777777" w:rsidR="00AD6FA8" w:rsidRDefault="00000000">
            <w:pPr>
              <w:jc w:val="center"/>
            </w:pPr>
            <w:r>
              <w:rPr>
                <w:color w:val="1A1A1A"/>
              </w:rPr>
              <w:t>~$240–300B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A5" w14:textId="77777777" w:rsidR="00AD6FA8" w:rsidRDefault="00000000">
            <w:pPr>
              <w:jc w:val="center"/>
            </w:pPr>
            <w:r>
              <w:rPr>
                <w:color w:val="1A1A1A"/>
              </w:rPr>
              <w:t>~$400–570B</w:t>
            </w:r>
          </w:p>
        </w:tc>
      </w:tr>
    </w:tbl>
    <w:p w14:paraId="1828F0A7" w14:textId="77777777" w:rsidR="00AD6FA8" w:rsidRDefault="00AD6FA8">
      <w:pPr>
        <w:spacing w:before="80"/>
      </w:pPr>
    </w:p>
    <w:p w14:paraId="1828F0A8" w14:textId="77777777" w:rsidR="00AD6FA8" w:rsidRDefault="00000000">
      <w:pPr>
        <w:spacing w:before="80" w:after="80" w:line="320" w:lineRule="auto"/>
        <w:jc w:val="both"/>
      </w:pPr>
      <w:r>
        <w:rPr>
          <w:color w:val="1A1A1A"/>
        </w:rPr>
        <w:t>The 20x earnings multiple applied in the base case reflects Tesla's status as the highest-quality EV manufacturer globally, with a brand, Supercharger network, and software integration that peers cannot replicate. It is a premium to traditional auto (5–15x) but well below pure-tech multiples, which is appropriate for a manufacturing-heavy business with cyclical demand characteristics.</w:t>
      </w:r>
    </w:p>
    <w:p w14:paraId="1828F0A9" w14:textId="77777777" w:rsidR="00AD6FA8" w:rsidRDefault="00AD6FA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6FA8" w14:paraId="1828F0AC" w14:textId="77777777">
        <w:tc>
          <w:tcPr>
            <w:tcW w:w="9360" w:type="dxa"/>
            <w:tcBorders>
              <w:top w:val="single" w:sz="8" w:space="0" w:color="2E5FA3"/>
              <w:left w:val="thick" w:sz="20" w:space="0" w:color="2E5FA3"/>
              <w:bottom w:val="single" w:sz="8" w:space="0" w:color="2E5FA3"/>
              <w:right w:val="none" w:sz="0" w:space="0" w:color="FFFFFF"/>
            </w:tcBorders>
            <w:shd w:val="clear" w:color="auto" w:fill="EEF2F7"/>
            <w:tcMar>
              <w:top w:w="160" w:type="dxa"/>
              <w:left w:w="240" w:type="dxa"/>
              <w:bottom w:w="160" w:type="dxa"/>
              <w:right w:w="240" w:type="dxa"/>
            </w:tcMar>
          </w:tcPr>
          <w:p w14:paraId="1828F0AA" w14:textId="77777777" w:rsidR="00AD6FA8" w:rsidRDefault="00000000">
            <w:pPr>
              <w:spacing w:after="60"/>
            </w:pPr>
            <w:r>
              <w:rPr>
                <w:b/>
                <w:bCs/>
                <w:caps/>
                <w:color w:val="2E5FA3"/>
                <w:sz w:val="18"/>
                <w:szCs w:val="18"/>
              </w:rPr>
              <w:t>FLOOR LOGIC</w:t>
            </w:r>
          </w:p>
          <w:p w14:paraId="1828F0AB" w14:textId="77777777" w:rsidR="00AD6FA8" w:rsidRDefault="00000000">
            <w:r>
              <w:rPr>
                <w:i/>
                <w:iCs/>
                <w:color w:val="1A1A1A"/>
              </w:rPr>
              <w:t>The EV segment provides the valuation floor. Even in a scenario where FSD adoption is slow and Robotaxi never scales commercially, Tesla's EV business alone implies an equity value of $180–300 billion. This limits the downside and defines the starting point for optionality pricing.</w:t>
            </w:r>
          </w:p>
        </w:tc>
      </w:tr>
    </w:tbl>
    <w:p w14:paraId="1828F0AD" w14:textId="77777777" w:rsidR="00AD6FA8" w:rsidRDefault="00AD6FA8">
      <w:pPr>
        <w:spacing w:before="120"/>
      </w:pPr>
    </w:p>
    <w:p w14:paraId="1828F0AE" w14:textId="77777777" w:rsidR="00AD6FA8" w:rsidRDefault="00000000">
      <w:pPr>
        <w:pStyle w:val="Heading2"/>
      </w:pPr>
      <w:r>
        <w:t>1.3  Layer 2 — FSD Software (Core Upside Driver)</w:t>
      </w:r>
    </w:p>
    <w:p w14:paraId="1828F0AF" w14:textId="77777777" w:rsidR="00AD6FA8" w:rsidRDefault="00000000">
      <w:pPr>
        <w:spacing w:before="200" w:after="80"/>
      </w:pPr>
      <w:r>
        <w:rPr>
          <w:b/>
          <w:bCs/>
          <w:color w:val="333333"/>
          <w:sz w:val="23"/>
          <w:szCs w:val="23"/>
        </w:rPr>
        <w:t>Assumptions and Base Case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640"/>
        <w:gridCol w:w="1640"/>
        <w:gridCol w:w="2280"/>
      </w:tblGrid>
      <w:tr w:rsidR="00AD6FA8" w14:paraId="1828F0B4" w14:textId="77777777">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0B0" w14:textId="77777777" w:rsidR="00AD6FA8" w:rsidRDefault="00000000">
            <w:r>
              <w:rPr>
                <w:b/>
                <w:bCs/>
                <w:color w:val="FFFFFF"/>
              </w:rPr>
              <w:t>Parameter</w:t>
            </w:r>
          </w:p>
        </w:tc>
        <w:tc>
          <w:tcPr>
            <w:tcW w:w="164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0B1" w14:textId="77777777" w:rsidR="00AD6FA8" w:rsidRDefault="00000000">
            <w:r>
              <w:rPr>
                <w:b/>
                <w:bCs/>
                <w:color w:val="FFFFFF"/>
              </w:rPr>
              <w:t>Bear</w:t>
            </w:r>
          </w:p>
        </w:tc>
        <w:tc>
          <w:tcPr>
            <w:tcW w:w="164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0B2" w14:textId="77777777" w:rsidR="00AD6FA8" w:rsidRDefault="00000000">
            <w:r>
              <w:rPr>
                <w:b/>
                <w:bCs/>
                <w:color w:val="FFFFFF"/>
              </w:rPr>
              <w:t>Base</w:t>
            </w:r>
          </w:p>
        </w:tc>
        <w:tc>
          <w:tcPr>
            <w:tcW w:w="228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0B3" w14:textId="77777777" w:rsidR="00AD6FA8" w:rsidRDefault="00000000">
            <w:r>
              <w:rPr>
                <w:b/>
                <w:bCs/>
                <w:color w:val="FFFFFF"/>
              </w:rPr>
              <w:t>Bull</w:t>
            </w:r>
          </w:p>
        </w:tc>
      </w:tr>
      <w:tr w:rsidR="00AD6FA8" w14:paraId="1828F0B9" w14:textId="77777777">
        <w:tc>
          <w:tcPr>
            <w:tcW w:w="3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0B5" w14:textId="77777777" w:rsidR="00AD6FA8" w:rsidRDefault="00000000">
            <w:r>
              <w:rPr>
                <w:color w:val="1A1A1A"/>
              </w:rPr>
              <w:t>Forward fleet size (</w:t>
            </w:r>
            <w:proofErr w:type="spellStart"/>
            <w:r>
              <w:rPr>
                <w:color w:val="1A1A1A"/>
              </w:rPr>
              <w:t>mn</w:t>
            </w:r>
            <w:proofErr w:type="spellEnd"/>
            <w:r>
              <w:rPr>
                <w:color w:val="1A1A1A"/>
              </w:rPr>
              <w:t xml:space="preserve"> vehicles)</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B6" w14:textId="77777777" w:rsidR="00AD6FA8" w:rsidRDefault="00000000">
            <w:pPr>
              <w:jc w:val="center"/>
            </w:pPr>
            <w:r>
              <w:rPr>
                <w:color w:val="1A1A1A"/>
              </w:rPr>
              <w:t>7</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B7" w14:textId="77777777" w:rsidR="00AD6FA8" w:rsidRDefault="00000000">
            <w:pPr>
              <w:jc w:val="center"/>
            </w:pPr>
            <w:r>
              <w:rPr>
                <w:color w:val="1A1A1A"/>
              </w:rPr>
              <w:t>9</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B8" w14:textId="77777777" w:rsidR="00AD6FA8" w:rsidRDefault="00000000">
            <w:pPr>
              <w:jc w:val="center"/>
            </w:pPr>
            <w:r>
              <w:rPr>
                <w:color w:val="1A1A1A"/>
              </w:rPr>
              <w:t>12</w:t>
            </w:r>
          </w:p>
        </w:tc>
      </w:tr>
      <w:tr w:rsidR="00AD6FA8" w14:paraId="1828F0BE" w14:textId="77777777">
        <w:tc>
          <w:tcPr>
            <w:tcW w:w="3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0BA" w14:textId="77777777" w:rsidR="00AD6FA8" w:rsidRDefault="00000000">
            <w:r>
              <w:rPr>
                <w:color w:val="1A1A1A"/>
              </w:rPr>
              <w:t>FSD penetration rate</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BB" w14:textId="77777777" w:rsidR="00AD6FA8" w:rsidRDefault="00000000">
            <w:pPr>
              <w:jc w:val="center"/>
            </w:pPr>
            <w:r>
              <w:rPr>
                <w:color w:val="1A1A1A"/>
              </w:rPr>
              <w:t>15%</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BC" w14:textId="77777777" w:rsidR="00AD6FA8" w:rsidRDefault="00000000">
            <w:pPr>
              <w:jc w:val="center"/>
            </w:pPr>
            <w:r>
              <w:rPr>
                <w:color w:val="1A1A1A"/>
              </w:rPr>
              <w:t>30%</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BD" w14:textId="77777777" w:rsidR="00AD6FA8" w:rsidRDefault="00000000">
            <w:pPr>
              <w:jc w:val="center"/>
            </w:pPr>
            <w:r>
              <w:rPr>
                <w:color w:val="1A1A1A"/>
              </w:rPr>
              <w:t>50%</w:t>
            </w:r>
          </w:p>
        </w:tc>
      </w:tr>
      <w:tr w:rsidR="00AD6FA8" w14:paraId="1828F0C3" w14:textId="77777777">
        <w:tc>
          <w:tcPr>
            <w:tcW w:w="3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0BF" w14:textId="77777777" w:rsidR="00AD6FA8" w:rsidRDefault="00000000">
            <w:r>
              <w:rPr>
                <w:color w:val="1A1A1A"/>
              </w:rPr>
              <w:t>Subscribers (</w:t>
            </w:r>
            <w:proofErr w:type="spellStart"/>
            <w:r>
              <w:rPr>
                <w:color w:val="1A1A1A"/>
              </w:rPr>
              <w:t>mn</w:t>
            </w:r>
            <w:proofErr w:type="spellEnd"/>
            <w:r>
              <w:rPr>
                <w:color w:val="1A1A1A"/>
              </w:rPr>
              <w:t>)</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C0" w14:textId="77777777" w:rsidR="00AD6FA8" w:rsidRDefault="00000000">
            <w:pPr>
              <w:jc w:val="center"/>
            </w:pPr>
            <w:r>
              <w:rPr>
                <w:color w:val="1A1A1A"/>
              </w:rPr>
              <w:t>1.1</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C1" w14:textId="77777777" w:rsidR="00AD6FA8" w:rsidRDefault="00000000">
            <w:pPr>
              <w:jc w:val="center"/>
            </w:pPr>
            <w:r>
              <w:rPr>
                <w:color w:val="1A1A1A"/>
              </w:rPr>
              <w:t>2.7</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C2" w14:textId="77777777" w:rsidR="00AD6FA8" w:rsidRDefault="00000000">
            <w:pPr>
              <w:jc w:val="center"/>
            </w:pPr>
            <w:r>
              <w:rPr>
                <w:color w:val="1A1A1A"/>
              </w:rPr>
              <w:t>6.0</w:t>
            </w:r>
          </w:p>
        </w:tc>
      </w:tr>
      <w:tr w:rsidR="00AD6FA8" w14:paraId="1828F0C8" w14:textId="77777777">
        <w:tc>
          <w:tcPr>
            <w:tcW w:w="3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0C4" w14:textId="77777777" w:rsidR="00AD6FA8" w:rsidRDefault="00000000">
            <w:r>
              <w:rPr>
                <w:color w:val="1A1A1A"/>
              </w:rPr>
              <w:t>ARPU ($/year)</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C5" w14:textId="77777777" w:rsidR="00AD6FA8" w:rsidRDefault="00000000">
            <w:pPr>
              <w:jc w:val="center"/>
            </w:pPr>
            <w:r>
              <w:rPr>
                <w:color w:val="1A1A1A"/>
              </w:rPr>
              <w:t>$1,200</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C6" w14:textId="77777777" w:rsidR="00AD6FA8" w:rsidRDefault="00000000">
            <w:pPr>
              <w:jc w:val="center"/>
            </w:pPr>
            <w:r>
              <w:rPr>
                <w:color w:val="1A1A1A"/>
              </w:rPr>
              <w:t>$1,200</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C7" w14:textId="77777777" w:rsidR="00AD6FA8" w:rsidRDefault="00000000">
            <w:pPr>
              <w:jc w:val="center"/>
            </w:pPr>
            <w:r>
              <w:rPr>
                <w:color w:val="1A1A1A"/>
              </w:rPr>
              <w:t>$1,200</w:t>
            </w:r>
          </w:p>
        </w:tc>
      </w:tr>
      <w:tr w:rsidR="00AD6FA8" w14:paraId="1828F0CD" w14:textId="77777777">
        <w:tc>
          <w:tcPr>
            <w:tcW w:w="3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0C9" w14:textId="77777777" w:rsidR="00AD6FA8" w:rsidRDefault="00000000">
            <w:r>
              <w:rPr>
                <w:color w:val="1A1A1A"/>
              </w:rPr>
              <w:t>Annual FSD revenue ($B)</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CA" w14:textId="77777777" w:rsidR="00AD6FA8" w:rsidRDefault="00000000">
            <w:pPr>
              <w:jc w:val="center"/>
            </w:pPr>
            <w:r>
              <w:rPr>
                <w:color w:val="1A1A1A"/>
              </w:rPr>
              <w:t>~$1.3B</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CB" w14:textId="77777777" w:rsidR="00AD6FA8" w:rsidRDefault="00000000">
            <w:pPr>
              <w:jc w:val="center"/>
            </w:pPr>
            <w:r>
              <w:rPr>
                <w:color w:val="1A1A1A"/>
              </w:rPr>
              <w:t>~$3.2B</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CC" w14:textId="77777777" w:rsidR="00AD6FA8" w:rsidRDefault="00000000">
            <w:pPr>
              <w:jc w:val="center"/>
            </w:pPr>
            <w:r>
              <w:rPr>
                <w:color w:val="1A1A1A"/>
              </w:rPr>
              <w:t>~$7.2B</w:t>
            </w:r>
          </w:p>
        </w:tc>
      </w:tr>
      <w:tr w:rsidR="00AD6FA8" w14:paraId="1828F0D2" w14:textId="77777777">
        <w:tc>
          <w:tcPr>
            <w:tcW w:w="3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0CE" w14:textId="77777777" w:rsidR="00AD6FA8" w:rsidRDefault="00000000">
            <w:r>
              <w:rPr>
                <w:color w:val="1A1A1A"/>
              </w:rPr>
              <w:t>Software margin</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CF" w14:textId="77777777" w:rsidR="00AD6FA8" w:rsidRDefault="00000000">
            <w:pPr>
              <w:jc w:val="center"/>
            </w:pPr>
            <w:r>
              <w:rPr>
                <w:color w:val="1A1A1A"/>
              </w:rPr>
              <w:t>70%</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D0" w14:textId="77777777" w:rsidR="00AD6FA8" w:rsidRDefault="00000000">
            <w:pPr>
              <w:jc w:val="center"/>
            </w:pPr>
            <w:r>
              <w:rPr>
                <w:color w:val="1A1A1A"/>
              </w:rPr>
              <w:t>75%</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D1" w14:textId="77777777" w:rsidR="00AD6FA8" w:rsidRDefault="00000000">
            <w:pPr>
              <w:jc w:val="center"/>
            </w:pPr>
            <w:r>
              <w:rPr>
                <w:color w:val="1A1A1A"/>
              </w:rPr>
              <w:t>80%</w:t>
            </w:r>
          </w:p>
        </w:tc>
      </w:tr>
      <w:tr w:rsidR="00AD6FA8" w14:paraId="1828F0D7" w14:textId="77777777">
        <w:tc>
          <w:tcPr>
            <w:tcW w:w="3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0D3" w14:textId="77777777" w:rsidR="00AD6FA8" w:rsidRDefault="00000000">
            <w:r>
              <w:rPr>
                <w:color w:val="1A1A1A"/>
              </w:rPr>
              <w:t>Annual FSD profit ($B)</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D4" w14:textId="77777777" w:rsidR="00AD6FA8" w:rsidRDefault="00000000">
            <w:pPr>
              <w:jc w:val="center"/>
            </w:pPr>
            <w:r>
              <w:rPr>
                <w:color w:val="1A1A1A"/>
              </w:rPr>
              <w:t>~$0.9B</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D5" w14:textId="77777777" w:rsidR="00AD6FA8" w:rsidRDefault="00000000">
            <w:pPr>
              <w:jc w:val="center"/>
            </w:pPr>
            <w:r>
              <w:rPr>
                <w:color w:val="1A1A1A"/>
              </w:rPr>
              <w:t>~$2.4B</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D6" w14:textId="77777777" w:rsidR="00AD6FA8" w:rsidRDefault="00000000">
            <w:pPr>
              <w:jc w:val="center"/>
            </w:pPr>
            <w:r>
              <w:rPr>
                <w:color w:val="1A1A1A"/>
              </w:rPr>
              <w:t>~$5.8B</w:t>
            </w:r>
          </w:p>
        </w:tc>
      </w:tr>
      <w:tr w:rsidR="00AD6FA8" w14:paraId="1828F0DC" w14:textId="77777777">
        <w:tc>
          <w:tcPr>
            <w:tcW w:w="3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0D8" w14:textId="77777777" w:rsidR="00AD6FA8" w:rsidRDefault="00000000">
            <w:r>
              <w:rPr>
                <w:color w:val="1A1A1A"/>
              </w:rPr>
              <w:t>Valuation multiple</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D9" w14:textId="77777777" w:rsidR="00AD6FA8" w:rsidRDefault="00000000">
            <w:pPr>
              <w:jc w:val="center"/>
            </w:pPr>
            <w:r>
              <w:rPr>
                <w:color w:val="1A1A1A"/>
              </w:rPr>
              <w:t>20x</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DA" w14:textId="77777777" w:rsidR="00AD6FA8" w:rsidRDefault="00000000">
            <w:pPr>
              <w:jc w:val="center"/>
            </w:pPr>
            <w:r>
              <w:rPr>
                <w:color w:val="1A1A1A"/>
              </w:rPr>
              <w:t>27x</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DB" w14:textId="77777777" w:rsidR="00AD6FA8" w:rsidRDefault="00000000">
            <w:pPr>
              <w:jc w:val="center"/>
            </w:pPr>
            <w:r>
              <w:rPr>
                <w:color w:val="1A1A1A"/>
              </w:rPr>
              <w:t>30x</w:t>
            </w:r>
          </w:p>
        </w:tc>
      </w:tr>
      <w:tr w:rsidR="00AD6FA8" w14:paraId="1828F0E1" w14:textId="77777777">
        <w:tc>
          <w:tcPr>
            <w:tcW w:w="3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0DD" w14:textId="77777777" w:rsidR="00AD6FA8" w:rsidRDefault="00000000">
            <w:r>
              <w:rPr>
                <w:color w:val="1A1A1A"/>
              </w:rPr>
              <w:t>Implied FSD segment value ($B)</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DE" w14:textId="77777777" w:rsidR="00AD6FA8" w:rsidRDefault="00000000">
            <w:pPr>
              <w:jc w:val="center"/>
            </w:pPr>
            <w:r>
              <w:rPr>
                <w:color w:val="1A1A1A"/>
              </w:rPr>
              <w:t>~$18B</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DF" w14:textId="77777777" w:rsidR="00AD6FA8" w:rsidRDefault="00000000">
            <w:pPr>
              <w:jc w:val="center"/>
            </w:pPr>
            <w:r>
              <w:rPr>
                <w:color w:val="1A1A1A"/>
              </w:rPr>
              <w:t>~$65B</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E0" w14:textId="77777777" w:rsidR="00AD6FA8" w:rsidRDefault="00000000">
            <w:pPr>
              <w:jc w:val="center"/>
            </w:pPr>
            <w:r>
              <w:rPr>
                <w:color w:val="1A1A1A"/>
              </w:rPr>
              <w:t>~$174B</w:t>
            </w:r>
          </w:p>
        </w:tc>
      </w:tr>
    </w:tbl>
    <w:p w14:paraId="1828F0E2" w14:textId="77777777" w:rsidR="00AD6FA8" w:rsidRDefault="00AD6FA8">
      <w:pPr>
        <w:spacing w:before="80"/>
      </w:pPr>
    </w:p>
    <w:p w14:paraId="1828F0E3" w14:textId="77777777" w:rsidR="00AD6FA8" w:rsidRDefault="00000000">
      <w:pPr>
        <w:spacing w:before="80" w:after="80" w:line="320" w:lineRule="auto"/>
        <w:jc w:val="both"/>
      </w:pPr>
      <w:r>
        <w:rPr>
          <w:color w:val="1A1A1A"/>
        </w:rPr>
        <w:lastRenderedPageBreak/>
        <w:t>The penetration rate is the dominant variable in this layer. The base case assumption of 30% is neither aggressive nor trivially achievable — it requires that roughly 1 in 3 Tesla owners on a forward fleet of 9 million vehicles opts into a $99/month subscription. For context, that is the level of software attach rates seen in mature consumer electronics ecosystems. It is achievable, but it demands a product that delivers tangible, demonstrable value to everyday drivers, not just early adopters.</w:t>
      </w:r>
    </w:p>
    <w:p w14:paraId="1828F0E4" w14:textId="77777777" w:rsidR="00AD6FA8" w:rsidRDefault="00AD6FA8">
      <w:pPr>
        <w:spacing w:before="80"/>
      </w:pPr>
    </w:p>
    <w:p w14:paraId="1828F0E5" w14:textId="77777777" w:rsidR="00AD6FA8" w:rsidRDefault="00000000">
      <w:pPr>
        <w:shd w:val="clear" w:color="auto" w:fill="EEF2F7"/>
        <w:spacing w:before="120" w:after="120"/>
        <w:jc w:val="center"/>
      </w:pPr>
      <w:r>
        <w:rPr>
          <w:rFonts w:ascii="Courier New" w:eastAsia="Courier New" w:hAnsi="Courier New" w:cs="Courier New"/>
          <w:b/>
          <w:bCs/>
          <w:color w:val="1F3A6E"/>
          <w:sz w:val="21"/>
          <w:szCs w:val="21"/>
        </w:rPr>
        <w:t>FSD Value  =  (Fleet × Penetration × ARPU × Margin) × Multiple</w:t>
      </w:r>
    </w:p>
    <w:p w14:paraId="1828F0E6" w14:textId="77777777" w:rsidR="00AD6FA8" w:rsidRDefault="00AD6FA8">
      <w:pPr>
        <w:spacing w:before="60"/>
      </w:pPr>
    </w:p>
    <w:p w14:paraId="1828F0E7" w14:textId="77777777" w:rsidR="00AD6FA8" w:rsidRDefault="00000000">
      <w:pPr>
        <w:spacing w:before="80" w:after="80" w:line="320" w:lineRule="auto"/>
        <w:jc w:val="both"/>
      </w:pPr>
      <w:r>
        <w:rPr>
          <w:color w:val="1A1A1A"/>
        </w:rPr>
        <w:t>The software margin assumption of 70–80% is consistent with scaled software businesses. The key cost remaining at scale is compute — both for model training via Dojo and for inference running on-vehicle. As Tesla internalises more compute through its own silicon and Dojo infrastructure, these margins are likely to improve over time, providing a source of earnings-per-share growth even without penetration rate expansion.</w:t>
      </w:r>
    </w:p>
    <w:p w14:paraId="1828F0E8" w14:textId="77777777" w:rsidR="00AD6FA8" w:rsidRDefault="00AD6FA8">
      <w:pPr>
        <w:spacing w:before="120"/>
      </w:pPr>
    </w:p>
    <w:p w14:paraId="1828F0E9" w14:textId="77777777" w:rsidR="00AD6FA8" w:rsidRDefault="00000000">
      <w:pPr>
        <w:pStyle w:val="Heading2"/>
      </w:pPr>
      <w:r>
        <w:t>1.4  Layer 3 — Robotaxi Platform (Optionality Layer)</w:t>
      </w:r>
    </w:p>
    <w:p w14:paraId="1828F0EA" w14:textId="77777777" w:rsidR="00AD6FA8" w:rsidRDefault="00000000">
      <w:pPr>
        <w:spacing w:before="200" w:after="80"/>
      </w:pPr>
      <w:r>
        <w:rPr>
          <w:b/>
          <w:bCs/>
          <w:color w:val="333333"/>
          <w:sz w:val="23"/>
          <w:szCs w:val="23"/>
        </w:rPr>
        <w:t>Assumptions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1620"/>
        <w:gridCol w:w="1620"/>
        <w:gridCol w:w="2220"/>
      </w:tblGrid>
      <w:tr w:rsidR="00AD6FA8" w14:paraId="1828F0EF" w14:textId="77777777">
        <w:trPr>
          <w:tblHeader/>
        </w:trPr>
        <w:tc>
          <w:tcPr>
            <w:tcW w:w="39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0EB" w14:textId="77777777" w:rsidR="00AD6FA8" w:rsidRDefault="00000000">
            <w:r>
              <w:rPr>
                <w:b/>
                <w:bCs/>
                <w:color w:val="FFFFFF"/>
              </w:rPr>
              <w:t>Parameter</w:t>
            </w:r>
          </w:p>
        </w:tc>
        <w:tc>
          <w:tcPr>
            <w:tcW w:w="162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0EC" w14:textId="77777777" w:rsidR="00AD6FA8" w:rsidRDefault="00000000">
            <w:r>
              <w:rPr>
                <w:b/>
                <w:bCs/>
                <w:color w:val="FFFFFF"/>
              </w:rPr>
              <w:t>Bear</w:t>
            </w:r>
          </w:p>
        </w:tc>
        <w:tc>
          <w:tcPr>
            <w:tcW w:w="162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0ED" w14:textId="77777777" w:rsidR="00AD6FA8" w:rsidRDefault="00000000">
            <w:r>
              <w:rPr>
                <w:b/>
                <w:bCs/>
                <w:color w:val="FFFFFF"/>
              </w:rPr>
              <w:t>Base</w:t>
            </w:r>
          </w:p>
        </w:tc>
        <w:tc>
          <w:tcPr>
            <w:tcW w:w="222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0EE" w14:textId="77777777" w:rsidR="00AD6FA8" w:rsidRDefault="00000000">
            <w:r>
              <w:rPr>
                <w:b/>
                <w:bCs/>
                <w:color w:val="FFFFFF"/>
              </w:rPr>
              <w:t>Bull</w:t>
            </w:r>
          </w:p>
        </w:tc>
      </w:tr>
      <w:tr w:rsidR="00AD6FA8" w14:paraId="1828F0F4" w14:textId="77777777">
        <w:tc>
          <w:tcPr>
            <w:tcW w:w="3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0F0" w14:textId="77777777" w:rsidR="00AD6FA8" w:rsidRDefault="00000000">
            <w:r>
              <w:rPr>
                <w:color w:val="1A1A1A"/>
              </w:rPr>
              <w:t>Active Robotaxi fleet (</w:t>
            </w:r>
            <w:proofErr w:type="spellStart"/>
            <w:r>
              <w:rPr>
                <w:color w:val="1A1A1A"/>
              </w:rPr>
              <w:t>mn</w:t>
            </w:r>
            <w:proofErr w:type="spellEnd"/>
            <w:r>
              <w:rPr>
                <w:color w:val="1A1A1A"/>
              </w:rPr>
              <w:t xml:space="preserve"> vehicles)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F1" w14:textId="77777777" w:rsidR="00AD6FA8" w:rsidRDefault="00000000">
            <w:pPr>
              <w:jc w:val="center"/>
            </w:pPr>
            <w:r>
              <w:rPr>
                <w:color w:val="1A1A1A"/>
              </w:rPr>
              <w:t>0.3</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F2" w14:textId="77777777" w:rsidR="00AD6FA8" w:rsidRDefault="00000000">
            <w:pPr>
              <w:jc w:val="center"/>
            </w:pPr>
            <w:r>
              <w:rPr>
                <w:color w:val="1A1A1A"/>
              </w:rPr>
              <w:t>2.0</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F3" w14:textId="77777777" w:rsidR="00AD6FA8" w:rsidRDefault="00000000">
            <w:pPr>
              <w:jc w:val="center"/>
            </w:pPr>
            <w:r>
              <w:rPr>
                <w:color w:val="1A1A1A"/>
              </w:rPr>
              <w:t>5.0</w:t>
            </w:r>
          </w:p>
        </w:tc>
      </w:tr>
      <w:tr w:rsidR="00AD6FA8" w14:paraId="1828F0F9" w14:textId="77777777">
        <w:tc>
          <w:tcPr>
            <w:tcW w:w="3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0F5" w14:textId="77777777" w:rsidR="00AD6FA8" w:rsidRDefault="00000000">
            <w:r>
              <w:rPr>
                <w:color w:val="1A1A1A"/>
              </w:rPr>
              <w:t>Gross revenue per vehicle ($/year)</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F6" w14:textId="77777777" w:rsidR="00AD6FA8" w:rsidRDefault="00000000">
            <w:pPr>
              <w:jc w:val="center"/>
            </w:pPr>
            <w:r>
              <w:rPr>
                <w:color w:val="1A1A1A"/>
              </w:rPr>
              <w:t>$18,000</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F7" w14:textId="77777777" w:rsidR="00AD6FA8" w:rsidRDefault="00000000">
            <w:pPr>
              <w:jc w:val="center"/>
            </w:pPr>
            <w:r>
              <w:rPr>
                <w:color w:val="1A1A1A"/>
              </w:rPr>
              <w:t>$25,000</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F8" w14:textId="77777777" w:rsidR="00AD6FA8" w:rsidRDefault="00000000">
            <w:pPr>
              <w:jc w:val="center"/>
            </w:pPr>
            <w:r>
              <w:rPr>
                <w:color w:val="1A1A1A"/>
              </w:rPr>
              <w:t>$32,000</w:t>
            </w:r>
          </w:p>
        </w:tc>
      </w:tr>
      <w:tr w:rsidR="00AD6FA8" w14:paraId="1828F0FE" w14:textId="77777777">
        <w:tc>
          <w:tcPr>
            <w:tcW w:w="3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0FA" w14:textId="77777777" w:rsidR="00AD6FA8" w:rsidRDefault="00000000">
            <w:r>
              <w:rPr>
                <w:color w:val="1A1A1A"/>
              </w:rPr>
              <w:t>Total gross platform revenue ($B)</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FB" w14:textId="77777777" w:rsidR="00AD6FA8" w:rsidRDefault="00000000">
            <w:pPr>
              <w:jc w:val="center"/>
            </w:pPr>
            <w:r>
              <w:rPr>
                <w:color w:val="1A1A1A"/>
              </w:rPr>
              <w:t>~$5.4B</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FC" w14:textId="77777777" w:rsidR="00AD6FA8" w:rsidRDefault="00000000">
            <w:pPr>
              <w:jc w:val="center"/>
            </w:pPr>
            <w:r>
              <w:rPr>
                <w:color w:val="1A1A1A"/>
              </w:rPr>
              <w:t>~$50B</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0FD" w14:textId="77777777" w:rsidR="00AD6FA8" w:rsidRDefault="00000000">
            <w:pPr>
              <w:jc w:val="center"/>
            </w:pPr>
            <w:r>
              <w:rPr>
                <w:color w:val="1A1A1A"/>
              </w:rPr>
              <w:t>~$160B</w:t>
            </w:r>
          </w:p>
        </w:tc>
      </w:tr>
      <w:tr w:rsidR="00AD6FA8" w14:paraId="1828F103" w14:textId="77777777">
        <w:tc>
          <w:tcPr>
            <w:tcW w:w="3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0FF" w14:textId="77777777" w:rsidR="00AD6FA8" w:rsidRDefault="00000000">
            <w:r>
              <w:rPr>
                <w:color w:val="1A1A1A"/>
              </w:rPr>
              <w:t>Tesla take-rate</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00" w14:textId="77777777" w:rsidR="00AD6FA8" w:rsidRDefault="00000000">
            <w:pPr>
              <w:jc w:val="center"/>
            </w:pPr>
            <w:r>
              <w:rPr>
                <w:color w:val="1A1A1A"/>
              </w:rPr>
              <w:t>20%</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01" w14:textId="77777777" w:rsidR="00AD6FA8" w:rsidRDefault="00000000">
            <w:pPr>
              <w:jc w:val="center"/>
            </w:pPr>
            <w:r>
              <w:rPr>
                <w:color w:val="1A1A1A"/>
              </w:rPr>
              <w:t>25%</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02" w14:textId="77777777" w:rsidR="00AD6FA8" w:rsidRDefault="00000000">
            <w:pPr>
              <w:jc w:val="center"/>
            </w:pPr>
            <w:r>
              <w:rPr>
                <w:color w:val="1A1A1A"/>
              </w:rPr>
              <w:t>30%</w:t>
            </w:r>
          </w:p>
        </w:tc>
      </w:tr>
      <w:tr w:rsidR="00AD6FA8" w14:paraId="1828F108" w14:textId="77777777">
        <w:tc>
          <w:tcPr>
            <w:tcW w:w="3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104" w14:textId="77777777" w:rsidR="00AD6FA8" w:rsidRDefault="00000000">
            <w:r>
              <w:rPr>
                <w:color w:val="1A1A1A"/>
              </w:rPr>
              <w:t>Tesla net revenue from Robotaxi ($B)</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05" w14:textId="77777777" w:rsidR="00AD6FA8" w:rsidRDefault="00000000">
            <w:pPr>
              <w:jc w:val="center"/>
            </w:pPr>
            <w:r>
              <w:rPr>
                <w:color w:val="1A1A1A"/>
              </w:rPr>
              <w:t>~$1.1B</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06" w14:textId="77777777" w:rsidR="00AD6FA8" w:rsidRDefault="00000000">
            <w:pPr>
              <w:jc w:val="center"/>
            </w:pPr>
            <w:r>
              <w:rPr>
                <w:color w:val="1A1A1A"/>
              </w:rPr>
              <w:t>~$12.5B</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07" w14:textId="77777777" w:rsidR="00AD6FA8" w:rsidRDefault="00000000">
            <w:pPr>
              <w:jc w:val="center"/>
            </w:pPr>
            <w:r>
              <w:rPr>
                <w:color w:val="1A1A1A"/>
              </w:rPr>
              <w:t>~$48B</w:t>
            </w:r>
          </w:p>
        </w:tc>
      </w:tr>
      <w:tr w:rsidR="00AD6FA8" w14:paraId="1828F10D" w14:textId="77777777">
        <w:tc>
          <w:tcPr>
            <w:tcW w:w="3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109" w14:textId="77777777" w:rsidR="00AD6FA8" w:rsidRDefault="00000000">
            <w:r>
              <w:rPr>
                <w:color w:val="1A1A1A"/>
              </w:rPr>
              <w:t>Profit margin</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0A" w14:textId="77777777" w:rsidR="00AD6FA8" w:rsidRDefault="00000000">
            <w:pPr>
              <w:jc w:val="center"/>
            </w:pPr>
            <w:r>
              <w:rPr>
                <w:color w:val="1A1A1A"/>
              </w:rPr>
              <w:t>35%</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0B" w14:textId="77777777" w:rsidR="00AD6FA8" w:rsidRDefault="00000000">
            <w:pPr>
              <w:jc w:val="center"/>
            </w:pPr>
            <w:r>
              <w:rPr>
                <w:color w:val="1A1A1A"/>
              </w:rPr>
              <w:t>45%</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0C" w14:textId="77777777" w:rsidR="00AD6FA8" w:rsidRDefault="00000000">
            <w:pPr>
              <w:jc w:val="center"/>
            </w:pPr>
            <w:r>
              <w:rPr>
                <w:color w:val="1A1A1A"/>
              </w:rPr>
              <w:t>55%</w:t>
            </w:r>
          </w:p>
        </w:tc>
      </w:tr>
      <w:tr w:rsidR="00AD6FA8" w14:paraId="1828F112" w14:textId="77777777">
        <w:tc>
          <w:tcPr>
            <w:tcW w:w="3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10E" w14:textId="77777777" w:rsidR="00AD6FA8" w:rsidRDefault="00000000">
            <w:r>
              <w:rPr>
                <w:color w:val="1A1A1A"/>
              </w:rPr>
              <w:t>Robotaxi segment profit ($B)</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0F" w14:textId="77777777" w:rsidR="00AD6FA8" w:rsidRDefault="00000000">
            <w:pPr>
              <w:jc w:val="center"/>
            </w:pPr>
            <w:r>
              <w:rPr>
                <w:color w:val="1A1A1A"/>
              </w:rPr>
              <w:t>~$0.4B</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10" w14:textId="77777777" w:rsidR="00AD6FA8" w:rsidRDefault="00000000">
            <w:pPr>
              <w:jc w:val="center"/>
            </w:pPr>
            <w:r>
              <w:rPr>
                <w:color w:val="1A1A1A"/>
              </w:rPr>
              <w:t>~$5.6B</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11" w14:textId="77777777" w:rsidR="00AD6FA8" w:rsidRDefault="00000000">
            <w:pPr>
              <w:jc w:val="center"/>
            </w:pPr>
            <w:r>
              <w:rPr>
                <w:color w:val="1A1A1A"/>
              </w:rPr>
              <w:t>~$26.4B</w:t>
            </w:r>
          </w:p>
        </w:tc>
      </w:tr>
      <w:tr w:rsidR="00AD6FA8" w14:paraId="1828F117" w14:textId="77777777">
        <w:tc>
          <w:tcPr>
            <w:tcW w:w="3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113" w14:textId="77777777" w:rsidR="00AD6FA8" w:rsidRDefault="00000000">
            <w:r>
              <w:rPr>
                <w:color w:val="1A1A1A"/>
              </w:rPr>
              <w:t>Valuation multiple</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14" w14:textId="77777777" w:rsidR="00AD6FA8" w:rsidRDefault="00000000">
            <w:pPr>
              <w:jc w:val="center"/>
            </w:pPr>
            <w:r>
              <w:rPr>
                <w:color w:val="1A1A1A"/>
              </w:rPr>
              <w:t>20x</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15" w14:textId="77777777" w:rsidR="00AD6FA8" w:rsidRDefault="00000000">
            <w:pPr>
              <w:jc w:val="center"/>
            </w:pPr>
            <w:r>
              <w:rPr>
                <w:color w:val="1A1A1A"/>
              </w:rPr>
              <w:t>27x</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16" w14:textId="77777777" w:rsidR="00AD6FA8" w:rsidRDefault="00000000">
            <w:pPr>
              <w:jc w:val="center"/>
            </w:pPr>
            <w:r>
              <w:rPr>
                <w:color w:val="1A1A1A"/>
              </w:rPr>
              <w:t>30x</w:t>
            </w:r>
          </w:p>
        </w:tc>
      </w:tr>
      <w:tr w:rsidR="00AD6FA8" w14:paraId="1828F11C" w14:textId="77777777">
        <w:tc>
          <w:tcPr>
            <w:tcW w:w="3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118" w14:textId="77777777" w:rsidR="00AD6FA8" w:rsidRDefault="00000000">
            <w:r>
              <w:rPr>
                <w:color w:val="1A1A1A"/>
              </w:rPr>
              <w:t>Implied Robotaxi segment value ($B)</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19" w14:textId="77777777" w:rsidR="00AD6FA8" w:rsidRDefault="00000000">
            <w:pPr>
              <w:jc w:val="center"/>
            </w:pPr>
            <w:r>
              <w:rPr>
                <w:color w:val="1A1A1A"/>
              </w:rPr>
              <w:t>~$8B</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1A" w14:textId="77777777" w:rsidR="00AD6FA8" w:rsidRDefault="00000000">
            <w:pPr>
              <w:jc w:val="center"/>
            </w:pPr>
            <w:r>
              <w:rPr>
                <w:color w:val="1A1A1A"/>
              </w:rPr>
              <w:t>~$151B</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1B" w14:textId="77777777" w:rsidR="00AD6FA8" w:rsidRDefault="00000000">
            <w:pPr>
              <w:jc w:val="center"/>
            </w:pPr>
            <w:r>
              <w:rPr>
                <w:color w:val="1A1A1A"/>
              </w:rPr>
              <w:t>~$792B</w:t>
            </w:r>
          </w:p>
        </w:tc>
      </w:tr>
    </w:tbl>
    <w:p w14:paraId="1828F11D" w14:textId="77777777" w:rsidR="00AD6FA8" w:rsidRDefault="00AD6FA8">
      <w:pPr>
        <w:spacing w:before="80"/>
      </w:pPr>
    </w:p>
    <w:p w14:paraId="1828F11E" w14:textId="77777777" w:rsidR="00AD6FA8" w:rsidRDefault="00000000">
      <w:pPr>
        <w:spacing w:before="80" w:after="80" w:line="320" w:lineRule="auto"/>
        <w:jc w:val="both"/>
      </w:pPr>
      <w:r>
        <w:rPr>
          <w:color w:val="1A1A1A"/>
        </w:rPr>
        <w:t>The wide range between bear and bull case in the Robotaxi layer is intentional and reflects the genuine uncertainty about timing, scale, and competitive dynamics. The bear case assumes regulatory friction and technical delays limit commercial deployment to a small pilot fleet. The bull case assumes successful deployment at meaningful scale with Tesla controlling a significant portion of the customer interface, capturing the full take-rate advantage.</w:t>
      </w:r>
    </w:p>
    <w:p w14:paraId="1828F11F" w14:textId="77777777" w:rsidR="00AD6FA8" w:rsidRDefault="00AD6FA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6FA8" w14:paraId="1828F122" w14:textId="77777777">
        <w:tc>
          <w:tcPr>
            <w:tcW w:w="9360" w:type="dxa"/>
            <w:tcBorders>
              <w:top w:val="single" w:sz="8" w:space="0" w:color="2E5FA3"/>
              <w:left w:val="thick" w:sz="20" w:space="0" w:color="2E5FA3"/>
              <w:bottom w:val="single" w:sz="8" w:space="0" w:color="2E5FA3"/>
              <w:right w:val="none" w:sz="0" w:space="0" w:color="FFFFFF"/>
            </w:tcBorders>
            <w:shd w:val="clear" w:color="auto" w:fill="EEF2F7"/>
            <w:tcMar>
              <w:top w:w="160" w:type="dxa"/>
              <w:left w:w="240" w:type="dxa"/>
              <w:bottom w:w="160" w:type="dxa"/>
              <w:right w:w="240" w:type="dxa"/>
            </w:tcMar>
          </w:tcPr>
          <w:p w14:paraId="1828F120" w14:textId="77777777" w:rsidR="00AD6FA8" w:rsidRDefault="00000000">
            <w:pPr>
              <w:spacing w:after="60"/>
            </w:pPr>
            <w:r>
              <w:rPr>
                <w:b/>
                <w:bCs/>
                <w:caps/>
                <w:color w:val="2E5FA3"/>
                <w:sz w:val="18"/>
                <w:szCs w:val="18"/>
              </w:rPr>
              <w:t>ASYMMETRY NOTE</w:t>
            </w:r>
          </w:p>
          <w:p w14:paraId="1828F121" w14:textId="77777777" w:rsidR="00AD6FA8" w:rsidRDefault="00000000">
            <w:r>
              <w:rPr>
                <w:i/>
                <w:iCs/>
                <w:color w:val="1A1A1A"/>
              </w:rPr>
              <w:t>The Robotaxi layer is where the asymmetry lives. At base case assumptions, it adds ~$151B to Tesla's implied equity value. At bull case, it adds ~$792B. The difference between those two outcomes is driven almost entirely by fleet scale and take-rate — not by technology. The technology is assumed to work in both scenarios.</w:t>
            </w:r>
          </w:p>
        </w:tc>
      </w:tr>
    </w:tbl>
    <w:p w14:paraId="1828F123" w14:textId="77777777" w:rsidR="00AD6FA8" w:rsidRDefault="00AD6FA8">
      <w:pPr>
        <w:spacing w:before="120"/>
      </w:pPr>
    </w:p>
    <w:p w14:paraId="1828F124" w14:textId="77777777" w:rsidR="00AD6FA8" w:rsidRDefault="00000000">
      <w:pPr>
        <w:pStyle w:val="Heading2"/>
      </w:pPr>
      <w:r>
        <w:t>1.5  SOTP Summary — Probability-Weighted Implied Value</w:t>
      </w:r>
    </w:p>
    <w:p w14:paraId="1828F125" w14:textId="77777777" w:rsidR="00AD6FA8" w:rsidRDefault="00000000">
      <w:pPr>
        <w:spacing w:before="80" w:after="80" w:line="320" w:lineRule="auto"/>
        <w:jc w:val="both"/>
      </w:pPr>
      <w:r>
        <w:rPr>
          <w:color w:val="1A1A1A"/>
        </w:rPr>
        <w:t>Combining the three layers produces a Sum-of-the-Parts valuation for each scenario. Applying the probability weights derived from the scenario analysis (30% bull / 50% base / 20% bear), the probability-weighted implied equity value can be calculated.</w:t>
      </w:r>
    </w:p>
    <w:p w14:paraId="1828F126" w14:textId="77777777" w:rsidR="00AD6FA8" w:rsidRDefault="00AD6FA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000"/>
        <w:gridCol w:w="2000"/>
        <w:gridCol w:w="2000"/>
      </w:tblGrid>
      <w:tr w:rsidR="00AD6FA8" w14:paraId="1828F12B" w14:textId="77777777">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127" w14:textId="77777777" w:rsidR="00AD6FA8" w:rsidRDefault="00000000">
            <w:r>
              <w:rPr>
                <w:b/>
                <w:bCs/>
                <w:color w:val="FFFFFF"/>
              </w:rPr>
              <w:t>Segment</w:t>
            </w:r>
          </w:p>
        </w:tc>
        <w:tc>
          <w:tcPr>
            <w:tcW w:w="20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128" w14:textId="77777777" w:rsidR="00AD6FA8" w:rsidRDefault="00000000">
            <w:r>
              <w:rPr>
                <w:b/>
                <w:bCs/>
                <w:color w:val="FFFFFF"/>
              </w:rPr>
              <w:t>Bear ($B)</w:t>
            </w:r>
          </w:p>
        </w:tc>
        <w:tc>
          <w:tcPr>
            <w:tcW w:w="20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129" w14:textId="77777777" w:rsidR="00AD6FA8" w:rsidRDefault="00000000">
            <w:r>
              <w:rPr>
                <w:b/>
                <w:bCs/>
                <w:color w:val="FFFFFF"/>
              </w:rPr>
              <w:t>Base ($B)</w:t>
            </w:r>
          </w:p>
        </w:tc>
        <w:tc>
          <w:tcPr>
            <w:tcW w:w="20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12A" w14:textId="77777777" w:rsidR="00AD6FA8" w:rsidRDefault="00000000">
            <w:r>
              <w:rPr>
                <w:b/>
                <w:bCs/>
                <w:color w:val="FFFFFF"/>
              </w:rPr>
              <w:t>Bull ($B)</w:t>
            </w:r>
          </w:p>
        </w:tc>
      </w:tr>
      <w:tr w:rsidR="00AD6FA8" w14:paraId="1828F130" w14:textId="77777777">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12C" w14:textId="77777777" w:rsidR="00AD6FA8" w:rsidRDefault="00000000">
            <w:r>
              <w:rPr>
                <w:color w:val="1A1A1A"/>
              </w:rPr>
              <w:t>EV Manufacturing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2D" w14:textId="77777777" w:rsidR="00AD6FA8" w:rsidRDefault="00000000">
            <w:pPr>
              <w:jc w:val="center"/>
            </w:pPr>
            <w:r>
              <w:rPr>
                <w:color w:val="1A1A1A"/>
              </w:rPr>
              <w:t>$180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2E" w14:textId="77777777" w:rsidR="00AD6FA8" w:rsidRDefault="00000000">
            <w:pPr>
              <w:jc w:val="center"/>
            </w:pPr>
            <w:r>
              <w:rPr>
                <w:color w:val="1A1A1A"/>
              </w:rPr>
              <w:t>$270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2F" w14:textId="77777777" w:rsidR="00AD6FA8" w:rsidRDefault="00000000">
            <w:pPr>
              <w:jc w:val="center"/>
            </w:pPr>
            <w:r>
              <w:rPr>
                <w:color w:val="1A1A1A"/>
              </w:rPr>
              <w:t>$485</w:t>
            </w:r>
          </w:p>
        </w:tc>
      </w:tr>
      <w:tr w:rsidR="00AD6FA8" w14:paraId="1828F135" w14:textId="77777777">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131" w14:textId="77777777" w:rsidR="00AD6FA8" w:rsidRDefault="00000000">
            <w:r>
              <w:rPr>
                <w:color w:val="1A1A1A"/>
              </w:rPr>
              <w:t>FSD Software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32" w14:textId="77777777" w:rsidR="00AD6FA8" w:rsidRDefault="00000000">
            <w:pPr>
              <w:jc w:val="center"/>
            </w:pPr>
            <w:r>
              <w:rPr>
                <w:color w:val="1A1A1A"/>
              </w:rPr>
              <w:t>$18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33" w14:textId="77777777" w:rsidR="00AD6FA8" w:rsidRDefault="00000000">
            <w:pPr>
              <w:jc w:val="center"/>
            </w:pPr>
            <w:r>
              <w:rPr>
                <w:color w:val="1A1A1A"/>
              </w:rPr>
              <w:t>$65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34" w14:textId="77777777" w:rsidR="00AD6FA8" w:rsidRDefault="00000000">
            <w:pPr>
              <w:jc w:val="center"/>
            </w:pPr>
            <w:r>
              <w:rPr>
                <w:color w:val="1A1A1A"/>
              </w:rPr>
              <w:t>$174</w:t>
            </w:r>
          </w:p>
        </w:tc>
      </w:tr>
      <w:tr w:rsidR="00AD6FA8" w14:paraId="1828F13A" w14:textId="77777777">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136" w14:textId="77777777" w:rsidR="00AD6FA8" w:rsidRDefault="00000000">
            <w:r>
              <w:rPr>
                <w:color w:val="1A1A1A"/>
              </w:rPr>
              <w:t>Robotaxi Platform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37" w14:textId="77777777" w:rsidR="00AD6FA8" w:rsidRDefault="00000000">
            <w:pPr>
              <w:jc w:val="center"/>
            </w:pPr>
            <w:r>
              <w:rPr>
                <w:color w:val="1A1A1A"/>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38" w14:textId="77777777" w:rsidR="00AD6FA8" w:rsidRDefault="00000000">
            <w:pPr>
              <w:jc w:val="center"/>
            </w:pPr>
            <w:r>
              <w:rPr>
                <w:color w:val="1A1A1A"/>
              </w:rPr>
              <w:t>$151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39" w14:textId="77777777" w:rsidR="00AD6FA8" w:rsidRDefault="00000000">
            <w:pPr>
              <w:jc w:val="center"/>
            </w:pPr>
            <w:r>
              <w:rPr>
                <w:color w:val="1A1A1A"/>
              </w:rPr>
              <w:t>$792</w:t>
            </w:r>
          </w:p>
        </w:tc>
      </w:tr>
      <w:tr w:rsidR="00AD6FA8" w14:paraId="1828F13F" w14:textId="77777777">
        <w:tc>
          <w:tcPr>
            <w:tcW w:w="336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13B" w14:textId="77777777" w:rsidR="00AD6FA8" w:rsidRDefault="00000000">
            <w:r>
              <w:rPr>
                <w:b/>
                <w:bCs/>
                <w:color w:val="FFFFFF"/>
              </w:rPr>
              <w:t>Total Implied Equity Value</w:t>
            </w:r>
          </w:p>
        </w:tc>
        <w:tc>
          <w:tcPr>
            <w:tcW w:w="20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13C" w14:textId="77777777" w:rsidR="00AD6FA8" w:rsidRDefault="00000000">
            <w:pPr>
              <w:jc w:val="center"/>
            </w:pPr>
            <w:r>
              <w:rPr>
                <w:b/>
                <w:bCs/>
                <w:color w:val="FFFFFF"/>
              </w:rPr>
              <w:t>$206B</w:t>
            </w:r>
          </w:p>
        </w:tc>
        <w:tc>
          <w:tcPr>
            <w:tcW w:w="20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13D" w14:textId="77777777" w:rsidR="00AD6FA8" w:rsidRDefault="00000000">
            <w:pPr>
              <w:jc w:val="center"/>
            </w:pPr>
            <w:r>
              <w:rPr>
                <w:b/>
                <w:bCs/>
                <w:color w:val="FFFFFF"/>
              </w:rPr>
              <w:t>$486B</w:t>
            </w:r>
          </w:p>
        </w:tc>
        <w:tc>
          <w:tcPr>
            <w:tcW w:w="20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13E" w14:textId="77777777" w:rsidR="00AD6FA8" w:rsidRDefault="00000000">
            <w:pPr>
              <w:jc w:val="center"/>
            </w:pPr>
            <w:r>
              <w:rPr>
                <w:b/>
                <w:bCs/>
                <w:color w:val="FFFFFF"/>
              </w:rPr>
              <w:t>$1,451B</w:t>
            </w:r>
          </w:p>
        </w:tc>
      </w:tr>
      <w:tr w:rsidR="00AD6FA8" w14:paraId="1828F144"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40" w14:textId="77777777" w:rsidR="00AD6FA8" w:rsidRDefault="00000000">
            <w:r>
              <w:rPr>
                <w:b/>
                <w:bCs/>
                <w:color w:val="1A1A1A"/>
              </w:rPr>
              <w:t>Scenario Probability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41" w14:textId="77777777" w:rsidR="00AD6FA8" w:rsidRDefault="00000000">
            <w:pPr>
              <w:jc w:val="center"/>
            </w:pPr>
            <w:r>
              <w:rPr>
                <w:b/>
                <w:bCs/>
                <w:color w:val="1A1A1A"/>
              </w:rPr>
              <w:t>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42" w14:textId="77777777" w:rsidR="00AD6FA8" w:rsidRDefault="00000000">
            <w:pPr>
              <w:jc w:val="center"/>
            </w:pPr>
            <w:r>
              <w:rPr>
                <w:b/>
                <w:bCs/>
                <w:color w:val="1A1A1A"/>
              </w:rPr>
              <w:t>50%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43" w14:textId="77777777" w:rsidR="00AD6FA8" w:rsidRDefault="00000000">
            <w:pPr>
              <w:jc w:val="center"/>
            </w:pPr>
            <w:r>
              <w:rPr>
                <w:b/>
                <w:bCs/>
                <w:color w:val="1A1A1A"/>
              </w:rPr>
              <w:t>30%</w:t>
            </w:r>
          </w:p>
        </w:tc>
      </w:tr>
      <w:tr w:rsidR="00AD6FA8" w14:paraId="1828F149" w14:textId="77777777">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145" w14:textId="77777777" w:rsidR="00AD6FA8" w:rsidRDefault="00000000">
            <w:r>
              <w:rPr>
                <w:b/>
                <w:bCs/>
                <w:color w:val="1A1A1A"/>
              </w:rPr>
              <w:t>Probability-Weighted Value</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146" w14:textId="77777777" w:rsidR="00AD6FA8" w:rsidRDefault="00AD6FA8">
            <w:pPr>
              <w:jc w:val="center"/>
            </w:pP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147" w14:textId="77777777" w:rsidR="00AD6FA8" w:rsidRDefault="00AD6FA8">
            <w:pPr>
              <w:jc w:val="center"/>
            </w:pP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148" w14:textId="77777777" w:rsidR="00AD6FA8" w:rsidRDefault="00000000">
            <w:pPr>
              <w:jc w:val="center"/>
            </w:pPr>
            <w:r>
              <w:rPr>
                <w:b/>
                <w:bCs/>
                <w:color w:val="1F3A6E"/>
              </w:rPr>
              <w:t>~$723B</w:t>
            </w:r>
          </w:p>
        </w:tc>
      </w:tr>
    </w:tbl>
    <w:p w14:paraId="1828F14A" w14:textId="77777777" w:rsidR="00AD6FA8" w:rsidRDefault="00AD6FA8">
      <w:pPr>
        <w:spacing w:before="80"/>
      </w:pPr>
    </w:p>
    <w:p w14:paraId="1828F14B" w14:textId="77777777" w:rsidR="00AD6FA8" w:rsidRDefault="00000000">
      <w:pPr>
        <w:spacing w:before="80" w:after="80" w:line="320" w:lineRule="auto"/>
        <w:jc w:val="both"/>
      </w:pPr>
      <w:r>
        <w:rPr>
          <w:color w:val="1A1A1A"/>
        </w:rPr>
        <w:t>The probability-weighted implied equity value of approximately $723 billion provides the quantitative anchor for the investment thesis. This compares to Tesla's approximate market capitalisation of $700–800 billion at the time of writing, suggesting that the market is pricing something close to the base case — with limited credit given to the bull case Robotaxi upside, and limited fear of the bear case floor.</w:t>
      </w:r>
    </w:p>
    <w:p w14:paraId="1828F14C" w14:textId="77777777" w:rsidR="00AD6FA8" w:rsidRDefault="00AD6FA8">
      <w:pPr>
        <w:spacing w:before="120"/>
      </w:pPr>
    </w:p>
    <w:p w14:paraId="1828F14D" w14:textId="77777777" w:rsidR="00AD6FA8" w:rsidRDefault="00000000">
      <w:pPr>
        <w:pStyle w:val="Heading1"/>
        <w:pBdr>
          <w:bottom w:val="single" w:sz="6" w:space="6" w:color="2E5FA3"/>
        </w:pBdr>
      </w:pPr>
      <w:r>
        <w:t>II. Sensitivity Analysis</w:t>
      </w:r>
    </w:p>
    <w:p w14:paraId="1828F14E" w14:textId="77777777" w:rsidR="00AD6FA8" w:rsidRDefault="00000000">
      <w:pPr>
        <w:spacing w:before="80" w:after="80" w:line="320" w:lineRule="auto"/>
        <w:jc w:val="both"/>
      </w:pPr>
      <w:r>
        <w:rPr>
          <w:color w:val="1A1A1A"/>
        </w:rPr>
        <w:t>The SOTP model produces a point estimate, but point estimates are false precision in a business with this level of uncertainty. The analytically important question is not what the base case implies — it is which variables move the output the most, and by how much. The sensitivity analysis answers this question explicitly.</w:t>
      </w:r>
    </w:p>
    <w:p w14:paraId="1828F14F" w14:textId="77777777" w:rsidR="00AD6FA8" w:rsidRDefault="00AD6FA8">
      <w:pPr>
        <w:spacing w:before="100"/>
      </w:pPr>
    </w:p>
    <w:p w14:paraId="1828F150" w14:textId="77777777" w:rsidR="00AD6FA8" w:rsidRDefault="00000000">
      <w:pPr>
        <w:pStyle w:val="Heading2"/>
      </w:pPr>
      <w:r>
        <w:lastRenderedPageBreak/>
        <w:t>2.1  FSD Penetration Rate × Fleet Size — Sensitivity Matrix</w:t>
      </w:r>
    </w:p>
    <w:p w14:paraId="1828F151" w14:textId="77777777" w:rsidR="00AD6FA8" w:rsidRDefault="00000000">
      <w:pPr>
        <w:spacing w:before="80" w:after="80" w:line="320" w:lineRule="auto"/>
        <w:jc w:val="both"/>
      </w:pPr>
      <w:r>
        <w:rPr>
          <w:color w:val="1A1A1A"/>
        </w:rPr>
        <w:t>The table below shows implied FSD segment value (in $B) across combinations of penetration rate and forward fleet size, holding ARPU at $1,200, margin at 75%, and multiple at 27x constant.</w:t>
      </w:r>
    </w:p>
    <w:p w14:paraId="1828F152" w14:textId="77777777" w:rsidR="00AD6FA8" w:rsidRDefault="00AD6FA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815"/>
        <w:gridCol w:w="1815"/>
        <w:gridCol w:w="1815"/>
        <w:gridCol w:w="1815"/>
      </w:tblGrid>
      <w:tr w:rsidR="00AD6FA8" w14:paraId="1828F158" w14:textId="77777777">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153" w14:textId="77777777" w:rsidR="00AD6FA8" w:rsidRDefault="00000000">
            <w:r>
              <w:rPr>
                <w:b/>
                <w:bCs/>
                <w:color w:val="FFFFFF"/>
              </w:rPr>
              <w:t>Penetration \ Fleet</w:t>
            </w:r>
          </w:p>
        </w:tc>
        <w:tc>
          <w:tcPr>
            <w:tcW w:w="1815"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154" w14:textId="77777777" w:rsidR="00AD6FA8" w:rsidRDefault="00000000">
            <w:r>
              <w:rPr>
                <w:b/>
                <w:bCs/>
                <w:color w:val="FFFFFF"/>
              </w:rPr>
              <w:t>7M vehicles</w:t>
            </w:r>
          </w:p>
        </w:tc>
        <w:tc>
          <w:tcPr>
            <w:tcW w:w="1815"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155" w14:textId="77777777" w:rsidR="00AD6FA8" w:rsidRDefault="00000000">
            <w:r>
              <w:rPr>
                <w:b/>
                <w:bCs/>
                <w:color w:val="FFFFFF"/>
              </w:rPr>
              <w:t>9M vehicles</w:t>
            </w:r>
          </w:p>
        </w:tc>
        <w:tc>
          <w:tcPr>
            <w:tcW w:w="1815"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156" w14:textId="77777777" w:rsidR="00AD6FA8" w:rsidRDefault="00000000">
            <w:r>
              <w:rPr>
                <w:b/>
                <w:bCs/>
                <w:color w:val="FFFFFF"/>
              </w:rPr>
              <w:t>11M vehicles</w:t>
            </w:r>
          </w:p>
        </w:tc>
        <w:tc>
          <w:tcPr>
            <w:tcW w:w="1815"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157" w14:textId="77777777" w:rsidR="00AD6FA8" w:rsidRDefault="00000000">
            <w:r>
              <w:rPr>
                <w:b/>
                <w:bCs/>
                <w:color w:val="FFFFFF"/>
              </w:rPr>
              <w:t>13M vehicles</w:t>
            </w:r>
          </w:p>
        </w:tc>
      </w:tr>
      <w:tr w:rsidR="00AD6FA8" w14:paraId="1828F15E" w14:textId="77777777">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159" w14:textId="77777777" w:rsidR="00AD6FA8" w:rsidRDefault="00000000">
            <w:r>
              <w:rPr>
                <w:color w:val="1A1A1A"/>
              </w:rPr>
              <w:t>15%</w:t>
            </w:r>
          </w:p>
        </w:tc>
        <w:tc>
          <w:tcPr>
            <w:tcW w:w="1815"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1828F15A" w14:textId="77777777" w:rsidR="00AD6FA8" w:rsidRDefault="00000000">
            <w:pPr>
              <w:jc w:val="center"/>
            </w:pPr>
            <w:r>
              <w:rPr>
                <w:color w:val="B71C1C"/>
              </w:rPr>
              <w:t>$20B</w:t>
            </w:r>
          </w:p>
        </w:tc>
        <w:tc>
          <w:tcPr>
            <w:tcW w:w="1815"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1828F15B" w14:textId="77777777" w:rsidR="00AD6FA8" w:rsidRDefault="00000000">
            <w:pPr>
              <w:jc w:val="center"/>
            </w:pPr>
            <w:r>
              <w:rPr>
                <w:color w:val="B71C1C"/>
              </w:rPr>
              <w:t>$26B</w:t>
            </w:r>
          </w:p>
        </w:tc>
        <w:tc>
          <w:tcPr>
            <w:tcW w:w="1815"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vAlign w:val="center"/>
          </w:tcPr>
          <w:p w14:paraId="1828F15C" w14:textId="77777777" w:rsidR="00AD6FA8" w:rsidRDefault="00000000">
            <w:pPr>
              <w:jc w:val="center"/>
            </w:pPr>
            <w:r>
              <w:rPr>
                <w:color w:val="E65100"/>
              </w:rPr>
              <w:t>$32B</w:t>
            </w:r>
          </w:p>
        </w:tc>
        <w:tc>
          <w:tcPr>
            <w:tcW w:w="1815"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vAlign w:val="center"/>
          </w:tcPr>
          <w:p w14:paraId="1828F15D" w14:textId="77777777" w:rsidR="00AD6FA8" w:rsidRDefault="00000000">
            <w:pPr>
              <w:jc w:val="center"/>
            </w:pPr>
            <w:r>
              <w:rPr>
                <w:color w:val="E65100"/>
              </w:rPr>
              <w:t>$38B</w:t>
            </w:r>
          </w:p>
        </w:tc>
      </w:tr>
      <w:tr w:rsidR="00AD6FA8" w14:paraId="1828F164" w14:textId="77777777">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15F" w14:textId="77777777" w:rsidR="00AD6FA8" w:rsidRDefault="00000000">
            <w:r>
              <w:rPr>
                <w:color w:val="1A1A1A"/>
              </w:rPr>
              <w:t>25%</w:t>
            </w:r>
          </w:p>
        </w:tc>
        <w:tc>
          <w:tcPr>
            <w:tcW w:w="1815"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vAlign w:val="center"/>
          </w:tcPr>
          <w:p w14:paraId="1828F160" w14:textId="77777777" w:rsidR="00AD6FA8" w:rsidRDefault="00000000">
            <w:pPr>
              <w:jc w:val="center"/>
            </w:pPr>
            <w:r>
              <w:rPr>
                <w:color w:val="E65100"/>
              </w:rPr>
              <w:t>$34B</w:t>
            </w:r>
          </w:p>
        </w:tc>
        <w:tc>
          <w:tcPr>
            <w:tcW w:w="1815"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vAlign w:val="center"/>
          </w:tcPr>
          <w:p w14:paraId="1828F161" w14:textId="77777777" w:rsidR="00AD6FA8" w:rsidRDefault="00000000">
            <w:pPr>
              <w:jc w:val="center"/>
            </w:pPr>
            <w:r>
              <w:rPr>
                <w:color w:val="E65100"/>
              </w:rPr>
              <w:t>$43B</w:t>
            </w:r>
          </w:p>
        </w:tc>
        <w:tc>
          <w:tcPr>
            <w:tcW w:w="1815"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vAlign w:val="center"/>
          </w:tcPr>
          <w:p w14:paraId="1828F162" w14:textId="77777777" w:rsidR="00AD6FA8" w:rsidRDefault="00000000">
            <w:pPr>
              <w:jc w:val="center"/>
            </w:pPr>
            <w:r>
              <w:rPr>
                <w:color w:val="E65100"/>
              </w:rPr>
              <w:t>$53B</w:t>
            </w:r>
          </w:p>
        </w:tc>
        <w:tc>
          <w:tcPr>
            <w:tcW w:w="1815" w:type="dxa"/>
            <w:tcBorders>
              <w:top w:val="single" w:sz="1" w:space="0" w:color="CCCCCC"/>
              <w:left w:val="single" w:sz="1" w:space="0" w:color="CCCCCC"/>
              <w:bottom w:val="single" w:sz="1" w:space="0" w:color="CCCCCC"/>
              <w:right w:val="single" w:sz="1" w:space="0" w:color="CCCCCC"/>
            </w:tcBorders>
            <w:shd w:val="clear" w:color="auto" w:fill="E6F4EA"/>
            <w:tcMar>
              <w:top w:w="100" w:type="dxa"/>
              <w:left w:w="140" w:type="dxa"/>
              <w:bottom w:w="100" w:type="dxa"/>
              <w:right w:w="140" w:type="dxa"/>
            </w:tcMar>
            <w:vAlign w:val="center"/>
          </w:tcPr>
          <w:p w14:paraId="1828F163" w14:textId="77777777" w:rsidR="00AD6FA8" w:rsidRDefault="00000000">
            <w:pPr>
              <w:jc w:val="center"/>
            </w:pPr>
            <w:r>
              <w:rPr>
                <w:color w:val="1B5E20"/>
              </w:rPr>
              <w:t>$63B</w:t>
            </w:r>
          </w:p>
        </w:tc>
      </w:tr>
      <w:tr w:rsidR="00AD6FA8" w14:paraId="1828F16A" w14:textId="77777777">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165" w14:textId="77777777" w:rsidR="00AD6FA8" w:rsidRDefault="00000000">
            <w:r>
              <w:rPr>
                <w:color w:val="1A1A1A"/>
              </w:rPr>
              <w:t>30%</w:t>
            </w:r>
          </w:p>
        </w:tc>
        <w:tc>
          <w:tcPr>
            <w:tcW w:w="1815"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vAlign w:val="center"/>
          </w:tcPr>
          <w:p w14:paraId="1828F166" w14:textId="77777777" w:rsidR="00AD6FA8" w:rsidRDefault="00000000">
            <w:pPr>
              <w:jc w:val="center"/>
            </w:pPr>
            <w:r>
              <w:rPr>
                <w:color w:val="E65100"/>
              </w:rPr>
              <w:t>$41B</w:t>
            </w:r>
          </w:p>
        </w:tc>
        <w:tc>
          <w:tcPr>
            <w:tcW w:w="1815" w:type="dxa"/>
            <w:tcBorders>
              <w:top w:val="single" w:sz="1" w:space="0" w:color="CCCCCC"/>
              <w:left w:val="single" w:sz="1" w:space="0" w:color="CCCCCC"/>
              <w:bottom w:val="single" w:sz="1" w:space="0" w:color="CCCCCC"/>
              <w:right w:val="single" w:sz="1" w:space="0" w:color="CCCCCC"/>
            </w:tcBorders>
            <w:shd w:val="clear" w:color="auto" w:fill="E6F4EA"/>
            <w:tcMar>
              <w:top w:w="100" w:type="dxa"/>
              <w:left w:w="140" w:type="dxa"/>
              <w:bottom w:w="100" w:type="dxa"/>
              <w:right w:w="140" w:type="dxa"/>
            </w:tcMar>
            <w:vAlign w:val="center"/>
          </w:tcPr>
          <w:p w14:paraId="1828F167" w14:textId="77777777" w:rsidR="00AD6FA8" w:rsidRDefault="00000000">
            <w:pPr>
              <w:jc w:val="center"/>
            </w:pPr>
            <w:r>
              <w:rPr>
                <w:color w:val="1B5E20"/>
              </w:rPr>
              <w:t>$52B</w:t>
            </w:r>
          </w:p>
        </w:tc>
        <w:tc>
          <w:tcPr>
            <w:tcW w:w="1815" w:type="dxa"/>
            <w:tcBorders>
              <w:top w:val="single" w:sz="1" w:space="0" w:color="CCCCCC"/>
              <w:left w:val="single" w:sz="1" w:space="0" w:color="CCCCCC"/>
              <w:bottom w:val="single" w:sz="1" w:space="0" w:color="CCCCCC"/>
              <w:right w:val="single" w:sz="1" w:space="0" w:color="CCCCCC"/>
            </w:tcBorders>
            <w:shd w:val="clear" w:color="auto" w:fill="E6F4EA"/>
            <w:tcMar>
              <w:top w:w="100" w:type="dxa"/>
              <w:left w:w="140" w:type="dxa"/>
              <w:bottom w:w="100" w:type="dxa"/>
              <w:right w:w="140" w:type="dxa"/>
            </w:tcMar>
            <w:vAlign w:val="center"/>
          </w:tcPr>
          <w:p w14:paraId="1828F168" w14:textId="77777777" w:rsidR="00AD6FA8" w:rsidRDefault="00000000">
            <w:pPr>
              <w:jc w:val="center"/>
            </w:pPr>
            <w:r>
              <w:rPr>
                <w:color w:val="1B5E20"/>
              </w:rPr>
              <w:t>$64B</w:t>
            </w:r>
          </w:p>
        </w:tc>
        <w:tc>
          <w:tcPr>
            <w:tcW w:w="1815" w:type="dxa"/>
            <w:tcBorders>
              <w:top w:val="single" w:sz="1" w:space="0" w:color="CCCCCC"/>
              <w:left w:val="single" w:sz="1" w:space="0" w:color="CCCCCC"/>
              <w:bottom w:val="single" w:sz="1" w:space="0" w:color="CCCCCC"/>
              <w:right w:val="single" w:sz="1" w:space="0" w:color="CCCCCC"/>
            </w:tcBorders>
            <w:shd w:val="clear" w:color="auto" w:fill="E6F4EA"/>
            <w:tcMar>
              <w:top w:w="100" w:type="dxa"/>
              <w:left w:w="140" w:type="dxa"/>
              <w:bottom w:w="100" w:type="dxa"/>
              <w:right w:w="140" w:type="dxa"/>
            </w:tcMar>
            <w:vAlign w:val="center"/>
          </w:tcPr>
          <w:p w14:paraId="1828F169" w14:textId="77777777" w:rsidR="00AD6FA8" w:rsidRDefault="00000000">
            <w:pPr>
              <w:jc w:val="center"/>
            </w:pPr>
            <w:r>
              <w:rPr>
                <w:color w:val="1B5E20"/>
              </w:rPr>
              <w:t>$75B</w:t>
            </w:r>
          </w:p>
        </w:tc>
      </w:tr>
      <w:tr w:rsidR="00AD6FA8" w14:paraId="1828F170" w14:textId="77777777">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16B" w14:textId="77777777" w:rsidR="00AD6FA8" w:rsidRDefault="00000000">
            <w:r>
              <w:rPr>
                <w:color w:val="1A1A1A"/>
              </w:rPr>
              <w:t>40%</w:t>
            </w:r>
          </w:p>
        </w:tc>
        <w:tc>
          <w:tcPr>
            <w:tcW w:w="1815" w:type="dxa"/>
            <w:tcBorders>
              <w:top w:val="single" w:sz="1" w:space="0" w:color="CCCCCC"/>
              <w:left w:val="single" w:sz="1" w:space="0" w:color="CCCCCC"/>
              <w:bottom w:val="single" w:sz="1" w:space="0" w:color="CCCCCC"/>
              <w:right w:val="single" w:sz="1" w:space="0" w:color="CCCCCC"/>
            </w:tcBorders>
            <w:shd w:val="clear" w:color="auto" w:fill="E6F4EA"/>
            <w:tcMar>
              <w:top w:w="100" w:type="dxa"/>
              <w:left w:w="140" w:type="dxa"/>
              <w:bottom w:w="100" w:type="dxa"/>
              <w:right w:w="140" w:type="dxa"/>
            </w:tcMar>
            <w:vAlign w:val="center"/>
          </w:tcPr>
          <w:p w14:paraId="1828F16C" w14:textId="77777777" w:rsidR="00AD6FA8" w:rsidRDefault="00000000">
            <w:pPr>
              <w:jc w:val="center"/>
            </w:pPr>
            <w:r>
              <w:rPr>
                <w:color w:val="1B5E20"/>
              </w:rPr>
              <w:t>$54B</w:t>
            </w:r>
          </w:p>
        </w:tc>
        <w:tc>
          <w:tcPr>
            <w:tcW w:w="1815" w:type="dxa"/>
            <w:tcBorders>
              <w:top w:val="single" w:sz="1" w:space="0" w:color="CCCCCC"/>
              <w:left w:val="single" w:sz="1" w:space="0" w:color="CCCCCC"/>
              <w:bottom w:val="single" w:sz="1" w:space="0" w:color="CCCCCC"/>
              <w:right w:val="single" w:sz="1" w:space="0" w:color="CCCCCC"/>
            </w:tcBorders>
            <w:shd w:val="clear" w:color="auto" w:fill="E6F4EA"/>
            <w:tcMar>
              <w:top w:w="100" w:type="dxa"/>
              <w:left w:w="140" w:type="dxa"/>
              <w:bottom w:w="100" w:type="dxa"/>
              <w:right w:w="140" w:type="dxa"/>
            </w:tcMar>
            <w:vAlign w:val="center"/>
          </w:tcPr>
          <w:p w14:paraId="1828F16D" w14:textId="77777777" w:rsidR="00AD6FA8" w:rsidRDefault="00000000">
            <w:pPr>
              <w:jc w:val="center"/>
            </w:pPr>
            <w:r>
              <w:rPr>
                <w:color w:val="1B5E20"/>
              </w:rPr>
              <w:t>$70B</w:t>
            </w:r>
          </w:p>
        </w:tc>
        <w:tc>
          <w:tcPr>
            <w:tcW w:w="1815" w:type="dxa"/>
            <w:tcBorders>
              <w:top w:val="single" w:sz="1" w:space="0" w:color="CCCCCC"/>
              <w:left w:val="single" w:sz="1" w:space="0" w:color="CCCCCC"/>
              <w:bottom w:val="single" w:sz="1" w:space="0" w:color="CCCCCC"/>
              <w:right w:val="single" w:sz="1" w:space="0" w:color="CCCCCC"/>
            </w:tcBorders>
            <w:shd w:val="clear" w:color="auto" w:fill="E6F4EA"/>
            <w:tcMar>
              <w:top w:w="100" w:type="dxa"/>
              <w:left w:w="140" w:type="dxa"/>
              <w:bottom w:w="100" w:type="dxa"/>
              <w:right w:w="140" w:type="dxa"/>
            </w:tcMar>
            <w:vAlign w:val="center"/>
          </w:tcPr>
          <w:p w14:paraId="1828F16E" w14:textId="77777777" w:rsidR="00AD6FA8" w:rsidRDefault="00000000">
            <w:pPr>
              <w:jc w:val="center"/>
            </w:pPr>
            <w:r>
              <w:rPr>
                <w:color w:val="1B5E20"/>
              </w:rPr>
              <w:t>$85B</w:t>
            </w:r>
          </w:p>
        </w:tc>
        <w:tc>
          <w:tcPr>
            <w:tcW w:w="1815" w:type="dxa"/>
            <w:tcBorders>
              <w:top w:val="single" w:sz="1" w:space="0" w:color="CCCCCC"/>
              <w:left w:val="single" w:sz="1" w:space="0" w:color="CCCCCC"/>
              <w:bottom w:val="single" w:sz="1" w:space="0" w:color="CCCCCC"/>
              <w:right w:val="single" w:sz="1" w:space="0" w:color="CCCCCC"/>
            </w:tcBorders>
            <w:shd w:val="clear" w:color="auto" w:fill="E6F4EA"/>
            <w:tcMar>
              <w:top w:w="100" w:type="dxa"/>
              <w:left w:w="140" w:type="dxa"/>
              <w:bottom w:w="100" w:type="dxa"/>
              <w:right w:w="140" w:type="dxa"/>
            </w:tcMar>
            <w:vAlign w:val="center"/>
          </w:tcPr>
          <w:p w14:paraId="1828F16F" w14:textId="77777777" w:rsidR="00AD6FA8" w:rsidRDefault="00000000">
            <w:pPr>
              <w:jc w:val="center"/>
            </w:pPr>
            <w:r>
              <w:rPr>
                <w:color w:val="1B5E20"/>
              </w:rPr>
              <w:t>$101B</w:t>
            </w:r>
          </w:p>
        </w:tc>
      </w:tr>
      <w:tr w:rsidR="00AD6FA8" w14:paraId="1828F176" w14:textId="77777777">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171" w14:textId="77777777" w:rsidR="00AD6FA8" w:rsidRDefault="00000000">
            <w:r>
              <w:rPr>
                <w:color w:val="1A1A1A"/>
              </w:rPr>
              <w:t>50%</w:t>
            </w:r>
          </w:p>
        </w:tc>
        <w:tc>
          <w:tcPr>
            <w:tcW w:w="1815" w:type="dxa"/>
            <w:tcBorders>
              <w:top w:val="single" w:sz="1" w:space="0" w:color="CCCCCC"/>
              <w:left w:val="single" w:sz="1" w:space="0" w:color="CCCCCC"/>
              <w:bottom w:val="single" w:sz="1" w:space="0" w:color="CCCCCC"/>
              <w:right w:val="single" w:sz="1" w:space="0" w:color="CCCCCC"/>
            </w:tcBorders>
            <w:shd w:val="clear" w:color="auto" w:fill="E6F4EA"/>
            <w:tcMar>
              <w:top w:w="100" w:type="dxa"/>
              <w:left w:w="140" w:type="dxa"/>
              <w:bottom w:w="100" w:type="dxa"/>
              <w:right w:w="140" w:type="dxa"/>
            </w:tcMar>
            <w:vAlign w:val="center"/>
          </w:tcPr>
          <w:p w14:paraId="1828F172" w14:textId="77777777" w:rsidR="00AD6FA8" w:rsidRDefault="00000000">
            <w:pPr>
              <w:jc w:val="center"/>
            </w:pPr>
            <w:r>
              <w:rPr>
                <w:color w:val="1B5E20"/>
              </w:rPr>
              <w:t>$68B</w:t>
            </w:r>
          </w:p>
        </w:tc>
        <w:tc>
          <w:tcPr>
            <w:tcW w:w="1815" w:type="dxa"/>
            <w:tcBorders>
              <w:top w:val="single" w:sz="1" w:space="0" w:color="CCCCCC"/>
              <w:left w:val="single" w:sz="1" w:space="0" w:color="CCCCCC"/>
              <w:bottom w:val="single" w:sz="1" w:space="0" w:color="CCCCCC"/>
              <w:right w:val="single" w:sz="1" w:space="0" w:color="CCCCCC"/>
            </w:tcBorders>
            <w:shd w:val="clear" w:color="auto" w:fill="E6F4EA"/>
            <w:tcMar>
              <w:top w:w="100" w:type="dxa"/>
              <w:left w:w="140" w:type="dxa"/>
              <w:bottom w:w="100" w:type="dxa"/>
              <w:right w:w="140" w:type="dxa"/>
            </w:tcMar>
            <w:vAlign w:val="center"/>
          </w:tcPr>
          <w:p w14:paraId="1828F173" w14:textId="77777777" w:rsidR="00AD6FA8" w:rsidRDefault="00000000">
            <w:pPr>
              <w:jc w:val="center"/>
            </w:pPr>
            <w:r>
              <w:rPr>
                <w:color w:val="1B5E20"/>
              </w:rPr>
              <w:t>$87B</w:t>
            </w:r>
          </w:p>
        </w:tc>
        <w:tc>
          <w:tcPr>
            <w:tcW w:w="1815" w:type="dxa"/>
            <w:tcBorders>
              <w:top w:val="single" w:sz="1" w:space="0" w:color="CCCCCC"/>
              <w:left w:val="single" w:sz="1" w:space="0" w:color="CCCCCC"/>
              <w:bottom w:val="single" w:sz="1" w:space="0" w:color="CCCCCC"/>
              <w:right w:val="single" w:sz="1" w:space="0" w:color="CCCCCC"/>
            </w:tcBorders>
            <w:shd w:val="clear" w:color="auto" w:fill="E6F4EA"/>
            <w:tcMar>
              <w:top w:w="100" w:type="dxa"/>
              <w:left w:w="140" w:type="dxa"/>
              <w:bottom w:w="100" w:type="dxa"/>
              <w:right w:w="140" w:type="dxa"/>
            </w:tcMar>
            <w:vAlign w:val="center"/>
          </w:tcPr>
          <w:p w14:paraId="1828F174" w14:textId="77777777" w:rsidR="00AD6FA8" w:rsidRDefault="00000000">
            <w:pPr>
              <w:jc w:val="center"/>
            </w:pPr>
            <w:r>
              <w:rPr>
                <w:color w:val="1B5E20"/>
              </w:rPr>
              <w:t>$107B</w:t>
            </w:r>
          </w:p>
        </w:tc>
        <w:tc>
          <w:tcPr>
            <w:tcW w:w="1815" w:type="dxa"/>
            <w:tcBorders>
              <w:top w:val="single" w:sz="1" w:space="0" w:color="CCCCCC"/>
              <w:left w:val="single" w:sz="1" w:space="0" w:color="CCCCCC"/>
              <w:bottom w:val="single" w:sz="1" w:space="0" w:color="CCCCCC"/>
              <w:right w:val="single" w:sz="1" w:space="0" w:color="CCCCCC"/>
            </w:tcBorders>
            <w:shd w:val="clear" w:color="auto" w:fill="E6F4EA"/>
            <w:tcMar>
              <w:top w:w="100" w:type="dxa"/>
              <w:left w:w="140" w:type="dxa"/>
              <w:bottom w:w="100" w:type="dxa"/>
              <w:right w:w="140" w:type="dxa"/>
            </w:tcMar>
            <w:vAlign w:val="center"/>
          </w:tcPr>
          <w:p w14:paraId="1828F175" w14:textId="77777777" w:rsidR="00AD6FA8" w:rsidRDefault="00000000">
            <w:pPr>
              <w:jc w:val="center"/>
            </w:pPr>
            <w:r>
              <w:rPr>
                <w:color w:val="1B5E20"/>
              </w:rPr>
              <w:t>$126B</w:t>
            </w:r>
          </w:p>
        </w:tc>
      </w:tr>
    </w:tbl>
    <w:p w14:paraId="1828F177" w14:textId="77777777" w:rsidR="00AD6FA8" w:rsidRDefault="00AD6FA8">
      <w:pPr>
        <w:spacing w:before="80"/>
      </w:pPr>
    </w:p>
    <w:p w14:paraId="1828F178" w14:textId="77777777" w:rsidR="00AD6FA8" w:rsidRDefault="00000000">
      <w:pPr>
        <w:spacing w:before="80" w:after="80" w:line="320" w:lineRule="auto"/>
        <w:jc w:val="both"/>
      </w:pPr>
      <w:r>
        <w:rPr>
          <w:color w:val="1A1A1A"/>
        </w:rPr>
        <w:t>Reading across the matrix: moving from 15% to 30% penetration on a 9M vehicle fleet adds approximately $26B in implied FSD value. Moving from 30% to 50% on the same fleet adds another $35B. The incremental value per penetration point is approximately $1.7–2.2B at 9M fleet size. These are not immaterial movements — each percentage point of penetration rate is a multi-billion dollar swing in implied equity value.</w:t>
      </w:r>
    </w:p>
    <w:p w14:paraId="1828F179" w14:textId="77777777" w:rsidR="00AD6FA8" w:rsidRDefault="00AD6FA8">
      <w:pPr>
        <w:spacing w:before="100"/>
      </w:pPr>
    </w:p>
    <w:p w14:paraId="1828F17A" w14:textId="77777777" w:rsidR="00AD6FA8" w:rsidRDefault="00000000">
      <w:pPr>
        <w:pStyle w:val="Heading2"/>
      </w:pPr>
      <w:r>
        <w:t>2.2  Robotaxi Fleet Scale × Take-Rate — Sensitivity Matrix</w:t>
      </w:r>
    </w:p>
    <w:p w14:paraId="1828F17B" w14:textId="77777777" w:rsidR="00AD6FA8" w:rsidRDefault="00000000">
      <w:pPr>
        <w:spacing w:before="80" w:after="80" w:line="320" w:lineRule="auto"/>
        <w:jc w:val="both"/>
      </w:pPr>
      <w:r>
        <w:rPr>
          <w:color w:val="1A1A1A"/>
        </w:rPr>
        <w:t>The table below shows implied Robotaxi segment value (in $B) across combinations of active fleet size and Tesla's platform take-rate, holding gross revenue per vehicle at $25,000, profit margin at 45%, and multiple at 27x constant.</w:t>
      </w:r>
    </w:p>
    <w:p w14:paraId="1828F17C" w14:textId="77777777" w:rsidR="00AD6FA8" w:rsidRDefault="00AD6FA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815"/>
        <w:gridCol w:w="1815"/>
        <w:gridCol w:w="1815"/>
        <w:gridCol w:w="1815"/>
      </w:tblGrid>
      <w:tr w:rsidR="00AD6FA8" w14:paraId="1828F182" w14:textId="77777777">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17D" w14:textId="77777777" w:rsidR="00AD6FA8" w:rsidRDefault="00000000">
            <w:r>
              <w:rPr>
                <w:b/>
                <w:bCs/>
                <w:color w:val="FFFFFF"/>
              </w:rPr>
              <w:t>Take-Rate \ Fleet</w:t>
            </w:r>
          </w:p>
        </w:tc>
        <w:tc>
          <w:tcPr>
            <w:tcW w:w="1815"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17E" w14:textId="77777777" w:rsidR="00AD6FA8" w:rsidRDefault="00000000">
            <w:r>
              <w:rPr>
                <w:b/>
                <w:bCs/>
                <w:color w:val="FFFFFF"/>
              </w:rPr>
              <w:t>0.5M vehicles</w:t>
            </w:r>
          </w:p>
        </w:tc>
        <w:tc>
          <w:tcPr>
            <w:tcW w:w="1815"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17F" w14:textId="77777777" w:rsidR="00AD6FA8" w:rsidRDefault="00000000">
            <w:r>
              <w:rPr>
                <w:b/>
                <w:bCs/>
                <w:color w:val="FFFFFF"/>
              </w:rPr>
              <w:t>1.5M vehicles</w:t>
            </w:r>
          </w:p>
        </w:tc>
        <w:tc>
          <w:tcPr>
            <w:tcW w:w="1815"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180" w14:textId="77777777" w:rsidR="00AD6FA8" w:rsidRDefault="00000000">
            <w:r>
              <w:rPr>
                <w:b/>
                <w:bCs/>
                <w:color w:val="FFFFFF"/>
              </w:rPr>
              <w:t>2.5M vehicles</w:t>
            </w:r>
          </w:p>
        </w:tc>
        <w:tc>
          <w:tcPr>
            <w:tcW w:w="1815"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181" w14:textId="77777777" w:rsidR="00AD6FA8" w:rsidRDefault="00000000">
            <w:r>
              <w:rPr>
                <w:b/>
                <w:bCs/>
                <w:color w:val="FFFFFF"/>
              </w:rPr>
              <w:t>4.0M vehicles</w:t>
            </w:r>
          </w:p>
        </w:tc>
      </w:tr>
      <w:tr w:rsidR="00AD6FA8" w14:paraId="1828F188" w14:textId="77777777">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183" w14:textId="77777777" w:rsidR="00AD6FA8" w:rsidRDefault="00000000">
            <w:r>
              <w:rPr>
                <w:color w:val="1A1A1A"/>
              </w:rPr>
              <w:t>15%</w:t>
            </w:r>
          </w:p>
        </w:tc>
        <w:tc>
          <w:tcPr>
            <w:tcW w:w="1815"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1828F184" w14:textId="77777777" w:rsidR="00AD6FA8" w:rsidRDefault="00000000">
            <w:pPr>
              <w:jc w:val="center"/>
            </w:pPr>
            <w:r>
              <w:rPr>
                <w:color w:val="B71C1C"/>
              </w:rPr>
              <w:t>$23B</w:t>
            </w:r>
          </w:p>
        </w:tc>
        <w:tc>
          <w:tcPr>
            <w:tcW w:w="1815"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1828F185" w14:textId="77777777" w:rsidR="00AD6FA8" w:rsidRDefault="00000000">
            <w:pPr>
              <w:jc w:val="center"/>
            </w:pPr>
            <w:r>
              <w:rPr>
                <w:color w:val="B71C1C"/>
              </w:rPr>
              <w:t>$68B</w:t>
            </w:r>
          </w:p>
        </w:tc>
        <w:tc>
          <w:tcPr>
            <w:tcW w:w="1815"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vAlign w:val="center"/>
          </w:tcPr>
          <w:p w14:paraId="1828F186" w14:textId="77777777" w:rsidR="00AD6FA8" w:rsidRDefault="00000000">
            <w:pPr>
              <w:jc w:val="center"/>
            </w:pPr>
            <w:r>
              <w:rPr>
                <w:color w:val="E65100"/>
              </w:rPr>
              <w:t>$114B</w:t>
            </w:r>
          </w:p>
        </w:tc>
        <w:tc>
          <w:tcPr>
            <w:tcW w:w="1815"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vAlign w:val="center"/>
          </w:tcPr>
          <w:p w14:paraId="1828F187" w14:textId="77777777" w:rsidR="00AD6FA8" w:rsidRDefault="00000000">
            <w:pPr>
              <w:jc w:val="center"/>
            </w:pPr>
            <w:r>
              <w:rPr>
                <w:color w:val="E65100"/>
              </w:rPr>
              <w:t>$182B</w:t>
            </w:r>
          </w:p>
        </w:tc>
      </w:tr>
      <w:tr w:rsidR="00AD6FA8" w14:paraId="1828F18E" w14:textId="77777777">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189" w14:textId="77777777" w:rsidR="00AD6FA8" w:rsidRDefault="00000000">
            <w:r>
              <w:rPr>
                <w:color w:val="1A1A1A"/>
              </w:rPr>
              <w:t>20%</w:t>
            </w:r>
          </w:p>
        </w:tc>
        <w:tc>
          <w:tcPr>
            <w:tcW w:w="1815"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1828F18A" w14:textId="77777777" w:rsidR="00AD6FA8" w:rsidRDefault="00000000">
            <w:pPr>
              <w:jc w:val="center"/>
            </w:pPr>
            <w:r>
              <w:rPr>
                <w:color w:val="B71C1C"/>
              </w:rPr>
              <w:t>$30B</w:t>
            </w:r>
          </w:p>
        </w:tc>
        <w:tc>
          <w:tcPr>
            <w:tcW w:w="1815"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vAlign w:val="center"/>
          </w:tcPr>
          <w:p w14:paraId="1828F18B" w14:textId="77777777" w:rsidR="00AD6FA8" w:rsidRDefault="00000000">
            <w:pPr>
              <w:jc w:val="center"/>
            </w:pPr>
            <w:r>
              <w:rPr>
                <w:color w:val="E65100"/>
              </w:rPr>
              <w:t>$91B</w:t>
            </w:r>
          </w:p>
        </w:tc>
        <w:tc>
          <w:tcPr>
            <w:tcW w:w="1815"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vAlign w:val="center"/>
          </w:tcPr>
          <w:p w14:paraId="1828F18C" w14:textId="77777777" w:rsidR="00AD6FA8" w:rsidRDefault="00000000">
            <w:pPr>
              <w:jc w:val="center"/>
            </w:pPr>
            <w:r>
              <w:rPr>
                <w:color w:val="E65100"/>
              </w:rPr>
              <w:t>$152B</w:t>
            </w:r>
          </w:p>
        </w:tc>
        <w:tc>
          <w:tcPr>
            <w:tcW w:w="1815" w:type="dxa"/>
            <w:tcBorders>
              <w:top w:val="single" w:sz="1" w:space="0" w:color="CCCCCC"/>
              <w:left w:val="single" w:sz="1" w:space="0" w:color="CCCCCC"/>
              <w:bottom w:val="single" w:sz="1" w:space="0" w:color="CCCCCC"/>
              <w:right w:val="single" w:sz="1" w:space="0" w:color="CCCCCC"/>
            </w:tcBorders>
            <w:shd w:val="clear" w:color="auto" w:fill="E6F4EA"/>
            <w:tcMar>
              <w:top w:w="100" w:type="dxa"/>
              <w:left w:w="140" w:type="dxa"/>
              <w:bottom w:w="100" w:type="dxa"/>
              <w:right w:w="140" w:type="dxa"/>
            </w:tcMar>
            <w:vAlign w:val="center"/>
          </w:tcPr>
          <w:p w14:paraId="1828F18D" w14:textId="77777777" w:rsidR="00AD6FA8" w:rsidRDefault="00000000">
            <w:pPr>
              <w:jc w:val="center"/>
            </w:pPr>
            <w:r>
              <w:rPr>
                <w:color w:val="1B5E20"/>
              </w:rPr>
              <w:t>$243B</w:t>
            </w:r>
          </w:p>
        </w:tc>
      </w:tr>
      <w:tr w:rsidR="00AD6FA8" w14:paraId="1828F194" w14:textId="77777777">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18F" w14:textId="77777777" w:rsidR="00AD6FA8" w:rsidRDefault="00000000">
            <w:r>
              <w:rPr>
                <w:color w:val="1A1A1A"/>
              </w:rPr>
              <w:t>25%</w:t>
            </w:r>
          </w:p>
        </w:tc>
        <w:tc>
          <w:tcPr>
            <w:tcW w:w="1815"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1828F190" w14:textId="77777777" w:rsidR="00AD6FA8" w:rsidRDefault="00000000">
            <w:pPr>
              <w:jc w:val="center"/>
            </w:pPr>
            <w:r>
              <w:rPr>
                <w:color w:val="B71C1C"/>
              </w:rPr>
              <w:t>$38B</w:t>
            </w:r>
          </w:p>
        </w:tc>
        <w:tc>
          <w:tcPr>
            <w:tcW w:w="1815"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vAlign w:val="center"/>
          </w:tcPr>
          <w:p w14:paraId="1828F191" w14:textId="77777777" w:rsidR="00AD6FA8" w:rsidRDefault="00000000">
            <w:pPr>
              <w:jc w:val="center"/>
            </w:pPr>
            <w:r>
              <w:rPr>
                <w:color w:val="E65100"/>
              </w:rPr>
              <w:t>$114B</w:t>
            </w:r>
          </w:p>
        </w:tc>
        <w:tc>
          <w:tcPr>
            <w:tcW w:w="1815" w:type="dxa"/>
            <w:tcBorders>
              <w:top w:val="single" w:sz="1" w:space="0" w:color="CCCCCC"/>
              <w:left w:val="single" w:sz="1" w:space="0" w:color="CCCCCC"/>
              <w:bottom w:val="single" w:sz="1" w:space="0" w:color="CCCCCC"/>
              <w:right w:val="single" w:sz="1" w:space="0" w:color="CCCCCC"/>
            </w:tcBorders>
            <w:shd w:val="clear" w:color="auto" w:fill="E6F4EA"/>
            <w:tcMar>
              <w:top w:w="100" w:type="dxa"/>
              <w:left w:w="140" w:type="dxa"/>
              <w:bottom w:w="100" w:type="dxa"/>
              <w:right w:w="140" w:type="dxa"/>
            </w:tcMar>
            <w:vAlign w:val="center"/>
          </w:tcPr>
          <w:p w14:paraId="1828F192" w14:textId="77777777" w:rsidR="00AD6FA8" w:rsidRDefault="00000000">
            <w:pPr>
              <w:jc w:val="center"/>
            </w:pPr>
            <w:r>
              <w:rPr>
                <w:color w:val="1B5E20"/>
              </w:rPr>
              <w:t>$190B</w:t>
            </w:r>
          </w:p>
        </w:tc>
        <w:tc>
          <w:tcPr>
            <w:tcW w:w="1815" w:type="dxa"/>
            <w:tcBorders>
              <w:top w:val="single" w:sz="1" w:space="0" w:color="CCCCCC"/>
              <w:left w:val="single" w:sz="1" w:space="0" w:color="CCCCCC"/>
              <w:bottom w:val="single" w:sz="1" w:space="0" w:color="CCCCCC"/>
              <w:right w:val="single" w:sz="1" w:space="0" w:color="CCCCCC"/>
            </w:tcBorders>
            <w:shd w:val="clear" w:color="auto" w:fill="E6F4EA"/>
            <w:tcMar>
              <w:top w:w="100" w:type="dxa"/>
              <w:left w:w="140" w:type="dxa"/>
              <w:bottom w:w="100" w:type="dxa"/>
              <w:right w:w="140" w:type="dxa"/>
            </w:tcMar>
            <w:vAlign w:val="center"/>
          </w:tcPr>
          <w:p w14:paraId="1828F193" w14:textId="77777777" w:rsidR="00AD6FA8" w:rsidRDefault="00000000">
            <w:pPr>
              <w:jc w:val="center"/>
            </w:pPr>
            <w:r>
              <w:rPr>
                <w:color w:val="1B5E20"/>
              </w:rPr>
              <w:t>$304B</w:t>
            </w:r>
          </w:p>
        </w:tc>
      </w:tr>
      <w:tr w:rsidR="00AD6FA8" w14:paraId="1828F19A" w14:textId="77777777">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195" w14:textId="77777777" w:rsidR="00AD6FA8" w:rsidRDefault="00000000">
            <w:r>
              <w:rPr>
                <w:color w:val="1A1A1A"/>
              </w:rPr>
              <w:t>30%</w:t>
            </w:r>
          </w:p>
        </w:tc>
        <w:tc>
          <w:tcPr>
            <w:tcW w:w="1815"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vAlign w:val="center"/>
          </w:tcPr>
          <w:p w14:paraId="1828F196" w14:textId="77777777" w:rsidR="00AD6FA8" w:rsidRDefault="00000000">
            <w:pPr>
              <w:jc w:val="center"/>
            </w:pPr>
            <w:r>
              <w:rPr>
                <w:color w:val="E65100"/>
              </w:rPr>
              <w:t>$46B</w:t>
            </w:r>
          </w:p>
        </w:tc>
        <w:tc>
          <w:tcPr>
            <w:tcW w:w="1815"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vAlign w:val="center"/>
          </w:tcPr>
          <w:p w14:paraId="1828F197" w14:textId="77777777" w:rsidR="00AD6FA8" w:rsidRDefault="00000000">
            <w:pPr>
              <w:jc w:val="center"/>
            </w:pPr>
            <w:r>
              <w:rPr>
                <w:color w:val="E65100"/>
              </w:rPr>
              <w:t>$137B</w:t>
            </w:r>
          </w:p>
        </w:tc>
        <w:tc>
          <w:tcPr>
            <w:tcW w:w="1815" w:type="dxa"/>
            <w:tcBorders>
              <w:top w:val="single" w:sz="1" w:space="0" w:color="CCCCCC"/>
              <w:left w:val="single" w:sz="1" w:space="0" w:color="CCCCCC"/>
              <w:bottom w:val="single" w:sz="1" w:space="0" w:color="CCCCCC"/>
              <w:right w:val="single" w:sz="1" w:space="0" w:color="CCCCCC"/>
            </w:tcBorders>
            <w:shd w:val="clear" w:color="auto" w:fill="E6F4EA"/>
            <w:tcMar>
              <w:top w:w="100" w:type="dxa"/>
              <w:left w:w="140" w:type="dxa"/>
              <w:bottom w:w="100" w:type="dxa"/>
              <w:right w:w="140" w:type="dxa"/>
            </w:tcMar>
            <w:vAlign w:val="center"/>
          </w:tcPr>
          <w:p w14:paraId="1828F198" w14:textId="77777777" w:rsidR="00AD6FA8" w:rsidRDefault="00000000">
            <w:pPr>
              <w:jc w:val="center"/>
            </w:pPr>
            <w:r>
              <w:rPr>
                <w:color w:val="1B5E20"/>
              </w:rPr>
              <w:t>$228B</w:t>
            </w:r>
          </w:p>
        </w:tc>
        <w:tc>
          <w:tcPr>
            <w:tcW w:w="1815" w:type="dxa"/>
            <w:tcBorders>
              <w:top w:val="single" w:sz="1" w:space="0" w:color="CCCCCC"/>
              <w:left w:val="single" w:sz="1" w:space="0" w:color="CCCCCC"/>
              <w:bottom w:val="single" w:sz="1" w:space="0" w:color="CCCCCC"/>
              <w:right w:val="single" w:sz="1" w:space="0" w:color="CCCCCC"/>
            </w:tcBorders>
            <w:shd w:val="clear" w:color="auto" w:fill="E6F4EA"/>
            <w:tcMar>
              <w:top w:w="100" w:type="dxa"/>
              <w:left w:w="140" w:type="dxa"/>
              <w:bottom w:w="100" w:type="dxa"/>
              <w:right w:w="140" w:type="dxa"/>
            </w:tcMar>
            <w:vAlign w:val="center"/>
          </w:tcPr>
          <w:p w14:paraId="1828F199" w14:textId="77777777" w:rsidR="00AD6FA8" w:rsidRDefault="00000000">
            <w:pPr>
              <w:jc w:val="center"/>
            </w:pPr>
            <w:r>
              <w:rPr>
                <w:color w:val="1B5E20"/>
              </w:rPr>
              <w:t>$365B</w:t>
            </w:r>
          </w:p>
        </w:tc>
      </w:tr>
    </w:tbl>
    <w:p w14:paraId="1828F19B" w14:textId="77777777" w:rsidR="00AD6FA8" w:rsidRDefault="00AD6FA8">
      <w:pPr>
        <w:spacing w:before="80"/>
      </w:pPr>
    </w:p>
    <w:p w14:paraId="1828F19C" w14:textId="77777777" w:rsidR="00AD6FA8" w:rsidRDefault="00000000">
      <w:pPr>
        <w:spacing w:before="80" w:after="80" w:line="320" w:lineRule="auto"/>
        <w:jc w:val="both"/>
      </w:pPr>
      <w:r>
        <w:rPr>
          <w:color w:val="1A1A1A"/>
        </w:rPr>
        <w:t xml:space="preserve">The Robotaxi matrix reveals a stark non-linearity: value is highly convex to fleet scale. Moving from 0.5M to 1.5M active Robotaxis at a 25% take-rate adds $76B in implied value. Moving from 1.5M to 2.5M adds another $76B. The incremental value per million Robotaxis deployed is approximately </w:t>
      </w:r>
      <w:r>
        <w:rPr>
          <w:color w:val="1A1A1A"/>
        </w:rPr>
        <w:lastRenderedPageBreak/>
        <w:t>$76B at base take-rate assumptions — making each fleet scaling milestone a material valuation catalyst.</w:t>
      </w:r>
    </w:p>
    <w:p w14:paraId="1828F19D" w14:textId="77777777" w:rsidR="00AD6FA8" w:rsidRDefault="00AD6FA8">
      <w:pPr>
        <w:spacing w:before="100"/>
      </w:pPr>
    </w:p>
    <w:p w14:paraId="1828F19E" w14:textId="77777777" w:rsidR="00AD6FA8" w:rsidRDefault="00000000">
      <w:pPr>
        <w:pStyle w:val="Heading2"/>
      </w:pPr>
      <w:r>
        <w:t>2.3  Discount Rate × Autonomy Timeline — Total SOTP Sensitivity</w:t>
      </w:r>
    </w:p>
    <w:p w14:paraId="1828F19F" w14:textId="77777777" w:rsidR="00AD6FA8" w:rsidRDefault="00000000">
      <w:pPr>
        <w:spacing w:before="80" w:after="80" w:line="320" w:lineRule="auto"/>
        <w:jc w:val="both"/>
      </w:pPr>
      <w:r>
        <w:rPr>
          <w:color w:val="1A1A1A"/>
        </w:rPr>
        <w:t>Beyond the segment-level sensitivities, two macro variables affect the aggregate valuation: the discount rate applied to all future cash flows, and the assumed timeline to commercial Robotaxi scale. The table below shows the probability-weighted SOTP value under combinations of these variables.</w:t>
      </w:r>
    </w:p>
    <w:p w14:paraId="1828F1A0" w14:textId="77777777" w:rsidR="00AD6FA8" w:rsidRDefault="00AD6FA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40"/>
        <w:gridCol w:w="1640"/>
        <w:gridCol w:w="1640"/>
        <w:gridCol w:w="1640"/>
      </w:tblGrid>
      <w:tr w:rsidR="00AD6FA8" w14:paraId="1828F1A6"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1A1" w14:textId="77777777" w:rsidR="00AD6FA8" w:rsidRDefault="00000000">
            <w:r>
              <w:rPr>
                <w:b/>
                <w:bCs/>
                <w:color w:val="FFFFFF"/>
              </w:rPr>
              <w:t>Discount Rate \ Autonomy Timeline</w:t>
            </w:r>
          </w:p>
        </w:tc>
        <w:tc>
          <w:tcPr>
            <w:tcW w:w="164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1A2" w14:textId="77777777" w:rsidR="00AD6FA8" w:rsidRDefault="00000000">
            <w:r>
              <w:rPr>
                <w:b/>
                <w:bCs/>
                <w:color w:val="FFFFFF"/>
              </w:rPr>
              <w:t>3 years</w:t>
            </w:r>
          </w:p>
        </w:tc>
        <w:tc>
          <w:tcPr>
            <w:tcW w:w="164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1A3" w14:textId="77777777" w:rsidR="00AD6FA8" w:rsidRDefault="00000000">
            <w:r>
              <w:rPr>
                <w:b/>
                <w:bCs/>
                <w:color w:val="FFFFFF"/>
              </w:rPr>
              <w:t>5 years</w:t>
            </w:r>
          </w:p>
        </w:tc>
        <w:tc>
          <w:tcPr>
            <w:tcW w:w="164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1A4" w14:textId="77777777" w:rsidR="00AD6FA8" w:rsidRDefault="00000000">
            <w:r>
              <w:rPr>
                <w:b/>
                <w:bCs/>
                <w:color w:val="FFFFFF"/>
              </w:rPr>
              <w:t>7 years</w:t>
            </w:r>
          </w:p>
        </w:tc>
        <w:tc>
          <w:tcPr>
            <w:tcW w:w="164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1A5" w14:textId="77777777" w:rsidR="00AD6FA8" w:rsidRDefault="00000000">
            <w:r>
              <w:rPr>
                <w:b/>
                <w:bCs/>
                <w:color w:val="FFFFFF"/>
              </w:rPr>
              <w:t>10 years</w:t>
            </w:r>
          </w:p>
        </w:tc>
      </w:tr>
      <w:tr w:rsidR="00AD6FA8" w14:paraId="1828F1AC"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1A7" w14:textId="77777777" w:rsidR="00AD6FA8" w:rsidRDefault="00000000">
            <w:r>
              <w:rPr>
                <w:color w:val="1A1A1A"/>
              </w:rPr>
              <w:t>8%  (low uncertainty)</w:t>
            </w:r>
          </w:p>
        </w:tc>
        <w:tc>
          <w:tcPr>
            <w:tcW w:w="1640" w:type="dxa"/>
            <w:tcBorders>
              <w:top w:val="single" w:sz="1" w:space="0" w:color="CCCCCC"/>
              <w:left w:val="single" w:sz="1" w:space="0" w:color="CCCCCC"/>
              <w:bottom w:val="single" w:sz="1" w:space="0" w:color="CCCCCC"/>
              <w:right w:val="single" w:sz="1" w:space="0" w:color="CCCCCC"/>
            </w:tcBorders>
            <w:shd w:val="clear" w:color="auto" w:fill="E6F4EA"/>
            <w:tcMar>
              <w:top w:w="100" w:type="dxa"/>
              <w:left w:w="140" w:type="dxa"/>
              <w:bottom w:w="100" w:type="dxa"/>
              <w:right w:w="140" w:type="dxa"/>
            </w:tcMar>
            <w:vAlign w:val="center"/>
          </w:tcPr>
          <w:p w14:paraId="1828F1A8" w14:textId="77777777" w:rsidR="00AD6FA8" w:rsidRDefault="00000000">
            <w:pPr>
              <w:jc w:val="center"/>
            </w:pPr>
            <w:r>
              <w:rPr>
                <w:color w:val="1B5E20"/>
              </w:rPr>
              <w:t>$910B</w:t>
            </w:r>
          </w:p>
        </w:tc>
        <w:tc>
          <w:tcPr>
            <w:tcW w:w="1640" w:type="dxa"/>
            <w:tcBorders>
              <w:top w:val="single" w:sz="1" w:space="0" w:color="CCCCCC"/>
              <w:left w:val="single" w:sz="1" w:space="0" w:color="CCCCCC"/>
              <w:bottom w:val="single" w:sz="1" w:space="0" w:color="CCCCCC"/>
              <w:right w:val="single" w:sz="1" w:space="0" w:color="CCCCCC"/>
            </w:tcBorders>
            <w:shd w:val="clear" w:color="auto" w:fill="E6F4EA"/>
            <w:tcMar>
              <w:top w:w="100" w:type="dxa"/>
              <w:left w:w="140" w:type="dxa"/>
              <w:bottom w:w="100" w:type="dxa"/>
              <w:right w:w="140" w:type="dxa"/>
            </w:tcMar>
            <w:vAlign w:val="center"/>
          </w:tcPr>
          <w:p w14:paraId="1828F1A9" w14:textId="77777777" w:rsidR="00AD6FA8" w:rsidRDefault="00000000">
            <w:pPr>
              <w:jc w:val="center"/>
            </w:pPr>
            <w:r>
              <w:rPr>
                <w:color w:val="1B5E20"/>
              </w:rPr>
              <w:t>$820B</w:t>
            </w:r>
          </w:p>
        </w:tc>
        <w:tc>
          <w:tcPr>
            <w:tcW w:w="1640" w:type="dxa"/>
            <w:tcBorders>
              <w:top w:val="single" w:sz="1" w:space="0" w:color="CCCCCC"/>
              <w:left w:val="single" w:sz="1" w:space="0" w:color="CCCCCC"/>
              <w:bottom w:val="single" w:sz="1" w:space="0" w:color="CCCCCC"/>
              <w:right w:val="single" w:sz="1" w:space="0" w:color="CCCCCC"/>
            </w:tcBorders>
            <w:shd w:val="clear" w:color="auto" w:fill="E6F4EA"/>
            <w:tcMar>
              <w:top w:w="100" w:type="dxa"/>
              <w:left w:w="140" w:type="dxa"/>
              <w:bottom w:w="100" w:type="dxa"/>
              <w:right w:w="140" w:type="dxa"/>
            </w:tcMar>
            <w:vAlign w:val="center"/>
          </w:tcPr>
          <w:p w14:paraId="1828F1AA" w14:textId="77777777" w:rsidR="00AD6FA8" w:rsidRDefault="00000000">
            <w:pPr>
              <w:jc w:val="center"/>
            </w:pPr>
            <w:r>
              <w:rPr>
                <w:color w:val="1B5E20"/>
              </w:rPr>
              <w:t>$720B</w:t>
            </w:r>
          </w:p>
        </w:tc>
        <w:tc>
          <w:tcPr>
            <w:tcW w:w="164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vAlign w:val="center"/>
          </w:tcPr>
          <w:p w14:paraId="1828F1AB" w14:textId="77777777" w:rsidR="00AD6FA8" w:rsidRDefault="00000000">
            <w:pPr>
              <w:jc w:val="center"/>
            </w:pPr>
            <w:r>
              <w:rPr>
                <w:color w:val="E65100"/>
              </w:rPr>
              <w:t>$580B</w:t>
            </w:r>
          </w:p>
        </w:tc>
      </w:tr>
      <w:tr w:rsidR="00AD6FA8" w14:paraId="1828F1B2"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1AD" w14:textId="77777777" w:rsidR="00AD6FA8" w:rsidRDefault="00000000">
            <w:r>
              <w:rPr>
                <w:color w:val="1A1A1A"/>
              </w:rPr>
              <w:t>11%  (base uncertainty)</w:t>
            </w:r>
          </w:p>
        </w:tc>
        <w:tc>
          <w:tcPr>
            <w:tcW w:w="1640" w:type="dxa"/>
            <w:tcBorders>
              <w:top w:val="single" w:sz="1" w:space="0" w:color="CCCCCC"/>
              <w:left w:val="single" w:sz="1" w:space="0" w:color="CCCCCC"/>
              <w:bottom w:val="single" w:sz="1" w:space="0" w:color="CCCCCC"/>
              <w:right w:val="single" w:sz="1" w:space="0" w:color="CCCCCC"/>
            </w:tcBorders>
            <w:shd w:val="clear" w:color="auto" w:fill="E6F4EA"/>
            <w:tcMar>
              <w:top w:w="100" w:type="dxa"/>
              <w:left w:w="140" w:type="dxa"/>
              <w:bottom w:w="100" w:type="dxa"/>
              <w:right w:w="140" w:type="dxa"/>
            </w:tcMar>
            <w:vAlign w:val="center"/>
          </w:tcPr>
          <w:p w14:paraId="1828F1AE" w14:textId="77777777" w:rsidR="00AD6FA8" w:rsidRDefault="00000000">
            <w:pPr>
              <w:jc w:val="center"/>
            </w:pPr>
            <w:r>
              <w:rPr>
                <w:color w:val="1B5E20"/>
              </w:rPr>
              <w:t>$850B</w:t>
            </w:r>
          </w:p>
        </w:tc>
        <w:tc>
          <w:tcPr>
            <w:tcW w:w="1640" w:type="dxa"/>
            <w:tcBorders>
              <w:top w:val="single" w:sz="1" w:space="0" w:color="CCCCCC"/>
              <w:left w:val="single" w:sz="1" w:space="0" w:color="CCCCCC"/>
              <w:bottom w:val="single" w:sz="1" w:space="0" w:color="CCCCCC"/>
              <w:right w:val="single" w:sz="1" w:space="0" w:color="CCCCCC"/>
            </w:tcBorders>
            <w:shd w:val="clear" w:color="auto" w:fill="E6F4EA"/>
            <w:tcMar>
              <w:top w:w="100" w:type="dxa"/>
              <w:left w:w="140" w:type="dxa"/>
              <w:bottom w:w="100" w:type="dxa"/>
              <w:right w:w="140" w:type="dxa"/>
            </w:tcMar>
            <w:vAlign w:val="center"/>
          </w:tcPr>
          <w:p w14:paraId="1828F1AF" w14:textId="77777777" w:rsidR="00AD6FA8" w:rsidRDefault="00000000">
            <w:pPr>
              <w:jc w:val="center"/>
            </w:pPr>
            <w:r>
              <w:rPr>
                <w:color w:val="1B5E20"/>
              </w:rPr>
              <w:t>$740B</w:t>
            </w:r>
          </w:p>
        </w:tc>
        <w:tc>
          <w:tcPr>
            <w:tcW w:w="164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vAlign w:val="center"/>
          </w:tcPr>
          <w:p w14:paraId="1828F1B0" w14:textId="77777777" w:rsidR="00AD6FA8" w:rsidRDefault="00000000">
            <w:pPr>
              <w:jc w:val="center"/>
            </w:pPr>
            <w:r>
              <w:rPr>
                <w:color w:val="E65100"/>
              </w:rPr>
              <w:t>$620B</w:t>
            </w:r>
          </w:p>
        </w:tc>
        <w:tc>
          <w:tcPr>
            <w:tcW w:w="164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vAlign w:val="center"/>
          </w:tcPr>
          <w:p w14:paraId="1828F1B1" w14:textId="77777777" w:rsidR="00AD6FA8" w:rsidRDefault="00000000">
            <w:pPr>
              <w:jc w:val="center"/>
            </w:pPr>
            <w:r>
              <w:rPr>
                <w:color w:val="E65100"/>
              </w:rPr>
              <w:t>$480B</w:t>
            </w:r>
          </w:p>
        </w:tc>
      </w:tr>
      <w:tr w:rsidR="00AD6FA8" w14:paraId="1828F1B8"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1B3" w14:textId="77777777" w:rsidR="00AD6FA8" w:rsidRDefault="00000000">
            <w:r>
              <w:rPr>
                <w:color w:val="1A1A1A"/>
              </w:rPr>
              <w:t>14%  (high uncertainty)</w:t>
            </w:r>
          </w:p>
        </w:tc>
        <w:tc>
          <w:tcPr>
            <w:tcW w:w="164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vAlign w:val="center"/>
          </w:tcPr>
          <w:p w14:paraId="1828F1B4" w14:textId="77777777" w:rsidR="00AD6FA8" w:rsidRDefault="00000000">
            <w:pPr>
              <w:jc w:val="center"/>
            </w:pPr>
            <w:r>
              <w:rPr>
                <w:color w:val="E65100"/>
              </w:rPr>
              <w:t>$770B</w:t>
            </w:r>
          </w:p>
        </w:tc>
        <w:tc>
          <w:tcPr>
            <w:tcW w:w="164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vAlign w:val="center"/>
          </w:tcPr>
          <w:p w14:paraId="1828F1B5" w14:textId="77777777" w:rsidR="00AD6FA8" w:rsidRDefault="00000000">
            <w:pPr>
              <w:jc w:val="center"/>
            </w:pPr>
            <w:r>
              <w:rPr>
                <w:color w:val="E65100"/>
              </w:rPr>
              <w:t>$650B</w:t>
            </w:r>
          </w:p>
        </w:tc>
        <w:tc>
          <w:tcPr>
            <w:tcW w:w="164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vAlign w:val="center"/>
          </w:tcPr>
          <w:p w14:paraId="1828F1B6" w14:textId="77777777" w:rsidR="00AD6FA8" w:rsidRDefault="00000000">
            <w:pPr>
              <w:jc w:val="center"/>
            </w:pPr>
            <w:r>
              <w:rPr>
                <w:color w:val="E65100"/>
              </w:rPr>
              <w:t>$520B</w:t>
            </w:r>
          </w:p>
        </w:tc>
        <w:tc>
          <w:tcPr>
            <w:tcW w:w="164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1828F1B7" w14:textId="77777777" w:rsidR="00AD6FA8" w:rsidRDefault="00000000">
            <w:pPr>
              <w:jc w:val="center"/>
            </w:pPr>
            <w:r>
              <w:rPr>
                <w:color w:val="B71C1C"/>
              </w:rPr>
              <w:t>$380B</w:t>
            </w:r>
          </w:p>
        </w:tc>
      </w:tr>
      <w:tr w:rsidR="00AD6FA8" w14:paraId="1828F1BE"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1B9" w14:textId="77777777" w:rsidR="00AD6FA8" w:rsidRDefault="00000000">
            <w:r>
              <w:rPr>
                <w:color w:val="1A1A1A"/>
              </w:rPr>
              <w:t>18%  (max uncertainty)</w:t>
            </w:r>
          </w:p>
        </w:tc>
        <w:tc>
          <w:tcPr>
            <w:tcW w:w="164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vAlign w:val="center"/>
          </w:tcPr>
          <w:p w14:paraId="1828F1BA" w14:textId="77777777" w:rsidR="00AD6FA8" w:rsidRDefault="00000000">
            <w:pPr>
              <w:jc w:val="center"/>
            </w:pPr>
            <w:r>
              <w:rPr>
                <w:color w:val="E65100"/>
              </w:rPr>
              <w:t>$660B</w:t>
            </w:r>
          </w:p>
        </w:tc>
        <w:tc>
          <w:tcPr>
            <w:tcW w:w="164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vAlign w:val="center"/>
          </w:tcPr>
          <w:p w14:paraId="1828F1BB" w14:textId="77777777" w:rsidR="00AD6FA8" w:rsidRDefault="00000000">
            <w:pPr>
              <w:jc w:val="center"/>
            </w:pPr>
            <w:r>
              <w:rPr>
                <w:color w:val="E65100"/>
              </w:rPr>
              <w:t>$540B</w:t>
            </w:r>
          </w:p>
        </w:tc>
        <w:tc>
          <w:tcPr>
            <w:tcW w:w="164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1828F1BC" w14:textId="77777777" w:rsidR="00AD6FA8" w:rsidRDefault="00000000">
            <w:pPr>
              <w:jc w:val="center"/>
            </w:pPr>
            <w:r>
              <w:rPr>
                <w:color w:val="B71C1C"/>
              </w:rPr>
              <w:t>$410B</w:t>
            </w:r>
          </w:p>
        </w:tc>
        <w:tc>
          <w:tcPr>
            <w:tcW w:w="164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1828F1BD" w14:textId="77777777" w:rsidR="00AD6FA8" w:rsidRDefault="00000000">
            <w:pPr>
              <w:jc w:val="center"/>
            </w:pPr>
            <w:r>
              <w:rPr>
                <w:color w:val="B71C1C"/>
              </w:rPr>
              <w:t>$270B</w:t>
            </w:r>
          </w:p>
        </w:tc>
      </w:tr>
    </w:tbl>
    <w:p w14:paraId="1828F1BF" w14:textId="77777777" w:rsidR="00AD6FA8" w:rsidRDefault="00AD6FA8">
      <w:pPr>
        <w:spacing w:before="80"/>
      </w:pPr>
    </w:p>
    <w:p w14:paraId="1828F1C0" w14:textId="77777777" w:rsidR="00AD6FA8" w:rsidRDefault="00000000">
      <w:pPr>
        <w:spacing w:before="80" w:after="80" w:line="320" w:lineRule="auto"/>
        <w:jc w:val="both"/>
      </w:pPr>
      <w:r>
        <w:rPr>
          <w:color w:val="1A1A1A"/>
        </w:rPr>
        <w:t>Two conclusions stand out. First, timeline matters more than discount rate: a two-year delay in Robotaxi commercialisation (holding discount rate constant at 11%) costs more in implied value than a 3-percentage-point increase in discount rate (holding timeline constant at 5 years). Second, in no scenario where Robotaxi reaches commercial scale within 7 years does the probability-weighted SOTP fall below Tesla's current approximate market cap — suggesting the current price already prices in significant execution risk.</w:t>
      </w:r>
    </w:p>
    <w:p w14:paraId="1828F1C1" w14:textId="77777777" w:rsidR="00AD6FA8" w:rsidRDefault="00AD6FA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6FA8" w14:paraId="1828F1C4" w14:textId="77777777">
        <w:tc>
          <w:tcPr>
            <w:tcW w:w="9360" w:type="dxa"/>
            <w:tcBorders>
              <w:top w:val="single" w:sz="8" w:space="0" w:color="2E5FA3"/>
              <w:left w:val="thick" w:sz="20" w:space="0" w:color="2E5FA3"/>
              <w:bottom w:val="single" w:sz="8" w:space="0" w:color="2E5FA3"/>
              <w:right w:val="none" w:sz="0" w:space="0" w:color="FFFFFF"/>
            </w:tcBorders>
            <w:shd w:val="clear" w:color="auto" w:fill="EEF2F7"/>
            <w:tcMar>
              <w:top w:w="160" w:type="dxa"/>
              <w:left w:w="240" w:type="dxa"/>
              <w:bottom w:w="160" w:type="dxa"/>
              <w:right w:w="240" w:type="dxa"/>
            </w:tcMar>
          </w:tcPr>
          <w:p w14:paraId="1828F1C2" w14:textId="77777777" w:rsidR="00AD6FA8" w:rsidRDefault="00000000">
            <w:pPr>
              <w:spacing w:after="60"/>
            </w:pPr>
            <w:r>
              <w:rPr>
                <w:b/>
                <w:bCs/>
                <w:caps/>
                <w:color w:val="2E5FA3"/>
                <w:sz w:val="18"/>
                <w:szCs w:val="18"/>
              </w:rPr>
              <w:t>BEAR CASE MECHANISM</w:t>
            </w:r>
          </w:p>
          <w:p w14:paraId="1828F1C3" w14:textId="77777777" w:rsidR="00AD6FA8" w:rsidRDefault="00000000">
            <w:r>
              <w:rPr>
                <w:i/>
                <w:iCs/>
                <w:color w:val="1A1A1A"/>
              </w:rPr>
              <w:t>The single most value-destructive outcome in the model is not a competitor winning — it is a long timeline combined with a high discount rate. A 10-year autonomy timeline at 18% discount rate implies ~$270B in total equity value, below the EV-only floor. This is the bear case that the short thesis is implicitly betting on.</w:t>
            </w:r>
          </w:p>
        </w:tc>
      </w:tr>
    </w:tbl>
    <w:p w14:paraId="1828F1C5" w14:textId="77777777" w:rsidR="00AD6FA8" w:rsidRDefault="00AD6FA8">
      <w:pPr>
        <w:spacing w:before="120"/>
      </w:pPr>
    </w:p>
    <w:p w14:paraId="1828F1C6" w14:textId="77777777" w:rsidR="00AD6FA8" w:rsidRDefault="00000000">
      <w:pPr>
        <w:pStyle w:val="Heading1"/>
        <w:pBdr>
          <w:bottom w:val="single" w:sz="6" w:space="6" w:color="2E5FA3"/>
        </w:pBdr>
      </w:pPr>
      <w:r>
        <w:t>III. Risk Analysis</w:t>
      </w:r>
    </w:p>
    <w:p w14:paraId="1828F1C7" w14:textId="77777777" w:rsidR="00AD6FA8" w:rsidRDefault="00000000">
      <w:pPr>
        <w:spacing w:before="80" w:after="80" w:line="320" w:lineRule="auto"/>
        <w:jc w:val="both"/>
      </w:pPr>
      <w:r>
        <w:rPr>
          <w:color w:val="1A1A1A"/>
        </w:rPr>
        <w:t>The investment thesis carries a well-defined set of risks, each of which has a distinct mechanism, a measurable impact on the valuation model, and a different degree of mitigation available. The table below maps each risk across these dimensions before the discussion that follows.</w:t>
      </w:r>
    </w:p>
    <w:p w14:paraId="1828F1C8" w14:textId="77777777" w:rsidR="00AD6FA8" w:rsidRDefault="00AD6FA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1700"/>
        <w:gridCol w:w="1530"/>
        <w:gridCol w:w="1530"/>
      </w:tblGrid>
      <w:tr w:rsidR="00AD6FA8" w14:paraId="1828F1CE"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1C9" w14:textId="77777777" w:rsidR="00AD6FA8" w:rsidRDefault="00000000">
            <w:r>
              <w:rPr>
                <w:b/>
                <w:bCs/>
                <w:color w:val="FFFFFF"/>
                <w:sz w:val="20"/>
                <w:szCs w:val="20"/>
              </w:rPr>
              <w:lastRenderedPageBreak/>
              <w:t>Risk Factor</w:t>
            </w:r>
          </w:p>
        </w:tc>
        <w:tc>
          <w:tcPr>
            <w:tcW w:w="26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1CA" w14:textId="77777777" w:rsidR="00AD6FA8" w:rsidRDefault="00000000">
            <w:r>
              <w:rPr>
                <w:b/>
                <w:bCs/>
                <w:color w:val="FFFFFF"/>
                <w:sz w:val="20"/>
                <w:szCs w:val="20"/>
              </w:rPr>
              <w:t>Mechanism</w:t>
            </w:r>
          </w:p>
        </w:tc>
        <w:tc>
          <w:tcPr>
            <w:tcW w:w="17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1CB" w14:textId="77777777" w:rsidR="00AD6FA8" w:rsidRDefault="00000000">
            <w:r>
              <w:rPr>
                <w:b/>
                <w:bCs/>
                <w:color w:val="FFFFFF"/>
                <w:sz w:val="20"/>
                <w:szCs w:val="20"/>
              </w:rPr>
              <w:t>Model Impact</w:t>
            </w:r>
          </w:p>
        </w:tc>
        <w:tc>
          <w:tcPr>
            <w:tcW w:w="153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1CC" w14:textId="77777777" w:rsidR="00AD6FA8" w:rsidRDefault="00000000">
            <w:r>
              <w:rPr>
                <w:b/>
                <w:bCs/>
                <w:color w:val="FFFFFF"/>
                <w:sz w:val="20"/>
                <w:szCs w:val="20"/>
              </w:rPr>
              <w:t>Probability</w:t>
            </w:r>
          </w:p>
        </w:tc>
        <w:tc>
          <w:tcPr>
            <w:tcW w:w="153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1CD" w14:textId="77777777" w:rsidR="00AD6FA8" w:rsidRDefault="00000000">
            <w:r>
              <w:rPr>
                <w:b/>
                <w:bCs/>
                <w:color w:val="FFFFFF"/>
                <w:sz w:val="20"/>
                <w:szCs w:val="20"/>
              </w:rPr>
              <w:t>Severity</w:t>
            </w:r>
          </w:p>
        </w:tc>
      </w:tr>
      <w:tr w:rsidR="00AD6FA8" w14:paraId="1828F1D4"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1CF" w14:textId="77777777" w:rsidR="00AD6FA8" w:rsidRDefault="00000000">
            <w:r>
              <w:rPr>
                <w:color w:val="1A1A1A"/>
                <w:sz w:val="20"/>
                <w:szCs w:val="20"/>
              </w:rPr>
              <w:t>Autonomy delay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D0" w14:textId="77777777" w:rsidR="00AD6FA8" w:rsidRDefault="00000000">
            <w:pPr>
              <w:jc w:val="center"/>
            </w:pPr>
            <w:r>
              <w:rPr>
                <w:color w:val="1A1A1A"/>
                <w:sz w:val="20"/>
                <w:szCs w:val="20"/>
              </w:rPr>
              <w:t>FSD unsupervised approval pushed beyond 3–5 years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D1" w14:textId="77777777" w:rsidR="00AD6FA8" w:rsidRDefault="00000000">
            <w:pPr>
              <w:jc w:val="center"/>
            </w:pPr>
            <w:r>
              <w:rPr>
                <w:color w:val="1A1A1A"/>
                <w:sz w:val="20"/>
                <w:szCs w:val="20"/>
              </w:rPr>
              <w:t>Discount rate rises; Robotaxi timeline extends</w:t>
            </w:r>
          </w:p>
        </w:tc>
        <w:tc>
          <w:tcPr>
            <w:tcW w:w="153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vAlign w:val="center"/>
          </w:tcPr>
          <w:p w14:paraId="1828F1D2" w14:textId="77777777" w:rsidR="00AD6FA8" w:rsidRDefault="00000000">
            <w:pPr>
              <w:jc w:val="center"/>
            </w:pPr>
            <w:r>
              <w:rPr>
                <w:color w:val="E65100"/>
                <w:sz w:val="20"/>
                <w:szCs w:val="20"/>
              </w:rPr>
              <w:t>Medium-High</w:t>
            </w:r>
          </w:p>
        </w:tc>
        <w:tc>
          <w:tcPr>
            <w:tcW w:w="153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1828F1D3" w14:textId="77777777" w:rsidR="00AD6FA8" w:rsidRDefault="00000000">
            <w:pPr>
              <w:jc w:val="center"/>
            </w:pPr>
            <w:r>
              <w:rPr>
                <w:color w:val="B71C1C"/>
                <w:sz w:val="20"/>
                <w:szCs w:val="20"/>
              </w:rPr>
              <w:t>High</w:t>
            </w:r>
          </w:p>
        </w:tc>
      </w:tr>
      <w:tr w:rsidR="00AD6FA8" w14:paraId="1828F1DA"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1D5" w14:textId="77777777" w:rsidR="00AD6FA8" w:rsidRDefault="00000000">
            <w:r>
              <w:rPr>
                <w:color w:val="1A1A1A"/>
                <w:sz w:val="20"/>
                <w:szCs w:val="20"/>
              </w:rPr>
              <w:t>Regulatory barriers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D6" w14:textId="77777777" w:rsidR="00AD6FA8" w:rsidRDefault="00000000">
            <w:pPr>
              <w:jc w:val="center"/>
            </w:pPr>
            <w:r>
              <w:rPr>
                <w:color w:val="1A1A1A"/>
                <w:sz w:val="20"/>
                <w:szCs w:val="20"/>
              </w:rPr>
              <w:t>Country-level approvals denied or severely delayed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D7" w14:textId="77777777" w:rsidR="00AD6FA8" w:rsidRDefault="00000000">
            <w:pPr>
              <w:jc w:val="center"/>
            </w:pPr>
            <w:r>
              <w:rPr>
                <w:color w:val="1A1A1A"/>
                <w:sz w:val="20"/>
                <w:szCs w:val="20"/>
              </w:rPr>
              <w:t>Robotaxi revenue ramp non-linear</w:t>
            </w:r>
          </w:p>
        </w:tc>
        <w:tc>
          <w:tcPr>
            <w:tcW w:w="153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vAlign w:val="center"/>
          </w:tcPr>
          <w:p w14:paraId="1828F1D8" w14:textId="77777777" w:rsidR="00AD6FA8" w:rsidRDefault="00000000">
            <w:pPr>
              <w:jc w:val="center"/>
            </w:pPr>
            <w:r>
              <w:rPr>
                <w:color w:val="E65100"/>
                <w:sz w:val="20"/>
                <w:szCs w:val="20"/>
              </w:rPr>
              <w:t>Medium</w:t>
            </w:r>
          </w:p>
        </w:tc>
        <w:tc>
          <w:tcPr>
            <w:tcW w:w="153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1828F1D9" w14:textId="77777777" w:rsidR="00AD6FA8" w:rsidRDefault="00000000">
            <w:pPr>
              <w:jc w:val="center"/>
            </w:pPr>
            <w:r>
              <w:rPr>
                <w:color w:val="B71C1C"/>
                <w:sz w:val="20"/>
                <w:szCs w:val="20"/>
              </w:rPr>
              <w:t>High</w:t>
            </w:r>
          </w:p>
        </w:tc>
      </w:tr>
      <w:tr w:rsidR="00AD6FA8" w14:paraId="1828F1E0"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1DB" w14:textId="77777777" w:rsidR="00AD6FA8" w:rsidRDefault="00000000">
            <w:r>
              <w:rPr>
                <w:color w:val="1A1A1A"/>
                <w:sz w:val="20"/>
                <w:szCs w:val="20"/>
              </w:rPr>
              <w:t>EV competition (BYD)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DC" w14:textId="77777777" w:rsidR="00AD6FA8" w:rsidRDefault="00000000">
            <w:pPr>
              <w:jc w:val="center"/>
            </w:pPr>
            <w:r>
              <w:rPr>
                <w:color w:val="1A1A1A"/>
                <w:sz w:val="20"/>
                <w:szCs w:val="20"/>
              </w:rPr>
              <w:t>Margin compression in core auto segment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DD" w14:textId="77777777" w:rsidR="00AD6FA8" w:rsidRDefault="00000000">
            <w:pPr>
              <w:jc w:val="center"/>
            </w:pPr>
            <w:r>
              <w:rPr>
                <w:color w:val="1A1A1A"/>
                <w:sz w:val="20"/>
                <w:szCs w:val="20"/>
              </w:rPr>
              <w:t>EV floor value compresses</w:t>
            </w:r>
          </w:p>
        </w:tc>
        <w:tc>
          <w:tcPr>
            <w:tcW w:w="153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1828F1DE" w14:textId="77777777" w:rsidR="00AD6FA8" w:rsidRDefault="00000000">
            <w:pPr>
              <w:jc w:val="center"/>
            </w:pPr>
            <w:r>
              <w:rPr>
                <w:color w:val="B71C1C"/>
                <w:sz w:val="20"/>
                <w:szCs w:val="20"/>
              </w:rPr>
              <w:t>High</w:t>
            </w:r>
          </w:p>
        </w:tc>
        <w:tc>
          <w:tcPr>
            <w:tcW w:w="153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vAlign w:val="center"/>
          </w:tcPr>
          <w:p w14:paraId="1828F1DF" w14:textId="77777777" w:rsidR="00AD6FA8" w:rsidRDefault="00000000">
            <w:pPr>
              <w:jc w:val="center"/>
            </w:pPr>
            <w:r>
              <w:rPr>
                <w:color w:val="E65100"/>
                <w:sz w:val="20"/>
                <w:szCs w:val="20"/>
              </w:rPr>
              <w:t>Medium</w:t>
            </w:r>
          </w:p>
        </w:tc>
      </w:tr>
      <w:tr w:rsidR="00AD6FA8" w14:paraId="1828F1E6"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1E1" w14:textId="77777777" w:rsidR="00AD6FA8" w:rsidRDefault="00000000">
            <w:r>
              <w:rPr>
                <w:color w:val="1A1A1A"/>
                <w:sz w:val="20"/>
                <w:szCs w:val="20"/>
              </w:rPr>
              <w:t>Platform disintermediation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E2" w14:textId="77777777" w:rsidR="00AD6FA8" w:rsidRDefault="00000000">
            <w:pPr>
              <w:jc w:val="center"/>
            </w:pPr>
            <w:r>
              <w:rPr>
                <w:color w:val="1A1A1A"/>
                <w:sz w:val="20"/>
                <w:szCs w:val="20"/>
              </w:rPr>
              <w:t>Uber/Lyft capture demand layer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E3" w14:textId="77777777" w:rsidR="00AD6FA8" w:rsidRDefault="00000000">
            <w:pPr>
              <w:jc w:val="center"/>
            </w:pPr>
            <w:r>
              <w:rPr>
                <w:color w:val="1A1A1A"/>
                <w:sz w:val="20"/>
                <w:szCs w:val="20"/>
              </w:rPr>
              <w:t>Take-rate falls from 25% toward 10–15%</w:t>
            </w:r>
          </w:p>
        </w:tc>
        <w:tc>
          <w:tcPr>
            <w:tcW w:w="153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vAlign w:val="center"/>
          </w:tcPr>
          <w:p w14:paraId="1828F1E4" w14:textId="77777777" w:rsidR="00AD6FA8" w:rsidRDefault="00000000">
            <w:pPr>
              <w:jc w:val="center"/>
            </w:pPr>
            <w:r>
              <w:rPr>
                <w:color w:val="E65100"/>
                <w:sz w:val="20"/>
                <w:szCs w:val="20"/>
              </w:rPr>
              <w:t>Medium</w:t>
            </w:r>
          </w:p>
        </w:tc>
        <w:tc>
          <w:tcPr>
            <w:tcW w:w="153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vAlign w:val="center"/>
          </w:tcPr>
          <w:p w14:paraId="1828F1E5" w14:textId="77777777" w:rsidR="00AD6FA8" w:rsidRDefault="00000000">
            <w:pPr>
              <w:jc w:val="center"/>
            </w:pPr>
            <w:r>
              <w:rPr>
                <w:color w:val="E65100"/>
                <w:sz w:val="20"/>
                <w:szCs w:val="20"/>
              </w:rPr>
              <w:t>Medium</w:t>
            </w:r>
          </w:p>
        </w:tc>
      </w:tr>
      <w:tr w:rsidR="00AD6FA8" w14:paraId="1828F1EC"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1E7" w14:textId="77777777" w:rsidR="00AD6FA8" w:rsidRDefault="00000000">
            <w:r>
              <w:rPr>
                <w:color w:val="1A1A1A"/>
                <w:sz w:val="20"/>
                <w:szCs w:val="20"/>
              </w:rPr>
              <w:t>Interest rate / macro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E8" w14:textId="77777777" w:rsidR="00AD6FA8" w:rsidRDefault="00000000">
            <w:pPr>
              <w:jc w:val="center"/>
            </w:pPr>
            <w:r>
              <w:rPr>
                <w:color w:val="1A1A1A"/>
                <w:sz w:val="20"/>
                <w:szCs w:val="20"/>
              </w:rPr>
              <w:t>Higher real rates raise discount rate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E9" w14:textId="77777777" w:rsidR="00AD6FA8" w:rsidRDefault="00000000">
            <w:pPr>
              <w:jc w:val="center"/>
            </w:pPr>
            <w:r>
              <w:rPr>
                <w:color w:val="1A1A1A"/>
                <w:sz w:val="20"/>
                <w:szCs w:val="20"/>
              </w:rPr>
              <w:t>Multiple compression across all layers</w:t>
            </w:r>
          </w:p>
        </w:tc>
        <w:tc>
          <w:tcPr>
            <w:tcW w:w="153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vAlign w:val="center"/>
          </w:tcPr>
          <w:p w14:paraId="1828F1EA" w14:textId="77777777" w:rsidR="00AD6FA8" w:rsidRDefault="00000000">
            <w:pPr>
              <w:jc w:val="center"/>
            </w:pPr>
            <w:r>
              <w:rPr>
                <w:color w:val="E65100"/>
                <w:sz w:val="20"/>
                <w:szCs w:val="20"/>
              </w:rPr>
              <w:t>Medium</w:t>
            </w:r>
          </w:p>
        </w:tc>
        <w:tc>
          <w:tcPr>
            <w:tcW w:w="153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vAlign w:val="center"/>
          </w:tcPr>
          <w:p w14:paraId="1828F1EB" w14:textId="77777777" w:rsidR="00AD6FA8" w:rsidRDefault="00000000">
            <w:pPr>
              <w:jc w:val="center"/>
            </w:pPr>
            <w:r>
              <w:rPr>
                <w:color w:val="E65100"/>
                <w:sz w:val="20"/>
                <w:szCs w:val="20"/>
              </w:rPr>
              <w:t>Medium</w:t>
            </w:r>
          </w:p>
        </w:tc>
      </w:tr>
      <w:tr w:rsidR="00AD6FA8" w14:paraId="1828F1F2"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1ED" w14:textId="77777777" w:rsidR="00AD6FA8" w:rsidRDefault="00000000">
            <w:r>
              <w:rPr>
                <w:color w:val="1A1A1A"/>
                <w:sz w:val="20"/>
                <w:szCs w:val="20"/>
              </w:rPr>
              <w:t>Tech competition (AI)</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EE" w14:textId="77777777" w:rsidR="00AD6FA8" w:rsidRDefault="00000000">
            <w:pPr>
              <w:jc w:val="center"/>
            </w:pPr>
            <w:r>
              <w:rPr>
                <w:color w:val="1A1A1A"/>
                <w:sz w:val="20"/>
                <w:szCs w:val="20"/>
              </w:rPr>
              <w:t>Open-source AV models reduce data moat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EF" w14:textId="77777777" w:rsidR="00AD6FA8" w:rsidRDefault="00000000">
            <w:pPr>
              <w:jc w:val="center"/>
            </w:pPr>
            <w:r>
              <w:rPr>
                <w:color w:val="1A1A1A"/>
                <w:sz w:val="20"/>
                <w:szCs w:val="20"/>
              </w:rPr>
              <w:t>Penetration rate ceiling lowers</w:t>
            </w:r>
          </w:p>
        </w:tc>
        <w:tc>
          <w:tcPr>
            <w:tcW w:w="1530" w:type="dxa"/>
            <w:tcBorders>
              <w:top w:val="single" w:sz="1" w:space="0" w:color="CCCCCC"/>
              <w:left w:val="single" w:sz="1" w:space="0" w:color="CCCCCC"/>
              <w:bottom w:val="single" w:sz="1" w:space="0" w:color="CCCCCC"/>
              <w:right w:val="single" w:sz="1" w:space="0" w:color="CCCCCC"/>
            </w:tcBorders>
            <w:shd w:val="clear" w:color="auto" w:fill="E6F4EA"/>
            <w:tcMar>
              <w:top w:w="100" w:type="dxa"/>
              <w:left w:w="140" w:type="dxa"/>
              <w:bottom w:w="100" w:type="dxa"/>
              <w:right w:w="140" w:type="dxa"/>
            </w:tcMar>
            <w:vAlign w:val="center"/>
          </w:tcPr>
          <w:p w14:paraId="1828F1F0" w14:textId="77777777" w:rsidR="00AD6FA8" w:rsidRDefault="00000000">
            <w:pPr>
              <w:jc w:val="center"/>
            </w:pPr>
            <w:r>
              <w:rPr>
                <w:color w:val="1B5E20"/>
                <w:sz w:val="20"/>
                <w:szCs w:val="20"/>
              </w:rPr>
              <w:t>Low-Medium</w:t>
            </w:r>
          </w:p>
        </w:tc>
        <w:tc>
          <w:tcPr>
            <w:tcW w:w="153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vAlign w:val="center"/>
          </w:tcPr>
          <w:p w14:paraId="1828F1F1" w14:textId="77777777" w:rsidR="00AD6FA8" w:rsidRDefault="00000000">
            <w:pPr>
              <w:jc w:val="center"/>
            </w:pPr>
            <w:r>
              <w:rPr>
                <w:color w:val="E65100"/>
                <w:sz w:val="20"/>
                <w:szCs w:val="20"/>
              </w:rPr>
              <w:t>Medium</w:t>
            </w:r>
          </w:p>
        </w:tc>
      </w:tr>
      <w:tr w:rsidR="00AD6FA8" w14:paraId="1828F1F8"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1F3" w14:textId="77777777" w:rsidR="00AD6FA8" w:rsidRDefault="00000000">
            <w:r>
              <w:rPr>
                <w:color w:val="1A1A1A"/>
                <w:sz w:val="20"/>
                <w:szCs w:val="20"/>
              </w:rPr>
              <w:t>Vision-only failure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F4" w14:textId="77777777" w:rsidR="00AD6FA8" w:rsidRDefault="00000000">
            <w:pPr>
              <w:jc w:val="center"/>
            </w:pPr>
            <w:r>
              <w:rPr>
                <w:color w:val="1A1A1A"/>
                <w:sz w:val="20"/>
                <w:szCs w:val="20"/>
              </w:rPr>
              <w:t>Camera-only approach proves insufficient for L4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1F5" w14:textId="77777777" w:rsidR="00AD6FA8" w:rsidRDefault="00000000">
            <w:pPr>
              <w:jc w:val="center"/>
            </w:pPr>
            <w:r>
              <w:rPr>
                <w:color w:val="1A1A1A"/>
                <w:sz w:val="20"/>
                <w:szCs w:val="20"/>
              </w:rPr>
              <w:t>FSD + Robotaxi thesis collapses</w:t>
            </w:r>
          </w:p>
        </w:tc>
        <w:tc>
          <w:tcPr>
            <w:tcW w:w="1530" w:type="dxa"/>
            <w:tcBorders>
              <w:top w:val="single" w:sz="1" w:space="0" w:color="CCCCCC"/>
              <w:left w:val="single" w:sz="1" w:space="0" w:color="CCCCCC"/>
              <w:bottom w:val="single" w:sz="1" w:space="0" w:color="CCCCCC"/>
              <w:right w:val="single" w:sz="1" w:space="0" w:color="CCCCCC"/>
            </w:tcBorders>
            <w:shd w:val="clear" w:color="auto" w:fill="E6F4EA"/>
            <w:tcMar>
              <w:top w:w="100" w:type="dxa"/>
              <w:left w:w="140" w:type="dxa"/>
              <w:bottom w:w="100" w:type="dxa"/>
              <w:right w:w="140" w:type="dxa"/>
            </w:tcMar>
            <w:vAlign w:val="center"/>
          </w:tcPr>
          <w:p w14:paraId="1828F1F6" w14:textId="77777777" w:rsidR="00AD6FA8" w:rsidRDefault="00000000">
            <w:pPr>
              <w:jc w:val="center"/>
            </w:pPr>
            <w:r>
              <w:rPr>
                <w:color w:val="1B5E20"/>
                <w:sz w:val="20"/>
                <w:szCs w:val="20"/>
              </w:rPr>
              <w:t>Low</w:t>
            </w:r>
          </w:p>
        </w:tc>
        <w:tc>
          <w:tcPr>
            <w:tcW w:w="153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1828F1F7" w14:textId="77777777" w:rsidR="00AD6FA8" w:rsidRDefault="00000000">
            <w:pPr>
              <w:jc w:val="center"/>
            </w:pPr>
            <w:r>
              <w:rPr>
                <w:color w:val="B71C1C"/>
                <w:sz w:val="20"/>
                <w:szCs w:val="20"/>
              </w:rPr>
              <w:t>Very High</w:t>
            </w:r>
          </w:p>
        </w:tc>
      </w:tr>
    </w:tbl>
    <w:p w14:paraId="1828F1F9" w14:textId="77777777" w:rsidR="00AD6FA8" w:rsidRDefault="00AD6FA8">
      <w:pPr>
        <w:spacing w:before="100"/>
      </w:pPr>
    </w:p>
    <w:p w14:paraId="1828F1FA" w14:textId="77777777" w:rsidR="00AD6FA8" w:rsidRDefault="00000000">
      <w:pPr>
        <w:pStyle w:val="Heading2"/>
      </w:pPr>
      <w:r>
        <w:t>3.1  Autonomy Delay — The Primary Risk</w:t>
      </w:r>
    </w:p>
    <w:p w14:paraId="1828F1FB" w14:textId="77777777" w:rsidR="00AD6FA8" w:rsidRDefault="00000000">
      <w:pPr>
        <w:spacing w:before="80" w:after="80" w:line="320" w:lineRule="auto"/>
        <w:jc w:val="both"/>
      </w:pPr>
      <w:r>
        <w:rPr>
          <w:color w:val="1A1A1A"/>
        </w:rPr>
        <w:t>Execution and timeline risk is the most impactful risk in the model because it simultaneously affects two inputs: the discount rate (uncertainty about timelines increases it) and the present value of Robotaxi cash flows (a longer wait compresses the NPV even if the terminal cash flows are unchanged). A five-year delay versus a three-year timeline, at an 11% discount rate, costs approximately $120B in probability-weighted equity value based on the sensitivity matrix above.</w:t>
      </w:r>
    </w:p>
    <w:p w14:paraId="1828F1FC" w14:textId="77777777" w:rsidR="00AD6FA8" w:rsidRDefault="00AD6FA8">
      <w:pPr>
        <w:spacing w:before="60"/>
      </w:pPr>
    </w:p>
    <w:p w14:paraId="1828F1FD" w14:textId="77777777" w:rsidR="00AD6FA8" w:rsidRDefault="00000000">
      <w:pPr>
        <w:spacing w:before="80" w:after="80" w:line="320" w:lineRule="auto"/>
        <w:jc w:val="both"/>
      </w:pPr>
      <w:r>
        <w:rPr>
          <w:color w:val="1A1A1A"/>
        </w:rPr>
        <w:t>The specific constraint is not full autonomy as a theoretical achievement — most informed observers believe that is solvable — but unsupervised FSD approval in commercially meaningful markets. The distinction matters: a Tesla that can drive itself anywhere in perfect conditions is not the same as a Tesla that regulators will certify to operate without a human driver across diverse weather, road, and edge-case conditions.</w:t>
      </w:r>
    </w:p>
    <w:p w14:paraId="1828F1FE" w14:textId="77777777" w:rsidR="00AD6FA8" w:rsidRDefault="00AD6FA8">
      <w:pPr>
        <w:spacing w:before="100"/>
      </w:pPr>
    </w:p>
    <w:p w14:paraId="1828F1FF" w14:textId="77777777" w:rsidR="00AD6FA8" w:rsidRDefault="00000000">
      <w:pPr>
        <w:pStyle w:val="Heading2"/>
      </w:pPr>
      <w:r>
        <w:t>3.2  Regulatory Risk — The Structural Constraint</w:t>
      </w:r>
    </w:p>
    <w:p w14:paraId="1828F200" w14:textId="77777777" w:rsidR="00AD6FA8" w:rsidRDefault="00000000">
      <w:pPr>
        <w:spacing w:before="80" w:after="80" w:line="320" w:lineRule="auto"/>
        <w:jc w:val="both"/>
      </w:pPr>
      <w:r>
        <w:rPr>
          <w:color w:val="1A1A1A"/>
        </w:rPr>
        <w:lastRenderedPageBreak/>
        <w:t>Regulatory approval is a sequenced, jurisdiction-specific process. Waymo's experience is instructive: despite being the most operationally validated Robotaxi service globally, it remains geographically constrained years after its first commercial deployment. Tesla should expect a similar pattern — US approval does not unlock China, EU approval requires separate validation, and each jurisdiction adds both time and compliance cost.</w:t>
      </w:r>
    </w:p>
    <w:p w14:paraId="1828F201" w14:textId="77777777" w:rsidR="00AD6FA8" w:rsidRDefault="00AD6FA8">
      <w:pPr>
        <w:spacing w:before="60"/>
      </w:pPr>
    </w:p>
    <w:p w14:paraId="1828F202" w14:textId="77777777" w:rsidR="00AD6FA8" w:rsidRDefault="00000000">
      <w:pPr>
        <w:spacing w:before="80" w:after="80" w:line="320" w:lineRule="auto"/>
        <w:jc w:val="both"/>
      </w:pPr>
      <w:r>
        <w:rPr>
          <w:color w:val="1A1A1A"/>
        </w:rPr>
        <w:t>The model implication is that the Robotaxi revenue ramp will be non-linear and region-specific, not a simultaneous global launch. This is already reflected in the base case timeline of 5–7 years to meaningful scale, but the risk is that even this timeline proves optimistic if political or liability frameworks evolve in ways that impose additional constraints.</w:t>
      </w:r>
    </w:p>
    <w:p w14:paraId="1828F203" w14:textId="77777777" w:rsidR="00AD6FA8" w:rsidRDefault="00AD6FA8">
      <w:pPr>
        <w:spacing w:before="100"/>
      </w:pPr>
    </w:p>
    <w:p w14:paraId="1828F204" w14:textId="77777777" w:rsidR="00AD6FA8" w:rsidRDefault="00000000">
      <w:pPr>
        <w:pStyle w:val="Heading2"/>
      </w:pPr>
      <w:r>
        <w:t>3.3  Platform Disintermediation — The Take-Rate Risk</w:t>
      </w:r>
    </w:p>
    <w:p w14:paraId="1828F205" w14:textId="77777777" w:rsidR="00AD6FA8" w:rsidRDefault="00000000">
      <w:pPr>
        <w:spacing w:before="80" w:after="80" w:line="320" w:lineRule="auto"/>
        <w:jc w:val="both"/>
      </w:pPr>
      <w:r>
        <w:rPr>
          <w:color w:val="1A1A1A"/>
        </w:rPr>
        <w:t>The Robotaxi valuation is highly sensitive to Tesla's platform take-rate, as the sensitivity matrix shows. If Uber or Lyft successfully position themselves as the demand layer through which Tesla Robotaxis are booked — effectively turning Tesla into a fleet supplier rather than a platform operator — the take-rate falls materially. Moving from 25% to 15% take-rate at a 2.5M vehicle fleet reduces implied Robotaxi value by approximately $76B.</w:t>
      </w:r>
    </w:p>
    <w:p w14:paraId="1828F206" w14:textId="77777777" w:rsidR="00AD6FA8" w:rsidRDefault="00AD6FA8">
      <w:pPr>
        <w:spacing w:before="60"/>
      </w:pPr>
    </w:p>
    <w:p w14:paraId="1828F207" w14:textId="77777777" w:rsidR="00AD6FA8" w:rsidRDefault="00000000">
      <w:pPr>
        <w:spacing w:before="80" w:after="80" w:line="320" w:lineRule="auto"/>
        <w:jc w:val="both"/>
      </w:pPr>
      <w:r>
        <w:rPr>
          <w:color w:val="1A1A1A"/>
        </w:rPr>
        <w:t>Tesla's structural defence against this risk is a direct-to-consumer app and brand relationship. The company's existing owner ecosystem, energy products, and service network give it a distribution channel that does not depend on third-party ride-hailing platforms. Whether that channel can be built to sufficient scale before Uber and Lyft establish themselves as the default booking interface for autonomous vehicles is one of the defining strategic questions of the next five years.</w:t>
      </w:r>
    </w:p>
    <w:p w14:paraId="1828F208" w14:textId="77777777" w:rsidR="00AD6FA8" w:rsidRDefault="00AD6FA8">
      <w:pPr>
        <w:spacing w:before="120"/>
      </w:pPr>
    </w:p>
    <w:p w14:paraId="1828F209" w14:textId="77777777" w:rsidR="00AD6FA8" w:rsidRDefault="00000000">
      <w:pPr>
        <w:pStyle w:val="Heading1"/>
        <w:pBdr>
          <w:bottom w:val="single" w:sz="6" w:space="6" w:color="2E5FA3"/>
        </w:pBdr>
      </w:pPr>
      <w:r>
        <w:t>IV. Catalyst Analysis</w:t>
      </w:r>
    </w:p>
    <w:p w14:paraId="1828F20A" w14:textId="77777777" w:rsidR="00AD6FA8" w:rsidRDefault="00000000">
      <w:pPr>
        <w:spacing w:before="80" w:after="80" w:line="320" w:lineRule="auto"/>
        <w:jc w:val="both"/>
      </w:pPr>
      <w:r>
        <w:rPr>
          <w:color w:val="1A1A1A"/>
        </w:rPr>
        <w:t>A catalyst is an observable event that causes the market to update its probability weights across the valuation scenarios. The investment thesis is not a static claim about intrinsic value — it is a dynamic claim about how the market will re-price Tesla as specific milestones are achieved. Identifying catalysts precisely, and mapping them to their valuation impact, transforms the thesis from a qualitative view into a falsifiable, actionable framework.</w:t>
      </w:r>
    </w:p>
    <w:p w14:paraId="1828F20B" w14:textId="77777777" w:rsidR="00AD6FA8" w:rsidRDefault="00AD6FA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800"/>
        <w:gridCol w:w="2000"/>
        <w:gridCol w:w="1760"/>
      </w:tblGrid>
      <w:tr w:rsidR="00AD6FA8" w14:paraId="1828F211"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20C" w14:textId="77777777" w:rsidR="00AD6FA8" w:rsidRDefault="00000000">
            <w:r>
              <w:rPr>
                <w:b/>
                <w:bCs/>
                <w:color w:val="FFFFFF"/>
                <w:sz w:val="20"/>
                <w:szCs w:val="20"/>
              </w:rPr>
              <w:lastRenderedPageBreak/>
              <w:t>Catalyst</w:t>
            </w:r>
          </w:p>
        </w:tc>
        <w:tc>
          <w:tcPr>
            <w:tcW w:w="14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20D" w14:textId="77777777" w:rsidR="00AD6FA8" w:rsidRDefault="00000000">
            <w:r>
              <w:rPr>
                <w:b/>
                <w:bCs/>
                <w:color w:val="FFFFFF"/>
                <w:sz w:val="20"/>
                <w:szCs w:val="20"/>
              </w:rPr>
              <w:t>Timeline</w:t>
            </w:r>
          </w:p>
        </w:tc>
        <w:tc>
          <w:tcPr>
            <w:tcW w:w="18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20E" w14:textId="77777777" w:rsidR="00AD6FA8" w:rsidRDefault="00000000">
            <w:r>
              <w:rPr>
                <w:b/>
                <w:bCs/>
                <w:color w:val="FFFFFF"/>
                <w:sz w:val="20"/>
                <w:szCs w:val="20"/>
              </w:rPr>
              <w:t>Market Expectation</w:t>
            </w:r>
          </w:p>
        </w:tc>
        <w:tc>
          <w:tcPr>
            <w:tcW w:w="20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20F" w14:textId="77777777" w:rsidR="00AD6FA8" w:rsidRDefault="00000000">
            <w:r>
              <w:rPr>
                <w:b/>
                <w:bCs/>
                <w:color w:val="FFFFFF"/>
                <w:sz w:val="20"/>
                <w:szCs w:val="20"/>
              </w:rPr>
              <w:t>Valuation Trigger</w:t>
            </w:r>
          </w:p>
        </w:tc>
        <w:tc>
          <w:tcPr>
            <w:tcW w:w="176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1828F210" w14:textId="77777777" w:rsidR="00AD6FA8" w:rsidRDefault="00000000">
            <w:r>
              <w:rPr>
                <w:b/>
                <w:bCs/>
                <w:color w:val="FFFFFF"/>
                <w:sz w:val="20"/>
                <w:szCs w:val="20"/>
              </w:rPr>
              <w:t>Prob. Weight Shift</w:t>
            </w:r>
          </w:p>
        </w:tc>
      </w:tr>
      <w:tr w:rsidR="00AD6FA8" w14:paraId="1828F217"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212" w14:textId="77777777" w:rsidR="00AD6FA8" w:rsidRDefault="00000000">
            <w:r>
              <w:rPr>
                <w:color w:val="1A1A1A"/>
                <w:sz w:val="20"/>
                <w:szCs w:val="20"/>
              </w:rPr>
              <w:t>Unsupervised FSD approval (US)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213" w14:textId="77777777" w:rsidR="00AD6FA8" w:rsidRDefault="00000000">
            <w:pPr>
              <w:jc w:val="center"/>
            </w:pPr>
            <w:r>
              <w:rPr>
                <w:color w:val="1A1A1A"/>
                <w:sz w:val="20"/>
                <w:szCs w:val="20"/>
              </w:rPr>
              <w:t>6–18 months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214" w14:textId="77777777" w:rsidR="00AD6FA8" w:rsidRDefault="00000000">
            <w:pPr>
              <w:jc w:val="center"/>
            </w:pPr>
            <w:r>
              <w:rPr>
                <w:color w:val="1A1A1A"/>
                <w:sz w:val="20"/>
                <w:szCs w:val="20"/>
              </w:rPr>
              <w:t>Partially priced 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215" w14:textId="77777777" w:rsidR="00AD6FA8" w:rsidRDefault="00000000">
            <w:pPr>
              <w:jc w:val="center"/>
            </w:pPr>
            <w:r>
              <w:rPr>
                <w:color w:val="1A1A1A"/>
                <w:sz w:val="20"/>
                <w:szCs w:val="20"/>
              </w:rPr>
              <w:t>FSD penetration rate upgrades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216" w14:textId="77777777" w:rsidR="00AD6FA8" w:rsidRDefault="00000000">
            <w:pPr>
              <w:jc w:val="center"/>
            </w:pPr>
            <w:r>
              <w:rPr>
                <w:color w:val="1A1A1A"/>
                <w:sz w:val="20"/>
                <w:szCs w:val="20"/>
              </w:rPr>
              <w:t>Bear → Base re-rating</w:t>
            </w:r>
          </w:p>
        </w:tc>
      </w:tr>
      <w:tr w:rsidR="00AD6FA8" w14:paraId="1828F21D"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218" w14:textId="77777777" w:rsidR="00AD6FA8" w:rsidRDefault="00000000">
            <w:r>
              <w:rPr>
                <w:color w:val="1A1A1A"/>
                <w:sz w:val="20"/>
                <w:szCs w:val="20"/>
              </w:rPr>
              <w:t>Robotaxi fleet crosses 10k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219" w14:textId="77777777" w:rsidR="00AD6FA8" w:rsidRDefault="00000000">
            <w:pPr>
              <w:jc w:val="center"/>
            </w:pPr>
            <w:r>
              <w:rPr>
                <w:color w:val="1A1A1A"/>
                <w:sz w:val="20"/>
                <w:szCs w:val="20"/>
              </w:rPr>
              <w:t>12–24 months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21A" w14:textId="77777777" w:rsidR="00AD6FA8" w:rsidRDefault="00000000">
            <w:pPr>
              <w:jc w:val="center"/>
            </w:pPr>
            <w:r>
              <w:rPr>
                <w:color w:val="1A1A1A"/>
                <w:sz w:val="20"/>
                <w:szCs w:val="20"/>
              </w:rPr>
              <w:t>Scepticism on speed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21B" w14:textId="77777777" w:rsidR="00AD6FA8" w:rsidRDefault="00000000">
            <w:pPr>
              <w:jc w:val="center"/>
            </w:pPr>
            <w:r>
              <w:rPr>
                <w:color w:val="1A1A1A"/>
                <w:sz w:val="20"/>
                <w:szCs w:val="20"/>
              </w:rPr>
              <w:t>Robotaxi timeline credibility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21C" w14:textId="77777777" w:rsidR="00AD6FA8" w:rsidRDefault="00000000">
            <w:pPr>
              <w:jc w:val="center"/>
            </w:pPr>
            <w:r>
              <w:rPr>
                <w:color w:val="1A1A1A"/>
                <w:sz w:val="20"/>
                <w:szCs w:val="20"/>
              </w:rPr>
              <w:t>Base probability rises</w:t>
            </w:r>
          </w:p>
        </w:tc>
      </w:tr>
      <w:tr w:rsidR="00AD6FA8" w14:paraId="1828F223"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21E" w14:textId="77777777" w:rsidR="00AD6FA8" w:rsidRDefault="00000000">
            <w:r>
              <w:rPr>
                <w:color w:val="1A1A1A"/>
                <w:sz w:val="20"/>
                <w:szCs w:val="20"/>
              </w:rPr>
              <w:t>Cost/mile falls below $1.50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21F" w14:textId="77777777" w:rsidR="00AD6FA8" w:rsidRDefault="00000000">
            <w:pPr>
              <w:jc w:val="center"/>
            </w:pPr>
            <w:r>
              <w:rPr>
                <w:color w:val="1A1A1A"/>
                <w:sz w:val="20"/>
                <w:szCs w:val="20"/>
              </w:rPr>
              <w:t>3–5 years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220" w14:textId="77777777" w:rsidR="00AD6FA8" w:rsidRDefault="00000000">
            <w:pPr>
              <w:jc w:val="center"/>
            </w:pPr>
            <w:r>
              <w:rPr>
                <w:color w:val="1A1A1A"/>
                <w:sz w:val="20"/>
                <w:szCs w:val="20"/>
              </w:rPr>
              <w:t>Largely unpriced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221" w14:textId="77777777" w:rsidR="00AD6FA8" w:rsidRDefault="00000000">
            <w:pPr>
              <w:jc w:val="center"/>
            </w:pPr>
            <w:r>
              <w:rPr>
                <w:color w:val="1A1A1A"/>
                <w:sz w:val="20"/>
                <w:szCs w:val="20"/>
              </w:rPr>
              <w:t>Demand inflection confirmed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222" w14:textId="77777777" w:rsidR="00AD6FA8" w:rsidRDefault="00000000">
            <w:pPr>
              <w:jc w:val="center"/>
            </w:pPr>
            <w:r>
              <w:rPr>
                <w:color w:val="1A1A1A"/>
                <w:sz w:val="20"/>
                <w:szCs w:val="20"/>
              </w:rPr>
              <w:t>Bull probability rises</w:t>
            </w:r>
          </w:p>
        </w:tc>
      </w:tr>
      <w:tr w:rsidR="00AD6FA8" w14:paraId="1828F229"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224" w14:textId="77777777" w:rsidR="00AD6FA8" w:rsidRDefault="00000000">
            <w:r>
              <w:rPr>
                <w:color w:val="1A1A1A"/>
                <w:sz w:val="20"/>
                <w:szCs w:val="20"/>
              </w:rPr>
              <w:t>Safety metrics surpass Waymo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225" w14:textId="77777777" w:rsidR="00AD6FA8" w:rsidRDefault="00000000">
            <w:pPr>
              <w:jc w:val="center"/>
            </w:pPr>
            <w:r>
              <w:rPr>
                <w:color w:val="1A1A1A"/>
                <w:sz w:val="20"/>
                <w:szCs w:val="20"/>
              </w:rPr>
              <w:t>Ongoing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226" w14:textId="77777777" w:rsidR="00AD6FA8" w:rsidRDefault="00000000">
            <w:pPr>
              <w:jc w:val="center"/>
            </w:pPr>
            <w:r>
              <w:rPr>
                <w:color w:val="1A1A1A"/>
                <w:sz w:val="20"/>
                <w:szCs w:val="20"/>
              </w:rPr>
              <w:t>Tesla seen as lagging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227" w14:textId="77777777" w:rsidR="00AD6FA8" w:rsidRDefault="00000000">
            <w:pPr>
              <w:jc w:val="center"/>
            </w:pPr>
            <w:r>
              <w:rPr>
                <w:color w:val="1A1A1A"/>
                <w:sz w:val="20"/>
                <w:szCs w:val="20"/>
              </w:rPr>
              <w:t>Risk premium compression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228" w14:textId="77777777" w:rsidR="00AD6FA8" w:rsidRDefault="00000000">
            <w:pPr>
              <w:jc w:val="center"/>
            </w:pPr>
            <w:r>
              <w:rPr>
                <w:color w:val="1A1A1A"/>
                <w:sz w:val="20"/>
                <w:szCs w:val="20"/>
              </w:rPr>
              <w:t>Discount rate falls</w:t>
            </w:r>
          </w:p>
        </w:tc>
      </w:tr>
      <w:tr w:rsidR="00AD6FA8" w14:paraId="1828F22F"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22A" w14:textId="77777777" w:rsidR="00AD6FA8" w:rsidRDefault="00000000">
            <w:r>
              <w:rPr>
                <w:color w:val="1A1A1A"/>
                <w:sz w:val="20"/>
                <w:szCs w:val="20"/>
              </w:rPr>
              <w:t>China regulatory approval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22B" w14:textId="77777777" w:rsidR="00AD6FA8" w:rsidRDefault="00000000">
            <w:pPr>
              <w:jc w:val="center"/>
            </w:pPr>
            <w:r>
              <w:rPr>
                <w:color w:val="1A1A1A"/>
                <w:sz w:val="20"/>
                <w:szCs w:val="20"/>
              </w:rPr>
              <w:t>2–4 years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22C" w14:textId="77777777" w:rsidR="00AD6FA8" w:rsidRDefault="00000000">
            <w:pPr>
              <w:jc w:val="center"/>
            </w:pPr>
            <w:r>
              <w:rPr>
                <w:color w:val="1A1A1A"/>
                <w:sz w:val="20"/>
                <w:szCs w:val="20"/>
              </w:rPr>
              <w:t>Uncertain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22D" w14:textId="77777777" w:rsidR="00AD6FA8" w:rsidRDefault="00000000">
            <w:pPr>
              <w:jc w:val="center"/>
            </w:pPr>
            <w:r>
              <w:rPr>
                <w:color w:val="1A1A1A"/>
                <w:sz w:val="20"/>
                <w:szCs w:val="20"/>
              </w:rPr>
              <w:t>Robotaxi TAM expands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22E" w14:textId="77777777" w:rsidR="00AD6FA8" w:rsidRDefault="00000000">
            <w:pPr>
              <w:jc w:val="center"/>
            </w:pPr>
            <w:r>
              <w:rPr>
                <w:color w:val="1A1A1A"/>
                <w:sz w:val="20"/>
                <w:szCs w:val="20"/>
              </w:rPr>
              <w:t>Bull probability rises</w:t>
            </w:r>
          </w:p>
        </w:tc>
      </w:tr>
      <w:tr w:rsidR="00AD6FA8" w14:paraId="1828F235"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1828F230" w14:textId="77777777" w:rsidR="00AD6FA8" w:rsidRDefault="00000000">
            <w:r>
              <w:rPr>
                <w:color w:val="1A1A1A"/>
                <w:sz w:val="20"/>
                <w:szCs w:val="20"/>
              </w:rPr>
              <w:t>FSD penetration crosses 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231" w14:textId="77777777" w:rsidR="00AD6FA8" w:rsidRDefault="00000000">
            <w:pPr>
              <w:jc w:val="center"/>
            </w:pPr>
            <w:r>
              <w:rPr>
                <w:color w:val="1A1A1A"/>
                <w:sz w:val="20"/>
                <w:szCs w:val="20"/>
              </w:rPr>
              <w:t>2–4 years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232" w14:textId="77777777" w:rsidR="00AD6FA8" w:rsidRDefault="00000000">
            <w:pPr>
              <w:jc w:val="center"/>
            </w:pPr>
            <w:r>
              <w:rPr>
                <w:color w:val="1A1A1A"/>
                <w:sz w:val="20"/>
                <w:szCs w:val="20"/>
              </w:rPr>
              <w:t>Not priced in at 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233" w14:textId="77777777" w:rsidR="00AD6FA8" w:rsidRDefault="00000000">
            <w:pPr>
              <w:jc w:val="center"/>
            </w:pPr>
            <w:r>
              <w:rPr>
                <w:color w:val="1A1A1A"/>
                <w:sz w:val="20"/>
                <w:szCs w:val="20"/>
              </w:rPr>
              <w:t>Software multiple justified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8F234" w14:textId="77777777" w:rsidR="00AD6FA8" w:rsidRDefault="00000000">
            <w:pPr>
              <w:jc w:val="center"/>
            </w:pPr>
            <w:r>
              <w:rPr>
                <w:color w:val="1A1A1A"/>
                <w:sz w:val="20"/>
                <w:szCs w:val="20"/>
              </w:rPr>
              <w:t>Base → Bull re-rating</w:t>
            </w:r>
          </w:p>
        </w:tc>
      </w:tr>
    </w:tbl>
    <w:p w14:paraId="1828F236" w14:textId="77777777" w:rsidR="00AD6FA8" w:rsidRDefault="00AD6FA8">
      <w:pPr>
        <w:spacing w:before="100"/>
      </w:pPr>
    </w:p>
    <w:p w14:paraId="1828F237" w14:textId="77777777" w:rsidR="00AD6FA8" w:rsidRDefault="00000000">
      <w:pPr>
        <w:pStyle w:val="Heading2"/>
      </w:pPr>
      <w:r>
        <w:t>4.1  Unsupervised FSD Approval — The Near-Term Trigger</w:t>
      </w:r>
    </w:p>
    <w:p w14:paraId="1828F238" w14:textId="77777777" w:rsidR="00AD6FA8" w:rsidRDefault="00000000">
      <w:pPr>
        <w:spacing w:before="80" w:after="80" w:line="320" w:lineRule="auto"/>
        <w:jc w:val="both"/>
      </w:pPr>
      <w:r>
        <w:rPr>
          <w:color w:val="1A1A1A"/>
        </w:rPr>
        <w:t>The most near-term catalyst with the highest market impact is regulatory approval of unsupervised FSD operation in the United States. This event does not require Robotaxi to be operating at scale — it simply confirms that the technology meets the regulatory threshold for human-free operation. That confirmation alone would shift the market's probability weight meaningfully from bear toward base case, triggering a re-rating of the FSD segment and compressing the discount rate applied to the Robotaxi optionality.</w:t>
      </w:r>
    </w:p>
    <w:p w14:paraId="1828F239" w14:textId="77777777" w:rsidR="00AD6FA8" w:rsidRDefault="00AD6FA8">
      <w:pPr>
        <w:spacing w:before="60"/>
      </w:pPr>
    </w:p>
    <w:p w14:paraId="1828F23A" w14:textId="77777777" w:rsidR="00AD6FA8" w:rsidRDefault="00000000">
      <w:pPr>
        <w:spacing w:before="80" w:after="80" w:line="320" w:lineRule="auto"/>
        <w:jc w:val="both"/>
      </w:pPr>
      <w:r>
        <w:rPr>
          <w:color w:val="1A1A1A"/>
        </w:rPr>
        <w:t>Current market pricing appears to partially incorporate the likelihood of unsupervised FSD approval, but not full commercial autonomy. The gap between these two represents the re-rating opportunity: moving from 'approved but limited' to 'commercially scaling' is where the next significant increment of value would be unlocked.</w:t>
      </w:r>
    </w:p>
    <w:p w14:paraId="1828F23B" w14:textId="77777777" w:rsidR="00AD6FA8" w:rsidRDefault="00AD6FA8">
      <w:pPr>
        <w:spacing w:before="100"/>
      </w:pPr>
    </w:p>
    <w:p w14:paraId="1828F23C" w14:textId="77777777" w:rsidR="00AD6FA8" w:rsidRDefault="00000000">
      <w:pPr>
        <w:pStyle w:val="Heading2"/>
      </w:pPr>
      <w:r>
        <w:t>4.2  Cost-Per-Mile Threshold — The Demand Inflection Catalyst</w:t>
      </w:r>
    </w:p>
    <w:p w14:paraId="1828F23D" w14:textId="77777777" w:rsidR="00AD6FA8" w:rsidRDefault="00000000">
      <w:pPr>
        <w:spacing w:before="80" w:after="80" w:line="320" w:lineRule="auto"/>
        <w:jc w:val="both"/>
      </w:pPr>
      <w:r>
        <w:rPr>
          <w:color w:val="1A1A1A"/>
        </w:rPr>
        <w:t>As established in the industry analysis in Essay 1, the $1.50/mile threshold represents a demand inflection point — the level at which Robotaxi becomes broadly competitive with ride-hailing. This catalyst is not a regulatory event or a product announcement; it is an operational milestone that emerges from the combination of utilisation rate, vehicle cost, and operational efficiency.</w:t>
      </w:r>
    </w:p>
    <w:p w14:paraId="1828F23E" w14:textId="77777777" w:rsidR="00AD6FA8" w:rsidRDefault="00AD6FA8">
      <w:pPr>
        <w:spacing w:before="60"/>
      </w:pPr>
    </w:p>
    <w:p w14:paraId="1828F23F" w14:textId="77777777" w:rsidR="00AD6FA8" w:rsidRDefault="00000000">
      <w:pPr>
        <w:spacing w:before="80" w:after="80" w:line="320" w:lineRule="auto"/>
        <w:jc w:val="both"/>
      </w:pPr>
      <w:r>
        <w:rPr>
          <w:color w:val="1A1A1A"/>
        </w:rPr>
        <w:t xml:space="preserve">When crossed, its impact on the model is non-linear: demand does not grow by a few percent, it accelerates sharply. This is the catalyst that confirms the convex upside scenario. Until it is crossed, </w:t>
      </w:r>
      <w:r>
        <w:rPr>
          <w:color w:val="1A1A1A"/>
        </w:rPr>
        <w:lastRenderedPageBreak/>
        <w:t>the bull case remains a probability-weighted possibility. Once it is crossed, it becomes a demonstrated operational reality, and the market should re-price accordingly.</w:t>
      </w:r>
    </w:p>
    <w:p w14:paraId="1828F240" w14:textId="77777777" w:rsidR="00AD6FA8" w:rsidRDefault="00AD6FA8">
      <w:pPr>
        <w:spacing w:before="100"/>
      </w:pPr>
    </w:p>
    <w:p w14:paraId="1828F241" w14:textId="77777777" w:rsidR="00AD6FA8" w:rsidRDefault="00000000">
      <w:pPr>
        <w:pStyle w:val="Heading2"/>
      </w:pPr>
      <w:r>
        <w:t>4.3  Safety Metrics vs Waymo — The Credibility Catalyst</w:t>
      </w:r>
    </w:p>
    <w:p w14:paraId="1828F242" w14:textId="77777777" w:rsidR="00AD6FA8" w:rsidRDefault="00000000">
      <w:pPr>
        <w:spacing w:before="80" w:after="80" w:line="320" w:lineRule="auto"/>
        <w:jc w:val="both"/>
      </w:pPr>
      <w:r>
        <w:rPr>
          <w:color w:val="1A1A1A"/>
        </w:rPr>
        <w:t>Tesla currently operates in Waymo's shadow when it comes to demonstrated autonomous safety. Waymo has millions of driverless miles logged in commercial operations across multiple cities, with published safety records. Tesla's FSD is supervised, meaning every incident involves a human in the loop. Until Tesla can demonstrate comparable or superior safety metrics in unsupervised operation — published, verifiable, and independently audited — it carries a safety-credibility discount that contributes to the elevated discount rate in the model.</w:t>
      </w:r>
    </w:p>
    <w:p w14:paraId="1828F243" w14:textId="77777777" w:rsidR="00AD6FA8" w:rsidRDefault="00AD6FA8">
      <w:pPr>
        <w:spacing w:before="60"/>
      </w:pPr>
    </w:p>
    <w:p w14:paraId="1828F244" w14:textId="77777777" w:rsidR="00AD6FA8" w:rsidRDefault="00000000">
      <w:pPr>
        <w:spacing w:before="80" w:after="80" w:line="320" w:lineRule="auto"/>
        <w:jc w:val="both"/>
      </w:pPr>
      <w:r>
        <w:rPr>
          <w:color w:val="1A1A1A"/>
        </w:rPr>
        <w:t>Each data release that narrows the safety gap is a catalyst for discount rate compression. Each incident or recall is a catalyst for discount rate expansion. This is why safety data is not merely a regulatory concern — it is a real-time input into the market's probability-weighting of the investment scenarios.</w:t>
      </w:r>
    </w:p>
    <w:p w14:paraId="1828F245" w14:textId="77777777" w:rsidR="00AD6FA8" w:rsidRDefault="00AD6FA8">
      <w:pPr>
        <w:spacing w:before="120"/>
      </w:pPr>
    </w:p>
    <w:p w14:paraId="1828F246" w14:textId="77777777" w:rsidR="00AD6FA8" w:rsidRDefault="00000000">
      <w:pPr>
        <w:pStyle w:val="Heading1"/>
        <w:pBdr>
          <w:bottom w:val="single" w:sz="6" w:space="6" w:color="2E5FA3"/>
        </w:pBdr>
      </w:pPr>
      <w:r>
        <w:t>V. Conclusion</w:t>
      </w:r>
    </w:p>
    <w:p w14:paraId="1828F247" w14:textId="77777777" w:rsidR="00AD6FA8" w:rsidRDefault="00000000">
      <w:pPr>
        <w:spacing w:before="80" w:after="80" w:line="320" w:lineRule="auto"/>
        <w:jc w:val="both"/>
      </w:pPr>
      <w:r>
        <w:rPr>
          <w:color w:val="1A1A1A"/>
        </w:rPr>
        <w:t>Across three essays, this analysis has built a structured, quantitative case for why Tesla is best understood as a high-convexity investment with an asymmetric payoff profile — not a traditional growth stock, not a pure EV play, and not yet a proven AI platform.</w:t>
      </w:r>
    </w:p>
    <w:p w14:paraId="1828F248" w14:textId="77777777" w:rsidR="00AD6FA8" w:rsidRDefault="00AD6FA8">
      <w:pPr>
        <w:spacing w:before="80"/>
      </w:pPr>
    </w:p>
    <w:p w14:paraId="1828F249" w14:textId="77777777" w:rsidR="00AD6FA8" w:rsidRDefault="00000000">
      <w:pPr>
        <w:pStyle w:val="Heading2"/>
      </w:pPr>
      <w:r>
        <w:t>5.1  What the Numbers Say</w:t>
      </w:r>
    </w:p>
    <w:p w14:paraId="1828F24A" w14:textId="77777777" w:rsidR="00AD6FA8" w:rsidRDefault="00000000">
      <w:pPr>
        <w:spacing w:before="80" w:after="80" w:line="320" w:lineRule="auto"/>
        <w:jc w:val="both"/>
      </w:pPr>
      <w:r>
        <w:rPr>
          <w:color w:val="1A1A1A"/>
        </w:rPr>
        <w:t>The probability-weighted SOTP model implies an equity value of approximately $723B — roughly consistent with current market pricing. This is not a ringing buy signal on its own. What it tells us is that the market is, broadly, pricing the base case. It is not paying significantly for the bull case Robotaxi upside, and it is not pricing in the severity of the bear case floor.</w:t>
      </w:r>
    </w:p>
    <w:p w14:paraId="1828F24B" w14:textId="77777777" w:rsidR="00AD6FA8" w:rsidRDefault="00AD6FA8">
      <w:pPr>
        <w:spacing w:before="60"/>
      </w:pPr>
    </w:p>
    <w:p w14:paraId="1828F24C" w14:textId="77777777" w:rsidR="00AD6FA8" w:rsidRDefault="00000000">
      <w:pPr>
        <w:spacing w:before="80" w:after="80" w:line="320" w:lineRule="auto"/>
        <w:jc w:val="both"/>
      </w:pPr>
      <w:r>
        <w:rPr>
          <w:color w:val="1A1A1A"/>
        </w:rPr>
        <w:t>The investment case therefore rests on a view about probability weights, not about base case assumptions. If you believe the probability of full Robotaxi success is higher than 30% — perhaps 40–45% — the expected value of the equity rises to $850–950B, representing 15–25% upside from current prices with a meaningful safety net from the EV floor. If you believe the probability is lower — perhaps 15–20% — the expected value falls toward $550–600B, implying downside.</w:t>
      </w:r>
    </w:p>
    <w:p w14:paraId="1828F24D" w14:textId="77777777" w:rsidR="00AD6FA8" w:rsidRDefault="00AD6FA8">
      <w:pPr>
        <w:spacing w:before="80"/>
      </w:pPr>
    </w:p>
    <w:p w14:paraId="1828F24E" w14:textId="77777777" w:rsidR="00AD6FA8" w:rsidRDefault="00000000">
      <w:pPr>
        <w:pStyle w:val="Heading2"/>
      </w:pPr>
      <w:r>
        <w:lastRenderedPageBreak/>
        <w:t>5.2  The Falsifiable Thesis</w:t>
      </w:r>
    </w:p>
    <w:p w14:paraId="1828F24F" w14:textId="77777777" w:rsidR="00AD6FA8" w:rsidRDefault="00000000">
      <w:pPr>
        <w:spacing w:before="80" w:after="80" w:line="320" w:lineRule="auto"/>
        <w:jc w:val="both"/>
      </w:pPr>
      <w:r>
        <w:rPr>
          <w:color w:val="1A1A1A"/>
        </w:rPr>
        <w:t>The bull case is falsifiable, which is what makes it analytically credible rather than speculative. The conditions under which it fails are specific and observable:</w:t>
      </w:r>
    </w:p>
    <w:p w14:paraId="1828F250" w14:textId="77777777" w:rsidR="00AD6FA8" w:rsidRDefault="00AD6FA8">
      <w:pPr>
        <w:spacing w:before="40"/>
      </w:pPr>
    </w:p>
    <w:p w14:paraId="1828F251" w14:textId="77777777" w:rsidR="00AD6FA8" w:rsidRDefault="00000000">
      <w:pPr>
        <w:pStyle w:val="ListParagraph"/>
        <w:numPr>
          <w:ilvl w:val="0"/>
          <w:numId w:val="2"/>
        </w:numPr>
        <w:spacing w:before="60" w:after="60" w:line="300" w:lineRule="auto"/>
      </w:pPr>
      <w:r>
        <w:rPr>
          <w:color w:val="1A1A1A"/>
        </w:rPr>
        <w:t>Unsupervised FSD does not receive US regulatory approval within 24 months, signalling deeper technical or political barriers than currently anticipated.</w:t>
      </w:r>
    </w:p>
    <w:p w14:paraId="1828F252" w14:textId="77777777" w:rsidR="00AD6FA8" w:rsidRDefault="00000000">
      <w:pPr>
        <w:pStyle w:val="ListParagraph"/>
        <w:numPr>
          <w:ilvl w:val="0"/>
          <w:numId w:val="2"/>
        </w:numPr>
        <w:spacing w:before="60" w:after="60" w:line="300" w:lineRule="auto"/>
      </w:pPr>
      <w:r>
        <w:rPr>
          <w:color w:val="1A1A1A"/>
        </w:rPr>
        <w:t>Robotaxi fleet scaling stalls below 50,000 vehicles by end of 2026, indicating unresolved operational or safety bottlenecks.</w:t>
      </w:r>
    </w:p>
    <w:p w14:paraId="1828F253" w14:textId="77777777" w:rsidR="00AD6FA8" w:rsidRDefault="00000000">
      <w:pPr>
        <w:pStyle w:val="ListParagraph"/>
        <w:numPr>
          <w:ilvl w:val="0"/>
          <w:numId w:val="2"/>
        </w:numPr>
        <w:spacing w:before="60" w:after="60" w:line="300" w:lineRule="auto"/>
      </w:pPr>
      <w:r>
        <w:rPr>
          <w:color w:val="1A1A1A"/>
        </w:rPr>
        <w:t>Cost-per-mile remains above $1.80 at scale, suggesting the unit economics do not support the demand inflection thesis.</w:t>
      </w:r>
    </w:p>
    <w:p w14:paraId="1828F254" w14:textId="77777777" w:rsidR="00AD6FA8" w:rsidRDefault="00000000">
      <w:pPr>
        <w:pStyle w:val="ListParagraph"/>
        <w:numPr>
          <w:ilvl w:val="0"/>
          <w:numId w:val="2"/>
        </w:numPr>
        <w:spacing w:before="60" w:after="60" w:line="300" w:lineRule="auto"/>
      </w:pPr>
      <w:r>
        <w:rPr>
          <w:color w:val="1A1A1A"/>
        </w:rPr>
        <w:t>A competitor — most plausibly Waymo — achieves the $1.50/mile threshold before Tesla and establishes the dominant market position.</w:t>
      </w:r>
    </w:p>
    <w:p w14:paraId="1828F255" w14:textId="77777777" w:rsidR="00AD6FA8" w:rsidRDefault="00AD6FA8">
      <w:pPr>
        <w:spacing w:before="80"/>
      </w:pPr>
    </w:p>
    <w:p w14:paraId="1828F256" w14:textId="77777777" w:rsidR="00AD6FA8" w:rsidRDefault="00000000">
      <w:pPr>
        <w:spacing w:before="80" w:after="80" w:line="320" w:lineRule="auto"/>
        <w:jc w:val="both"/>
      </w:pPr>
      <w:r>
        <w:rPr>
          <w:color w:val="1A1A1A"/>
        </w:rPr>
        <w:t>If two or more of these conditions are met, the probability weight on the bear case should increase materially, and the investment thesis should be revised downward. If none of them are met, and the catalysts fire broadly on schedule, the probability weight on the bull case rises — and so does the expected equity value.</w:t>
      </w:r>
    </w:p>
    <w:p w14:paraId="1828F257" w14:textId="77777777" w:rsidR="00AD6FA8" w:rsidRDefault="00AD6FA8">
      <w:pPr>
        <w:spacing w:before="80"/>
      </w:pPr>
    </w:p>
    <w:p w14:paraId="1828F258" w14:textId="77777777" w:rsidR="00AD6FA8" w:rsidRDefault="00000000">
      <w:pPr>
        <w:pStyle w:val="Heading2"/>
      </w:pPr>
      <w:r>
        <w:t>5.3  Final Investment Characterisation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6FA8" w14:paraId="1828F25B" w14:textId="77777777">
        <w:tc>
          <w:tcPr>
            <w:tcW w:w="9360" w:type="dxa"/>
            <w:tcBorders>
              <w:top w:val="single" w:sz="8" w:space="0" w:color="2E5FA3"/>
              <w:left w:val="thick" w:sz="20" w:space="0" w:color="2E5FA3"/>
              <w:bottom w:val="single" w:sz="8" w:space="0" w:color="2E5FA3"/>
              <w:right w:val="none" w:sz="0" w:space="0" w:color="FFFFFF"/>
            </w:tcBorders>
            <w:shd w:val="clear" w:color="auto" w:fill="EEF2F7"/>
            <w:tcMar>
              <w:top w:w="160" w:type="dxa"/>
              <w:left w:w="240" w:type="dxa"/>
              <w:bottom w:w="160" w:type="dxa"/>
              <w:right w:w="240" w:type="dxa"/>
            </w:tcMar>
          </w:tcPr>
          <w:p w14:paraId="1828F259" w14:textId="77777777" w:rsidR="00AD6FA8" w:rsidRDefault="00000000">
            <w:pPr>
              <w:spacing w:after="60"/>
            </w:pPr>
            <w:r>
              <w:rPr>
                <w:b/>
                <w:bCs/>
                <w:caps/>
                <w:color w:val="2E5FA3"/>
                <w:sz w:val="18"/>
                <w:szCs w:val="18"/>
              </w:rPr>
              <w:t>FINAL CHARACTERISATION</w:t>
            </w:r>
          </w:p>
          <w:p w14:paraId="1828F25A" w14:textId="77777777" w:rsidR="00AD6FA8" w:rsidRDefault="00000000">
            <w:r>
              <w:rPr>
                <w:i/>
                <w:iCs/>
                <w:color w:val="1A1A1A"/>
              </w:rPr>
              <w:t>Tesla is not a safe growth stock. It is not a value stock. It is a high-convexity optionality investment: a business with a real, cash-generating floor, a scaling software layer, and a transformational upside option that the market has not fully priced. The upside is large if the autonomy thesis plays out. The downside is bounded by the EV business. The gap between those two — and which direction you think probability weight should flow — is the entire investment debate.</w:t>
            </w:r>
          </w:p>
        </w:tc>
      </w:tr>
    </w:tbl>
    <w:p w14:paraId="1828F25C" w14:textId="77777777" w:rsidR="00AD6FA8" w:rsidRDefault="00AD6FA8">
      <w:pPr>
        <w:spacing w:before="80"/>
      </w:pPr>
    </w:p>
    <w:p w14:paraId="1828F25D" w14:textId="77777777" w:rsidR="00AD6FA8" w:rsidRDefault="00000000">
      <w:pPr>
        <w:spacing w:before="80" w:after="80" w:line="320" w:lineRule="auto"/>
        <w:jc w:val="both"/>
      </w:pPr>
      <w:r>
        <w:rPr>
          <w:color w:val="1A1A1A"/>
        </w:rPr>
        <w:t>The rigorous investor's job is not to guess which scenario plays out. It is to monitor the falsifiable catalysts, update the probability weights as evidence accumulates, and hold the position only as long as the expected value justifies the risk. That is the discipline this framework is designed to support.</w:t>
      </w:r>
    </w:p>
    <w:p w14:paraId="1828F25E" w14:textId="77777777" w:rsidR="00AD6FA8" w:rsidRDefault="00AD6FA8">
      <w:pPr>
        <w:spacing w:before="120"/>
      </w:pPr>
    </w:p>
    <w:p w14:paraId="076616C7" w14:textId="77777777" w:rsidR="001E2476" w:rsidRDefault="001E2476">
      <w:pPr>
        <w:spacing w:before="120"/>
      </w:pPr>
    </w:p>
    <w:p w14:paraId="5F94FBB0" w14:textId="77777777" w:rsidR="001E2476" w:rsidRDefault="001E2476">
      <w:pPr>
        <w:spacing w:before="120"/>
      </w:pPr>
    </w:p>
    <w:p w14:paraId="1A14215D" w14:textId="77777777" w:rsidR="001E2476" w:rsidRDefault="001E2476">
      <w:pPr>
        <w:spacing w:before="120"/>
      </w:pPr>
    </w:p>
    <w:p w14:paraId="5E29701D" w14:textId="77777777" w:rsidR="001E2476" w:rsidRDefault="001E2476">
      <w:pPr>
        <w:spacing w:before="120"/>
      </w:pPr>
    </w:p>
    <w:p w14:paraId="149A8791" w14:textId="77777777" w:rsidR="001E2476" w:rsidRDefault="001E2476">
      <w:pPr>
        <w:spacing w:before="120"/>
      </w:pPr>
    </w:p>
    <w:p w14:paraId="1EAC7BB4" w14:textId="77777777" w:rsidR="001E2476" w:rsidRDefault="001E2476" w:rsidP="001E2476">
      <w:pPr>
        <w:pStyle w:val="Heading3"/>
        <w:jc w:val="both"/>
      </w:pPr>
      <w:r>
        <w:lastRenderedPageBreak/>
        <w:t>A Note on Data and Sources</w:t>
      </w:r>
    </w:p>
    <w:p w14:paraId="5A125802" w14:textId="79A322A1" w:rsidR="001E2476" w:rsidRDefault="001E2476" w:rsidP="001E2476">
      <w:pPr>
        <w:pStyle w:val="NormalWeb"/>
        <w:jc w:val="both"/>
      </w:pPr>
      <w:r>
        <w:t xml:space="preserve">The valuation framework and sensitivity analysis in this essay are constructed using a combination of Tesla’s reported financial data, institutional research benchmarks, and author-derived analytical estimates. Core automotive metrics, such as delivery volumes and operating margin assumptions for the EV Manufacturing segment, draw on Tesla’s Q4 2024 earnings release and January 2026 delivery reports. The FSD Software layer utilizes the official $99/month subscription price to determine ARPU, while software margin assumptions of 70–80% and penetration rate projections are </w:t>
      </w:r>
      <w:r w:rsidR="00E47A16">
        <w:t>modelled</w:t>
      </w:r>
      <w:r>
        <w:t xml:space="preserve"> after analyst consensus for scaled SaaS businesses and mature consumer electronics ecosystems.</w:t>
      </w:r>
    </w:p>
    <w:p w14:paraId="0CC71BFC" w14:textId="77777777" w:rsidR="001E2476" w:rsidRDefault="001E2476" w:rsidP="001E2476">
      <w:pPr>
        <w:pStyle w:val="NormalWeb"/>
        <w:jc w:val="both"/>
      </w:pPr>
      <w:r>
        <w:t xml:space="preserve">Robotaxi platform assumptions, including a $25,000 annual gross revenue per vehicle and platform take-rates of 20–30%, are informed by ARK Invest and Bank of America research. </w:t>
      </w:r>
      <w:r>
        <w:rPr>
          <w:rStyle w:val="citation-56"/>
        </w:rPr>
        <w:t>The $1.50 per mile demand inflection threshold is an operational milestone derived from industry cost-of-ownership analyses as established in prior research</w:t>
      </w:r>
      <w:r>
        <w:t xml:space="preserve">. </w:t>
      </w:r>
      <w:r>
        <w:rPr>
          <w:rStyle w:val="citation-55"/>
        </w:rPr>
        <w:t>Macro variables, such as discount rates ranging from 8% to 18% and various autonomy timelines, serve as analytical inputs to test model robustness</w:t>
      </w:r>
      <w:r>
        <w:t>. Ultimately, all probability-weighted outputs—including the $723 billion implied equity value—are the author’s proprietary estimates and do not represent the official views of any cited financial institution.</w:t>
      </w:r>
    </w:p>
    <w:p w14:paraId="0FFB926E" w14:textId="77777777" w:rsidR="001E2476" w:rsidRDefault="001E2476">
      <w:pPr>
        <w:spacing w:before="120"/>
      </w:pPr>
    </w:p>
    <w:p w14:paraId="1828F25F" w14:textId="77777777" w:rsidR="00AD6FA8" w:rsidRDefault="00000000">
      <w:pPr>
        <w:pBdr>
          <w:top w:val="single" w:sz="6" w:space="6" w:color="2E5FA3"/>
          <w:bottom w:val="single" w:sz="6" w:space="6" w:color="2E5FA3"/>
        </w:pBdr>
        <w:spacing w:before="160" w:after="160"/>
        <w:jc w:val="center"/>
      </w:pPr>
      <w:r>
        <w:rPr>
          <w:i/>
          <w:iCs/>
          <w:color w:val="555555"/>
          <w:sz w:val="20"/>
          <w:szCs w:val="20"/>
        </w:rPr>
        <w:t>End of Tesla Investment Analysis  ·  Essays 1–3</w:t>
      </w:r>
    </w:p>
    <w:sectPr w:rsidR="00AD6FA8">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6CF95" w14:textId="77777777" w:rsidR="000F1D71" w:rsidRDefault="000F1D71">
      <w:r>
        <w:separator/>
      </w:r>
    </w:p>
  </w:endnote>
  <w:endnote w:type="continuationSeparator" w:id="0">
    <w:p w14:paraId="4CBF9012" w14:textId="77777777" w:rsidR="000F1D71" w:rsidRDefault="000F1D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8F261" w14:textId="6968C080" w:rsidR="00AD6FA8" w:rsidRDefault="00000000">
    <w:pPr>
      <w:pBdr>
        <w:top w:val="single" w:sz="4" w:space="4" w:color="2E5FA3"/>
      </w:pBdr>
      <w:spacing w:before="80"/>
      <w:jc w:val="right"/>
    </w:pPr>
    <w:r>
      <w:rPr>
        <w:color w:val="888888"/>
        <w:sz w:val="16"/>
        <w:szCs w:val="16"/>
      </w:rPr>
      <w:t xml:space="preserve">Page </w:t>
    </w:r>
    <w:r>
      <w:fldChar w:fldCharType="begin"/>
    </w:r>
    <w:r>
      <w:instrText>PAGE</w:instrText>
    </w:r>
    <w:r>
      <w:fldChar w:fldCharType="separate"/>
    </w:r>
    <w:r w:rsidR="00C661B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65BB3" w14:textId="77777777" w:rsidR="000F1D71" w:rsidRDefault="000F1D71">
      <w:r>
        <w:separator/>
      </w:r>
    </w:p>
  </w:footnote>
  <w:footnote w:type="continuationSeparator" w:id="0">
    <w:p w14:paraId="328B48A1" w14:textId="77777777" w:rsidR="000F1D71" w:rsidRDefault="000F1D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8F260" w14:textId="77777777" w:rsidR="00AD6FA8" w:rsidRDefault="00000000">
    <w:pPr>
      <w:pBdr>
        <w:bottom w:val="single" w:sz="4" w:space="4" w:color="2E5FA3"/>
      </w:pBdr>
      <w:spacing w:after="120"/>
    </w:pPr>
    <w:r>
      <w:rPr>
        <w:caps/>
        <w:color w:val="888888"/>
        <w:sz w:val="16"/>
        <w:szCs w:val="16"/>
      </w:rPr>
      <w:t>TESLA INVESTMENT ANALYSIS  |  ESSAY 3 OF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6472D"/>
    <w:multiLevelType w:val="hybridMultilevel"/>
    <w:tmpl w:val="88547210"/>
    <w:lvl w:ilvl="0" w:tplc="74206382">
      <w:start w:val="1"/>
      <w:numFmt w:val="bullet"/>
      <w:lvlText w:val="•"/>
      <w:lvlJc w:val="left"/>
      <w:pPr>
        <w:ind w:left="540" w:hanging="260"/>
      </w:pPr>
    </w:lvl>
    <w:lvl w:ilvl="1" w:tplc="1070F336">
      <w:start w:val="1"/>
      <w:numFmt w:val="bullet"/>
      <w:lvlText w:val="◦"/>
      <w:lvlJc w:val="left"/>
      <w:pPr>
        <w:ind w:left="900" w:hanging="260"/>
      </w:pPr>
    </w:lvl>
    <w:lvl w:ilvl="2" w:tplc="1598B162">
      <w:numFmt w:val="decimal"/>
      <w:lvlText w:val=""/>
      <w:lvlJc w:val="left"/>
    </w:lvl>
    <w:lvl w:ilvl="3" w:tplc="9F4A8268">
      <w:numFmt w:val="decimal"/>
      <w:lvlText w:val=""/>
      <w:lvlJc w:val="left"/>
    </w:lvl>
    <w:lvl w:ilvl="4" w:tplc="43A2110C">
      <w:numFmt w:val="decimal"/>
      <w:lvlText w:val=""/>
      <w:lvlJc w:val="left"/>
    </w:lvl>
    <w:lvl w:ilvl="5" w:tplc="36DE386C">
      <w:numFmt w:val="decimal"/>
      <w:lvlText w:val=""/>
      <w:lvlJc w:val="left"/>
    </w:lvl>
    <w:lvl w:ilvl="6" w:tplc="E6200396">
      <w:numFmt w:val="decimal"/>
      <w:lvlText w:val=""/>
      <w:lvlJc w:val="left"/>
    </w:lvl>
    <w:lvl w:ilvl="7" w:tplc="D7B27018">
      <w:numFmt w:val="decimal"/>
      <w:lvlText w:val=""/>
      <w:lvlJc w:val="left"/>
    </w:lvl>
    <w:lvl w:ilvl="8" w:tplc="CCA6AE00">
      <w:numFmt w:val="decimal"/>
      <w:lvlText w:val=""/>
      <w:lvlJc w:val="left"/>
    </w:lvl>
  </w:abstractNum>
  <w:abstractNum w:abstractNumId="1" w15:restartNumberingAfterBreak="0">
    <w:nsid w:val="75994D55"/>
    <w:multiLevelType w:val="hybridMultilevel"/>
    <w:tmpl w:val="D2F6DCB0"/>
    <w:lvl w:ilvl="0" w:tplc="EB2A416C">
      <w:start w:val="1"/>
      <w:numFmt w:val="bullet"/>
      <w:lvlText w:val="●"/>
      <w:lvlJc w:val="left"/>
      <w:pPr>
        <w:ind w:left="720" w:hanging="360"/>
      </w:pPr>
    </w:lvl>
    <w:lvl w:ilvl="1" w:tplc="3704EA2C">
      <w:start w:val="1"/>
      <w:numFmt w:val="bullet"/>
      <w:lvlText w:val="○"/>
      <w:lvlJc w:val="left"/>
      <w:pPr>
        <w:ind w:left="1440" w:hanging="360"/>
      </w:pPr>
    </w:lvl>
    <w:lvl w:ilvl="2" w:tplc="577E1994">
      <w:start w:val="1"/>
      <w:numFmt w:val="bullet"/>
      <w:lvlText w:val="■"/>
      <w:lvlJc w:val="left"/>
      <w:pPr>
        <w:ind w:left="2160" w:hanging="360"/>
      </w:pPr>
    </w:lvl>
    <w:lvl w:ilvl="3" w:tplc="93DC0D8E">
      <w:start w:val="1"/>
      <w:numFmt w:val="bullet"/>
      <w:lvlText w:val="●"/>
      <w:lvlJc w:val="left"/>
      <w:pPr>
        <w:ind w:left="2880" w:hanging="360"/>
      </w:pPr>
    </w:lvl>
    <w:lvl w:ilvl="4" w:tplc="6D5A96C6">
      <w:start w:val="1"/>
      <w:numFmt w:val="bullet"/>
      <w:lvlText w:val="○"/>
      <w:lvlJc w:val="left"/>
      <w:pPr>
        <w:ind w:left="3600" w:hanging="360"/>
      </w:pPr>
    </w:lvl>
    <w:lvl w:ilvl="5" w:tplc="ADA8AE66">
      <w:start w:val="1"/>
      <w:numFmt w:val="bullet"/>
      <w:lvlText w:val="■"/>
      <w:lvlJc w:val="left"/>
      <w:pPr>
        <w:ind w:left="4320" w:hanging="360"/>
      </w:pPr>
    </w:lvl>
    <w:lvl w:ilvl="6" w:tplc="0F84B7D4">
      <w:start w:val="1"/>
      <w:numFmt w:val="bullet"/>
      <w:lvlText w:val="●"/>
      <w:lvlJc w:val="left"/>
      <w:pPr>
        <w:ind w:left="5040" w:hanging="360"/>
      </w:pPr>
    </w:lvl>
    <w:lvl w:ilvl="7" w:tplc="EBC80E34">
      <w:start w:val="1"/>
      <w:numFmt w:val="bullet"/>
      <w:lvlText w:val="●"/>
      <w:lvlJc w:val="left"/>
      <w:pPr>
        <w:ind w:left="5760" w:hanging="360"/>
      </w:pPr>
    </w:lvl>
    <w:lvl w:ilvl="8" w:tplc="478C3044">
      <w:start w:val="1"/>
      <w:numFmt w:val="bullet"/>
      <w:lvlText w:val="●"/>
      <w:lvlJc w:val="left"/>
      <w:pPr>
        <w:ind w:left="6480" w:hanging="360"/>
      </w:pPr>
    </w:lvl>
  </w:abstractNum>
  <w:num w:numId="1" w16cid:durableId="1828941329">
    <w:abstractNumId w:val="1"/>
    <w:lvlOverride w:ilvl="0">
      <w:startOverride w:val="1"/>
    </w:lvlOverride>
  </w:num>
  <w:num w:numId="2" w16cid:durableId="20283632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FA8"/>
    <w:rsid w:val="000F1D71"/>
    <w:rsid w:val="001E2476"/>
    <w:rsid w:val="009B3110"/>
    <w:rsid w:val="00AD6FA8"/>
    <w:rsid w:val="00B72C2C"/>
    <w:rsid w:val="00C661BD"/>
    <w:rsid w:val="00C83DE9"/>
    <w:rsid w:val="00E47A1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828F063"/>
  <w15:docId w15:val="{7CC26CA1-A1EB-DF4B-BD3E-D403E69E4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A6E"/>
      <w:sz w:val="32"/>
      <w:szCs w:val="32"/>
    </w:rPr>
  </w:style>
  <w:style w:type="paragraph" w:styleId="Heading2">
    <w:name w:val="heading 2"/>
    <w:uiPriority w:val="9"/>
    <w:unhideWhenUsed/>
    <w:qFormat/>
    <w:pPr>
      <w:spacing w:before="280" w:after="120"/>
      <w:outlineLvl w:val="1"/>
    </w:pPr>
    <w:rPr>
      <w:b/>
      <w:bCs/>
      <w:color w:val="1F3A6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1E2476"/>
    <w:pPr>
      <w:spacing w:before="100" w:beforeAutospacing="1" w:after="100" w:afterAutospacing="1"/>
    </w:pPr>
    <w:rPr>
      <w:rFonts w:ascii="Times New Roman" w:eastAsia="Times New Roman" w:hAnsi="Times New Roman" w:cs="Times New Roman"/>
      <w:sz w:val="24"/>
      <w:szCs w:val="24"/>
    </w:rPr>
  </w:style>
  <w:style w:type="character" w:customStyle="1" w:styleId="citation-56">
    <w:name w:val="citation-56"/>
    <w:basedOn w:val="DefaultParagraphFont"/>
    <w:rsid w:val="001E2476"/>
  </w:style>
  <w:style w:type="character" w:customStyle="1" w:styleId="citation-55">
    <w:name w:val="citation-55"/>
    <w:basedOn w:val="DefaultParagraphFont"/>
    <w:rsid w:val="001E24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3312</Words>
  <Characters>18656</Characters>
  <Application>Microsoft Office Word</Application>
  <DocSecurity>0</DocSecurity>
  <Lines>658</Lines>
  <Paragraphs>385</Paragraphs>
  <ScaleCrop>false</ScaleCrop>
  <Company/>
  <LinksUpToDate>false</LinksUpToDate>
  <CharactersWithSpaces>21633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 Yuxiao</cp:lastModifiedBy>
  <cp:revision>5</cp:revision>
  <dcterms:created xsi:type="dcterms:W3CDTF">2026-03-25T11:19:00Z</dcterms:created>
  <dcterms:modified xsi:type="dcterms:W3CDTF">2026-03-26T06:55:00Z</dcterms:modified>
</cp:coreProperties>
</file>