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8B8D"/>
          <w:sz w:val="60"/>
        </w:rPr>
        <w:t>LOKA</w:t>
      </w:r>
    </w:p>
    <w:p>
      <w:pPr>
        <w:jc w:val="center"/>
      </w:pPr>
      <w:r>
        <w:rPr>
          <w:b/>
          <w:sz w:val="34"/>
        </w:rPr>
        <w:t>Charte graphique — Système de couleurs</w:t>
      </w:r>
    </w:p>
    <w:p>
      <w:pPr>
        <w:jc w:val="center"/>
      </w:pPr>
      <w:r>
        <w:rPr>
          <w:color w:val="64748B"/>
          <w:sz w:val="20"/>
        </w:rPr>
        <w:t>Palette de référence pour toute l’équipe</w:t>
      </w:r>
    </w:p>
    <w:p>
      <w:r>
        <w:rPr>
          <w:b/>
          <w:color w:val="0F8B8D"/>
        </w:rPr>
        <w:t>Direction visuelle</w:t>
      </w:r>
      <w:r>
        <w:t xml:space="preserve"> — LOKA adopte une identité professionnelle, moderne et sobre : bleu pétrole / turquoise comme couleur de marque, blanc et gris clair pour la lisibilité, puis des couleurs d’état utilisées avec parcimonie.</w:t>
      </w:r>
    </w:p>
    <w:p>
      <w:pPr>
        <w:pStyle w:val="Heading1"/>
      </w:pPr>
      <w:r>
        <w:rPr>
          <w:rFonts w:ascii="Aptos Display" w:hAnsi="Aptos Display"/>
          <w:color w:val="1E3A8A"/>
        </w:rPr>
        <w:t>1. Couleurs principales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E3A8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Nom</w:t>
            </w:r>
          </w:p>
        </w:tc>
        <w:tc>
          <w:tcPr>
            <w:tcW w:type="dxa" w:w="2556"/>
            <w:shd w:fill="1E3A8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HEX</w:t>
            </w:r>
          </w:p>
        </w:tc>
        <w:tc>
          <w:tcPr>
            <w:tcW w:type="dxa" w:w="2556"/>
            <w:shd w:fill="1E3A8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Rôle</w:t>
            </w:r>
          </w:p>
        </w:tc>
        <w:tc>
          <w:tcPr>
            <w:tcW w:type="dxa" w:w="2556"/>
            <w:shd w:fill="1E3A8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Usage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525"/>
                <w:sz w:val="16"/>
              </w:rPr>
              <w:t>LOKA Primary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#0F8B8D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Couleur principale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Boutons, liens, actions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525"/>
                <w:sz w:val="16"/>
              </w:rPr>
              <w:t>LOKA Dark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#075E63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Couleur foncée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Header, sidebar, éléments importants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525"/>
                <w:sz w:val="16"/>
              </w:rPr>
              <w:t>LOKA Deep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#043F42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Couleur profonde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Titres importants, éléments premium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525"/>
                <w:sz w:val="16"/>
              </w:rPr>
              <w:t>LOKA Teal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#18A6A8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Accent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Hover, accents, éléments actifs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525"/>
                <w:sz w:val="16"/>
              </w:rPr>
              <w:t>LOKA Light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#DDF5F4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Fond léger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Badges et surfaces légères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525"/>
                <w:sz w:val="16"/>
              </w:rPr>
              <w:t>LOKA Pale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#EFFBFA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Fond très léger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Arrière-plans discrets</w:t>
            </w:r>
          </w:p>
        </w:tc>
      </w:tr>
    </w:tbl>
    <w:p>
      <w:pPr>
        <w:pStyle w:val="Heading1"/>
      </w:pPr>
      <w:r>
        <w:rPr>
          <w:rFonts w:ascii="Aptos Display" w:hAnsi="Aptos Display"/>
          <w:color w:val="1E3A8A"/>
        </w:rPr>
        <w:t>2. Couleurs neutres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E3A8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Nom</w:t>
            </w:r>
          </w:p>
        </w:tc>
        <w:tc>
          <w:tcPr>
            <w:tcW w:type="dxa" w:w="2556"/>
            <w:shd w:fill="1E3A8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HEX</w:t>
            </w:r>
          </w:p>
        </w:tc>
        <w:tc>
          <w:tcPr>
            <w:tcW w:type="dxa" w:w="2556"/>
            <w:shd w:fill="1E3A8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Rôle</w:t>
            </w:r>
          </w:p>
        </w:tc>
        <w:tc>
          <w:tcPr>
            <w:tcW w:type="dxa" w:w="2556"/>
            <w:shd w:fill="1E3A8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Usage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525"/>
                <w:sz w:val="16"/>
              </w:rPr>
              <w:t>White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#FFFFFF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Surface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Cartes, formulaires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525"/>
                <w:sz w:val="16"/>
              </w:rPr>
              <w:t>Background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#F6F9F9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Fond général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Arrière-plan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525"/>
                <w:sz w:val="16"/>
              </w:rPr>
              <w:t>Gray Light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#EEF2F2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Neutralité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Séparateurs, surfaces secondaires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525"/>
                <w:sz w:val="16"/>
              </w:rPr>
              <w:t>Border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#D9E2E2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Bordure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Contours et champs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525"/>
                <w:sz w:val="16"/>
              </w:rPr>
              <w:t>Gray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#94A3A3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Texte secondaire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Descriptions, placeholders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525"/>
                <w:sz w:val="16"/>
              </w:rPr>
              <w:t>Text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#475656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Texte normal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Contenu courant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525"/>
                <w:sz w:val="16"/>
              </w:rPr>
              <w:t>Heading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#172525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Texte principal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Titres</w:t>
            </w:r>
          </w:p>
        </w:tc>
      </w:tr>
    </w:tbl>
    <w:p>
      <w:r>
        <w:rPr>
          <w:b/>
          <w:color w:val="0F8B8D"/>
        </w:rPr>
        <w:t>Règle</w:t>
      </w:r>
      <w:r>
        <w:t xml:space="preserve"> — Éviter le noir pur #000000. Utiliser #172525 pour les titres et #475656 pour le texte courant.</w:t>
      </w:r>
    </w:p>
    <w:p>
      <w:pPr>
        <w:pStyle w:val="Heading1"/>
      </w:pPr>
      <w:r>
        <w:rPr>
          <w:rFonts w:ascii="Aptos Display" w:hAnsi="Aptos Display"/>
          <w:color w:val="1E3A8A"/>
        </w:rPr>
        <w:t>3. Couleurs des statuts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E3A8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Statut</w:t>
            </w:r>
          </w:p>
        </w:tc>
        <w:tc>
          <w:tcPr>
            <w:tcW w:type="dxa" w:w="2556"/>
            <w:shd w:fill="1E3A8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Principal</w:t>
            </w:r>
          </w:p>
        </w:tc>
        <w:tc>
          <w:tcPr>
            <w:tcW w:type="dxa" w:w="2556"/>
            <w:shd w:fill="1E3A8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Version claire</w:t>
            </w:r>
          </w:p>
        </w:tc>
        <w:tc>
          <w:tcPr>
            <w:tcW w:type="dxa" w:w="2556"/>
            <w:shd w:fill="1E3A8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Exemples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525"/>
                <w:sz w:val="16"/>
              </w:rPr>
              <w:t>Succès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#16A34A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#DCFCE7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Paiement effectué, contrat actif, bien disponible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525"/>
                <w:sz w:val="16"/>
              </w:rPr>
              <w:t>Attention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#F59E0B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#FEF3C7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Échéance proche, demande en attente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525"/>
                <w:sz w:val="16"/>
              </w:rPr>
              <w:t>Erreur / Danger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#DC2626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#FEE2E2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Impayé, suppression, erreur, urgence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525"/>
                <w:sz w:val="16"/>
              </w:rPr>
              <w:t>Information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#2563EB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#DBEAFE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Notifications, informations générales</w:t>
            </w:r>
          </w:p>
        </w:tc>
      </w:tr>
    </w:tbl>
    <w:p>
      <w:pPr>
        <w:pStyle w:val="Heading1"/>
      </w:pPr>
      <w:r>
        <w:rPr>
          <w:rFonts w:ascii="Aptos Display" w:hAnsi="Aptos Display"/>
          <w:color w:val="1E3A8A"/>
        </w:rPr>
        <w:t>4. Couleurs secondaires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E3A8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Couleur</w:t>
            </w:r>
          </w:p>
        </w:tc>
        <w:tc>
          <w:tcPr>
            <w:tcW w:type="dxa" w:w="2556"/>
            <w:shd w:fill="1E3A8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HEX</w:t>
            </w:r>
          </w:p>
        </w:tc>
        <w:tc>
          <w:tcPr>
            <w:tcW w:type="dxa" w:w="2556"/>
            <w:shd w:fill="1E3A8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Version claire</w:t>
            </w:r>
          </w:p>
        </w:tc>
        <w:tc>
          <w:tcPr>
            <w:tcW w:type="dxa" w:w="2556"/>
            <w:shd w:fill="1E3A8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Usage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525"/>
                <w:sz w:val="16"/>
              </w:rPr>
              <w:t>Purple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#7C3AED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#EDE9FE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Documents et fonctions secondaires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525"/>
                <w:sz w:val="16"/>
              </w:rPr>
              <w:t>Orange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#EA580C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#FFEDD5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Finance, échéances et accents financiers</w:t>
            </w:r>
          </w:p>
        </w:tc>
      </w:tr>
    </w:tbl>
    <w:p>
      <w:r>
        <w:rPr>
          <w:b/>
          <w:color w:val="0F8B8D"/>
        </w:rPr>
        <w:t>Principe</w:t>
      </w:r>
      <w:r>
        <w:t xml:space="preserve"> — Le turquoise reste la couleur d’identité de LOKA. Le violet et l’orange sont des accents ponctuels.</w:t>
      </w:r>
    </w:p>
    <w:p>
      <w:pPr>
        <w:pStyle w:val="Heading1"/>
      </w:pPr>
      <w:r>
        <w:rPr>
          <w:rFonts w:ascii="Aptos Display" w:hAnsi="Aptos Display"/>
          <w:color w:val="1E3A8A"/>
        </w:rPr>
        <w:t>5. Utilisation par module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E3A8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3408"/>
            <w:shd w:fill="1E3A8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Couleur d’accent</w:t>
            </w:r>
          </w:p>
        </w:tc>
        <w:tc>
          <w:tcPr>
            <w:tcW w:type="dxa" w:w="3408"/>
            <w:shd w:fill="1E3A8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HEX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525"/>
                <w:sz w:val="16"/>
              </w:rPr>
              <w:t>Biens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LOKA Primary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#0F8B8D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525"/>
                <w:sz w:val="16"/>
              </w:rPr>
              <w:t>Locataires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Info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#2563EB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525"/>
                <w:sz w:val="16"/>
              </w:rPr>
              <w:t>Contrats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Purple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#7C3AED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525"/>
                <w:sz w:val="16"/>
              </w:rPr>
              <w:t>Paiements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Orange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#EA580C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525"/>
                <w:sz w:val="16"/>
              </w:rPr>
              <w:t>Propriétaires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LOKA Primary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#0F8B8D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525"/>
                <w:sz w:val="16"/>
              </w:rPr>
              <w:t>Maintenance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Warning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#F59E0B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525"/>
                <w:sz w:val="16"/>
              </w:rPr>
              <w:t>Documents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Purple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#7C3AED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525"/>
                <w:sz w:val="16"/>
              </w:rPr>
              <w:t>Notifications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Info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#2563EB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525"/>
                <w:sz w:val="16"/>
              </w:rPr>
              <w:t>Administration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Gray / LOKA Dark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#475656 / #075E63</w:t>
            </w:r>
          </w:p>
        </w:tc>
      </w:tr>
    </w:tbl>
    <w:p>
      <w:pPr>
        <w:pStyle w:val="Heading1"/>
      </w:pPr>
      <w:r>
        <w:rPr>
          <w:rFonts w:ascii="Aptos Display" w:hAnsi="Aptos Display"/>
          <w:color w:val="1E3A8A"/>
        </w:rPr>
        <w:t>6. Boutons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E3A8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2556"/>
            <w:shd w:fill="1E3A8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Fond</w:t>
            </w:r>
          </w:p>
        </w:tc>
        <w:tc>
          <w:tcPr>
            <w:tcW w:type="dxa" w:w="2556"/>
            <w:shd w:fill="1E3A8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Texte</w:t>
            </w:r>
          </w:p>
        </w:tc>
        <w:tc>
          <w:tcPr>
            <w:tcW w:type="dxa" w:w="2556"/>
            <w:shd w:fill="1E3A8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Hover / comportement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525"/>
                <w:sz w:val="16"/>
              </w:rPr>
              <w:t>Principal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#0F8B8D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#FFFFFF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Hover : #075E63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525"/>
                <w:sz w:val="16"/>
              </w:rPr>
              <w:t>Secondaire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#EFFBFA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#075E63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Fond plus marqué au survol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525"/>
                <w:sz w:val="16"/>
              </w:rPr>
              <w:t>Danger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#DC2626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#FFFFFF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Hover : #991B1B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525"/>
                <w:sz w:val="16"/>
              </w:rPr>
              <w:t>Discret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Transparent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#475656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Hover : #F6F9F9</w:t>
            </w:r>
          </w:p>
        </w:tc>
      </w:tr>
    </w:tbl>
    <w:p>
      <w:pPr>
        <w:pStyle w:val="Heading1"/>
      </w:pPr>
      <w:r>
        <w:rPr>
          <w:rFonts w:ascii="Aptos Display" w:hAnsi="Aptos Display"/>
          <w:color w:val="1E3A8A"/>
        </w:rPr>
        <w:t>7. Badges et états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E3A8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Exemple</w:t>
            </w:r>
          </w:p>
        </w:tc>
        <w:tc>
          <w:tcPr>
            <w:tcW w:type="dxa" w:w="2556"/>
            <w:shd w:fill="1E3A8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État</w:t>
            </w:r>
          </w:p>
        </w:tc>
        <w:tc>
          <w:tcPr>
            <w:tcW w:type="dxa" w:w="2556"/>
            <w:shd w:fill="1E3A8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Fond</w:t>
            </w:r>
          </w:p>
        </w:tc>
        <w:tc>
          <w:tcPr>
            <w:tcW w:type="dxa" w:w="2556"/>
            <w:shd w:fill="1E3A8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Texte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525"/>
                <w:sz w:val="16"/>
              </w:rPr>
              <w:t>✓ Disponible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Succès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#DCFCE7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#166534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525"/>
                <w:sz w:val="16"/>
              </w:rPr>
              <w:t>● Loué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Information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#DBEAFE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#1E40AF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525"/>
                <w:sz w:val="16"/>
              </w:rPr>
              <w:t>⚠ En travaux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Attention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#FEF3C7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#92400E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525"/>
                <w:sz w:val="16"/>
              </w:rPr>
              <w:t>● En retard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Danger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#FEE2E2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525"/>
                <w:sz w:val="16"/>
              </w:rPr>
              <w:t>#991B1B</w:t>
            </w:r>
          </w:p>
        </w:tc>
      </w:tr>
    </w:tbl>
    <w:p>
      <w:pPr>
        <w:pStyle w:val="Heading1"/>
      </w:pPr>
      <w:r>
        <w:rPr>
          <w:rFonts w:ascii="Aptos Display" w:hAnsi="Aptos Display"/>
          <w:color w:val="1E3A8A"/>
        </w:rPr>
        <w:t>8. Règles d’utilisation</w:t>
      </w:r>
    </w:p>
    <w:p>
      <w:pPr>
        <w:pStyle w:val="ListBullet"/>
        <w:spacing w:after="40"/>
      </w:pPr>
      <w:r>
        <w:rPr>
          <w:rFonts w:ascii="Aptos" w:hAnsi="Aptos"/>
          <w:sz w:val="19"/>
        </w:rPr>
        <w:t>Le turquoise #0F8B8D est la couleur de référence de LOKA.</w:t>
      </w:r>
    </w:p>
    <w:p>
      <w:pPr>
        <w:pStyle w:val="ListBullet"/>
        <w:spacing w:after="40"/>
      </w:pPr>
      <w:r>
        <w:rPr>
          <w:rFonts w:ascii="Aptos" w:hAnsi="Aptos"/>
          <w:sz w:val="19"/>
        </w:rPr>
        <w:t>Les couleurs de statut servent à transmettre une information, pas à décorer.</w:t>
      </w:r>
    </w:p>
    <w:p>
      <w:pPr>
        <w:pStyle w:val="ListBullet"/>
        <w:spacing w:after="40"/>
      </w:pPr>
      <w:r>
        <w:rPr>
          <w:rFonts w:ascii="Aptos" w:hAnsi="Aptos"/>
          <w:sz w:val="19"/>
        </w:rPr>
        <w:t>Le rouge est réservé aux erreurs, impayés et actions critiques.</w:t>
      </w:r>
    </w:p>
    <w:p>
      <w:pPr>
        <w:pStyle w:val="ListBullet"/>
        <w:spacing w:after="40"/>
      </w:pPr>
      <w:r>
        <w:rPr>
          <w:rFonts w:ascii="Aptos" w:hAnsi="Aptos"/>
          <w:sz w:val="19"/>
        </w:rPr>
        <w:t>Le vert indique une situation réussie ou active.</w:t>
      </w:r>
    </w:p>
    <w:p>
      <w:pPr>
        <w:pStyle w:val="ListBullet"/>
        <w:spacing w:after="40"/>
      </w:pPr>
      <w:r>
        <w:rPr>
          <w:rFonts w:ascii="Aptos" w:hAnsi="Aptos"/>
          <w:sz w:val="19"/>
        </w:rPr>
        <w:t>L’orange signale une attention ou une échéance.</w:t>
      </w:r>
    </w:p>
    <w:p>
      <w:pPr>
        <w:pStyle w:val="ListBullet"/>
        <w:spacing w:after="40"/>
      </w:pPr>
      <w:r>
        <w:rPr>
          <w:rFonts w:ascii="Aptos" w:hAnsi="Aptos"/>
          <w:sz w:val="19"/>
        </w:rPr>
        <w:t>Le bleu informe sans signaler une erreur.</w:t>
      </w:r>
    </w:p>
    <w:p>
      <w:pPr>
        <w:pStyle w:val="ListBullet"/>
        <w:spacing w:after="40"/>
      </w:pPr>
      <w:r>
        <w:rPr>
          <w:rFonts w:ascii="Aptos" w:hAnsi="Aptos"/>
          <w:sz w:val="19"/>
        </w:rPr>
        <w:t>Le violet et l’orange doivent rester ponctuels.</w:t>
      </w:r>
    </w:p>
    <w:p>
      <w:pPr>
        <w:pStyle w:val="ListBullet"/>
        <w:spacing w:after="40"/>
      </w:pPr>
      <w:r>
        <w:rPr>
          <w:rFonts w:ascii="Aptos" w:hAnsi="Aptos"/>
          <w:sz w:val="19"/>
        </w:rPr>
        <w:t>Tous les développeurs utilisent les variables CSS communes plutôt que des couleurs différentes dans leurs modules.</w:t>
      </w:r>
    </w:p>
    <w:p>
      <w:pPr>
        <w:pStyle w:val="Heading1"/>
      </w:pPr>
      <w:r>
        <w:rPr>
          <w:rFonts w:ascii="Aptos Display" w:hAnsi="Aptos Display"/>
          <w:color w:val="1E3A8A"/>
        </w:rPr>
        <w:t>9. Variables CSS communes</w:t>
      </w:r>
    </w:p>
    <w:p>
      <w:r>
        <w:rPr>
          <w:rFonts w:ascii="Consolas" w:hAnsi="Consolas"/>
          <w:sz w:val="17"/>
        </w:rPr>
        <w:t xml:space="preserve"> :root {</w:t>
        <w:br/>
        <w:t xml:space="preserve">  --primary: #0F8B8D;</w:t>
        <w:br/>
        <w:t xml:space="preserve">  --primary-dark: #075E63;</w:t>
        <w:br/>
        <w:t xml:space="preserve">  --primary-deep: #043F42;</w:t>
        <w:br/>
        <w:t xml:space="preserve">  --primary-light: #18A6A8;</w:t>
        <w:br/>
        <w:t xml:space="preserve">  --primary-pale: #EFFBFA;</w:t>
        <w:br/>
        <w:br/>
        <w:t xml:space="preserve">  --white: #FFFFFF;</w:t>
        <w:br/>
        <w:t xml:space="preserve">  --background: #F6F9F9;</w:t>
        <w:br/>
        <w:t xml:space="preserve">  --gray-light: #EEF2F2;</w:t>
        <w:br/>
        <w:t xml:space="preserve">  --border: #D9E2E2;</w:t>
        <w:br/>
        <w:t xml:space="preserve">  --gray: #94A3A3;</w:t>
        <w:br/>
        <w:t xml:space="preserve">  --text: #475656;</w:t>
        <w:br/>
        <w:t xml:space="preserve">  --heading: #172525;</w:t>
        <w:br/>
        <w:br/>
        <w:t xml:space="preserve">  --success: #16A34A;</w:t>
        <w:br/>
        <w:t xml:space="preserve">  --success-light: #DCFCE7;</w:t>
        <w:br/>
        <w:t xml:space="preserve">  --warning: #F59E0B;</w:t>
        <w:br/>
        <w:t xml:space="preserve">  --warning-light: #FEF3C7;</w:t>
        <w:br/>
        <w:t xml:space="preserve">  --danger: #DC2626;</w:t>
        <w:br/>
        <w:t xml:space="preserve">  --danger-light: #FEE2E2;</w:t>
        <w:br/>
        <w:t xml:space="preserve">  --info: #2563EB;</w:t>
        <w:br/>
        <w:t xml:space="preserve">  --info-light: #DBEAFE;</w:t>
        <w:br/>
        <w:br/>
        <w:t xml:space="preserve">  --purple: #7C3AED;</w:t>
        <w:br/>
        <w:t xml:space="preserve">  --purple-light: #EDE9FE;</w:t>
        <w:br/>
        <w:t xml:space="preserve">  --orange: #EA580C;</w:t>
        <w:br/>
        <w:t xml:space="preserve">  --orange-light: #FFEDD5;</w:t>
        <w:br/>
        <w:t>}</w:t>
      </w:r>
    </w:p>
    <w:p>
      <w:pPr>
        <w:pStyle w:val="Heading1"/>
      </w:pPr>
      <w:r>
        <w:rPr>
          <w:rFonts w:ascii="Aptos Display" w:hAnsi="Aptos Display"/>
          <w:color w:val="1E3A8A"/>
        </w:rPr>
        <w:t>10. Identité visuelle finale</w:t>
      </w:r>
    </w:p>
    <w:p>
      <w:pPr>
        <w:jc w:val="center"/>
      </w:pPr>
      <w:r>
        <w:rPr>
          <w:b/>
          <w:color w:val="0F8B8D"/>
          <w:sz w:val="32"/>
        </w:rPr>
        <w:t>LOKA = Turquoise + Blanc + Gris clair + Bleu pétrole</w:t>
      </w:r>
    </w:p>
    <w:p>
      <w:pPr>
        <w:pStyle w:val="ListBullet"/>
        <w:spacing w:after="40"/>
      </w:pPr>
      <w:r>
        <w:rPr>
          <w:rFonts w:ascii="Aptos" w:hAnsi="Aptos"/>
          <w:sz w:val="19"/>
        </w:rPr>
        <w:t>Turquoise : identité et actions principales.</w:t>
      </w:r>
    </w:p>
    <w:p>
      <w:pPr>
        <w:pStyle w:val="ListBullet"/>
        <w:spacing w:after="40"/>
      </w:pPr>
      <w:r>
        <w:rPr>
          <w:rFonts w:ascii="Aptos" w:hAnsi="Aptos"/>
          <w:sz w:val="19"/>
        </w:rPr>
        <w:t>Blanc / gris clair : espaces, cartes et lisibilité.</w:t>
      </w:r>
    </w:p>
    <w:p>
      <w:pPr>
        <w:pStyle w:val="ListBullet"/>
        <w:spacing w:after="40"/>
      </w:pPr>
      <w:r>
        <w:rPr>
          <w:rFonts w:ascii="Aptos" w:hAnsi="Aptos"/>
          <w:sz w:val="19"/>
        </w:rPr>
        <w:t>Vert : succès.</w:t>
      </w:r>
    </w:p>
    <w:p>
      <w:pPr>
        <w:pStyle w:val="ListBullet"/>
        <w:spacing w:after="40"/>
      </w:pPr>
      <w:r>
        <w:rPr>
          <w:rFonts w:ascii="Aptos" w:hAnsi="Aptos"/>
          <w:sz w:val="19"/>
        </w:rPr>
        <w:t>Orange : attention / finance.</w:t>
      </w:r>
    </w:p>
    <w:p>
      <w:pPr>
        <w:pStyle w:val="ListBullet"/>
        <w:spacing w:after="40"/>
      </w:pPr>
      <w:r>
        <w:rPr>
          <w:rFonts w:ascii="Aptos" w:hAnsi="Aptos"/>
          <w:sz w:val="19"/>
        </w:rPr>
        <w:t>Rouge : erreur / impayé / action critique.</w:t>
      </w:r>
    </w:p>
    <w:p>
      <w:pPr>
        <w:pStyle w:val="ListBullet"/>
        <w:spacing w:after="40"/>
      </w:pPr>
      <w:r>
        <w:rPr>
          <w:rFonts w:ascii="Aptos" w:hAnsi="Aptos"/>
          <w:sz w:val="19"/>
        </w:rPr>
        <w:t>Bleu : information.</w:t>
      </w:r>
    </w:p>
    <w:p>
      <w:pPr>
        <w:pStyle w:val="ListBullet"/>
        <w:spacing w:after="40"/>
      </w:pPr>
      <w:r>
        <w:rPr>
          <w:rFonts w:ascii="Aptos" w:hAnsi="Aptos"/>
          <w:sz w:val="19"/>
        </w:rPr>
        <w:t>Violet : documents et fonctions secondaires.</w:t>
      </w:r>
    </w:p>
    <w:p>
      <w:r>
        <w:rPr>
          <w:b/>
          <w:color w:val="0F8B8D"/>
        </w:rPr>
        <w:t>Règle d’équipe</w:t>
      </w:r>
      <w:r>
        <w:t xml:space="preserve"> — Bryan, Berthol, Ange et Pascal doivent reprendre ces variables dans tous leurs modules afin de garantir une interface homogène.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Projet LOKA • Charte graphique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LOKA  |  Charte graphique — Système de couleurs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