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C2A20"/>
          <w:sz w:val="44"/>
        </w:rPr>
        <w:t>Audit des transferts de stock et intégrité des données</w:t>
      </w:r>
    </w:p>
    <w:p>
      <w:pPr>
        <w:spacing w:after="200"/>
      </w:pPr>
      <w:r>
        <w:rPr>
          <w:i w:val="0"/>
          <w:color w:val="4D5C4F"/>
          <w:sz w:val="22"/>
        </w:rPr>
        <w:t>Origine du chantier : un utilisateur bloqué par un « abonnement expiré » injustifié à H109. L'investigation a mené à la découverte d'un bug de fond dans la logique de transfert entre magasins, actif depuis longtemps, et à la reconstruction complète de l'historique affecté.</w:t>
      </w:r>
    </w:p>
    <w:p>
      <w:pPr>
        <w:spacing w:after="360"/>
      </w:pPr>
      <w:r>
        <w:rPr>
          <w:color w:val="4D5C4F"/>
          <w:sz w:val="18"/>
        </w:rPr>
        <w:t>Rapport interne — Stock_v2 / Valheri Wear   ·   Périmètre : Stock Local, magasins H109 / C209 et réseau complet   ·   Base : PostgreSQL (VPS dédié)   ·   Mise à jour : 17 septembre 2026</w:t>
      </w:r>
    </w:p>
    <w:tbl>
      <w:tblPr>
        <w:tblW w:type="auto" w:w="0"/>
        <w:jc w:val="center"/>
        <w:tblLook w:firstColumn="1" w:firstRow="1" w:lastColumn="0" w:lastRow="0" w:noHBand="0" w:noVBand="1" w:val="04A0"/>
      </w:tblPr>
      <w:tblGrid>
        <w:gridCol w:w="3249"/>
        <w:gridCol w:w="3249"/>
        <w:gridCol w:w="3249"/>
      </w:tblGrid>
      <w:tr>
        <w:tc>
          <w:tcPr>
            <w:tcW w:type="dxa" w:w="3005"/>
            <w:shd w:fill="F4F6F1"/>
          </w:tcPr>
          <w:p>
            <w:r>
              <w:rPr>
                <w:b/>
                <w:color w:val="1C2A20"/>
                <w:sz w:val="32"/>
              </w:rPr>
              <w:t>31</w:t>
            </w:r>
          </w:p>
          <w:p>
            <w:r>
              <w:rPr>
                <w:color w:val="4D5C4F"/>
                <w:sz w:val="17"/>
              </w:rPr>
              <w:t>fiches destination qui mélangeaient plusieurs produits, démêlées</w:t>
            </w:r>
          </w:p>
        </w:tc>
        <w:tc>
          <w:tcPr>
            <w:tcW w:type="dxa" w:w="3005"/>
            <w:shd w:fill="F4F6F1"/>
          </w:tcPr>
          <w:p>
            <w:r>
              <w:rPr>
                <w:b/>
                <w:color w:val="1C2A20"/>
                <w:sz w:val="32"/>
              </w:rPr>
              <w:t>68</w:t>
            </w:r>
          </w:p>
          <w:p>
            <w:r>
              <w:rPr>
                <w:color w:val="4D5C4F"/>
                <w:sz w:val="17"/>
              </w:rPr>
              <w:t>nouvelles fiches créées pour séparer le stock mal attribué</w:t>
            </w:r>
          </w:p>
        </w:tc>
        <w:tc>
          <w:tcPr>
            <w:tcW w:type="dxa" w:w="3005"/>
            <w:shd w:fill="F4F6F1"/>
          </w:tcPr>
          <w:p>
            <w:r>
              <w:rPr>
                <w:b/>
                <w:color w:val="1C2A20"/>
                <w:sz w:val="32"/>
              </w:rPr>
              <w:t>343</w:t>
            </w:r>
          </w:p>
          <w:p>
            <w:r>
              <w:rPr>
                <w:color w:val="4D5C4F"/>
                <w:sz w:val="17"/>
              </w:rPr>
              <w:t>mouvements historiques repointés vers la bonne fiche</w:t>
            </w:r>
          </w:p>
        </w:tc>
      </w:tr>
      <w:tr>
        <w:tc>
          <w:tcPr>
            <w:tcW w:type="dxa" w:w="3005"/>
            <w:shd w:fill="F4F6F1"/>
          </w:tcPr>
          <w:p>
            <w:r>
              <w:rPr>
                <w:b/>
                <w:color w:val="1C2A20"/>
                <w:sz w:val="32"/>
              </w:rPr>
              <w:t>4 425</w:t>
            </w:r>
          </w:p>
          <w:p>
            <w:r>
              <w:rPr>
                <w:color w:val="4D5C4F"/>
                <w:sz w:val="17"/>
              </w:rPr>
              <w:t>unités en stock — conservées à l'unité près avant/après correction</w:t>
            </w:r>
          </w:p>
        </w:tc>
        <w:tc>
          <w:tcPr>
            <w:tcW w:type="dxa" w:w="3005"/>
            <w:shd w:fill="F4F6F1"/>
          </w:tcPr>
          <w:p>
            <w:r>
              <w:rPr>
                <w:b/>
                <w:color w:val="1C2A20"/>
                <w:sz w:val="32"/>
              </w:rPr>
              <w:t>301 → 23</w:t>
            </w:r>
          </w:p>
          <w:p>
            <w:r>
              <w:rPr>
                <w:color w:val="4D5C4F"/>
                <w:sz w:val="17"/>
              </w:rPr>
              <w:t>anomalies de référence détectées sur les transferts, avant / après correction</w:t>
            </w:r>
          </w:p>
        </w:tc>
        <w:tc>
          <w:tcPr>
            <w:tcW w:type="dxa" w:w="3005"/>
            <w:shd w:fill="F4F6F1"/>
          </w:tcPr>
          <w:p>
            <w:r>
              <w:rPr>
                <w:b/>
                <w:color w:val="1C2A20"/>
                <w:sz w:val="32"/>
              </w:rPr>
              <w:t>61</w:t>
            </w:r>
          </w:p>
          <w:p>
            <w:r>
              <w:rPr>
                <w:color w:val="4D5C4F"/>
                <w:sz w:val="17"/>
              </w:rPr>
              <w:t>groupes de fiches au nom identique restant à traiter (223 fiches)</w:t>
            </w:r>
          </w:p>
        </w:tc>
      </w:tr>
    </w:tbl>
    <w:p>
      <w:pPr>
        <w:spacing w:after="80"/>
      </w:pPr>
    </w:p>
    <w:p>
      <w:pPr>
        <w:keepNext/>
        <w:spacing w:before="440" w:after="160"/>
        <w:pBdr>
          <w:bottom w:val="single" w:sz="6" w:space="4" w:color="CDD8C3"/>
        </w:pBdr>
      </w:pPr>
      <w:r>
        <w:rPr>
          <w:b/>
          <w:color w:val="1F4D38"/>
          <w:sz w:val="22"/>
        </w:rPr>
        <w:t xml:space="preserve">01   </w:t>
      </w:r>
      <w:r>
        <w:rPr>
          <w:b/>
          <w:color w:val="1C2A20"/>
          <w:sz w:val="30"/>
        </w:rPr>
        <w:t>Le problème de fond</w:t>
      </w:r>
    </w:p>
    <w:p>
      <w:pPr>
        <w:spacing w:after="200"/>
      </w:pPr>
      <w:r>
        <w:rPr>
          <w:i/>
          <w:color w:val="4D5C4F"/>
          <w:sz w:val="21"/>
        </w:rPr>
        <w:t>Tout découle d'un seul défaut de conception : quand un produit était transféré vers un magasin qui avait déjà une fiche du même nom, l'application fusionnait automatiquement le stock dans cette fiche existante — même si ce n'était pas réellement le même article.</w:t>
      </w:r>
    </w:p>
    <w:p>
      <w:pPr>
        <w:keepNext/>
        <w:spacing w:before="240" w:after="40"/>
      </w:pPr>
      <w:r>
        <w:rPr>
          <w:color w:val="7C8A7D"/>
          <w:sz w:val="18"/>
        </w:rPr>
        <w:t xml:space="preserve">P1  </w:t>
      </w:r>
      <w:r>
        <w:rPr>
          <w:b/>
          <w:color w:val="1C2A20"/>
          <w:sz w:val="24"/>
        </w:rPr>
        <w:t>Correspondance de produit par nom seul lors d'un transfert</w:t>
      </w:r>
    </w:p>
    <w:p>
      <w:pPr>
        <w:keepNext/>
        <w:spacing w:after="120"/>
      </w:pPr>
      <w:r>
        <w:rPr>
          <w:b/>
          <w:color w:val="2F6B4F"/>
          <w:sz w:val="16"/>
        </w:rPr>
        <w:t>CORRIGÉ</w:t>
      </w:r>
    </w:p>
    <w:p>
      <w:pPr>
        <w:spacing w:after="120"/>
      </w:pPr>
      <w:r>
        <w:rPr>
          <w:color w:val="4D5C4F"/>
          <w:sz w:val="21"/>
        </w:rPr>
        <w:t>Exemple réel : deux abayas de descriptions différentes portaient le même nom « Abaya ». Un transfert de l'une venait grossir le stock de l'autre à destination, sans que rien ne l'indique. Le même mécanisme s'est produit pour des dizaines d'autres articles (chaussures, parfums, ensembles…) chaque fois qu'un nom se répétait entre deux fiches réellement différentes.</w:t>
      </w:r>
    </w:p>
    <w:p>
      <w:pPr>
        <w:spacing w:after="80"/>
        <w:ind w:left="170"/>
      </w:pPr>
      <w:r>
        <w:rPr>
          <w:b/>
          <w:color w:val="1C2A20"/>
          <w:sz w:val="19"/>
        </w:rPr>
        <w:t xml:space="preserve">Exemple — </w:t>
      </w:r>
      <w:r>
        <w:rPr>
          <w:color w:val="4D5C4F"/>
          <w:sz w:val="19"/>
        </w:rPr>
        <w:t>Deux fiches nommées « Abaya », avec chacune leur propre description, existaient dans des magasins différents. Lors d'un transfert de l'une vers le magasin de l'autre, seul le nom était comparé : le stock est allé grossir la mauvaise fiche.</w:t>
      </w:r>
    </w:p>
    <w:p>
      <w:pPr>
        <w:spacing w:after="80"/>
        <w:ind w:left="170"/>
      </w:pPr>
      <w:r>
        <w:rPr>
          <w:b/>
          <w:color w:val="1C2A20"/>
          <w:sz w:val="19"/>
        </w:rPr>
        <w:t xml:space="preserve">Cause — </w:t>
      </w:r>
      <w:r>
        <w:rPr>
          <w:color w:val="4D5C4F"/>
          <w:sz w:val="19"/>
        </w:rPr>
        <w:t>La recherche du produit de destination ne comparait que le nom (puis nom + description dans une première correction).</w:t>
      </w:r>
    </w:p>
    <w:p>
      <w:pPr>
        <w:spacing w:after="80"/>
        <w:ind w:left="170"/>
      </w:pPr>
      <w:r>
        <w:rPr>
          <w:b/>
          <w:color w:val="1C2A20"/>
          <w:sz w:val="19"/>
        </w:rPr>
        <w:t xml:space="preserve">Correction — </w:t>
      </w:r>
      <w:r>
        <w:rPr>
          <w:color w:val="4D5C4F"/>
          <w:sz w:val="19"/>
        </w:rPr>
        <w:t>Un produit n'est désormais fusionné que si prix (éliminatoire), nom, référence et description correspondent tous, une fois normalisés. Ollama (IA locale) sert de dernier recours borné, uniquement parmi les candidats déjà filtrés par le prix, et sa réponse est revérifiée.</w:t>
      </w:r>
    </w:p>
    <w:p>
      <w:pPr>
        <w:keepNext/>
        <w:spacing w:before="240" w:after="40"/>
      </w:pPr>
      <w:r>
        <w:rPr>
          <w:color w:val="7C8A7D"/>
          <w:sz w:val="18"/>
        </w:rPr>
        <w:t xml:space="preserve">P2  </w:t>
      </w:r>
      <w:r>
        <w:rPr>
          <w:b/>
          <w:color w:val="1C2A20"/>
          <w:sz w:val="24"/>
        </w:rPr>
        <w:t>Angle mort des descriptions vides</w:t>
      </w:r>
    </w:p>
    <w:p>
      <w:pPr>
        <w:keepNext/>
        <w:spacing w:after="120"/>
      </w:pPr>
      <w:r>
        <w:rPr>
          <w:b/>
          <w:color w:val="2F6B4F"/>
          <w:sz w:val="16"/>
        </w:rPr>
        <w:t>CORRIGÉ</w:t>
      </w:r>
    </w:p>
    <w:p>
      <w:pPr>
        <w:spacing w:after="120"/>
      </w:pPr>
      <w:r>
        <w:rPr>
          <w:color w:val="4D5C4F"/>
          <w:sz w:val="21"/>
        </w:rPr>
        <w:t>Même après le premier correctif (nom + description), deux fiches ayant toutes les deux une description vide passaient pour identiques alors qu'elles avaient des références différentes. C'est la cause qui a produit le plus de dégâts : 26 fiches destination ont ainsi mélangé le stock de 57 fiches d'origine distinctes.</w:t>
      </w:r>
    </w:p>
    <w:p>
      <w:pPr>
        <w:spacing w:after="80"/>
        <w:ind w:left="170"/>
      </w:pPr>
      <w:r>
        <w:rPr>
          <w:b/>
          <w:color w:val="1C2A20"/>
          <w:sz w:val="19"/>
        </w:rPr>
        <w:t xml:space="preserve">Exemple — </w:t>
      </w:r>
      <w:r>
        <w:rPr>
          <w:color w:val="4D5C4F"/>
          <w:sz w:val="19"/>
        </w:rPr>
        <w:t>La fiche « Chaussure Adulte » du magasin 15 avait en réalité absorbé le stock de 7 références totalement différentes : deux modèles Air Jordan, cinq modèles New Balance distincts et un modèle Nike TN — 42 unités de marques et pointures différentes, cachées sous une seule fiche sans description.</w:t>
      </w:r>
    </w:p>
    <w:p>
      <w:pPr>
        <w:spacing w:after="80"/>
        <w:ind w:left="170"/>
      </w:pPr>
      <w:r>
        <w:rPr>
          <w:b/>
          <w:color w:val="1C2A20"/>
          <w:sz w:val="19"/>
        </w:rPr>
        <w:t xml:space="preserve">Correction — </w:t>
      </w:r>
      <w:r>
        <w:rPr>
          <w:color w:val="4D5C4F"/>
          <w:sz w:val="19"/>
        </w:rPr>
        <w:t>La référence entre désormais dans les critères obligatoires de correspondance — une description vide ne suffit plus à assimiler deux produits.</w:t>
      </w:r>
    </w:p>
    <w:p>
      <w:pPr>
        <w:keepNext/>
        <w:spacing w:before="240" w:after="40"/>
      </w:pPr>
      <w:r>
        <w:rPr>
          <w:color w:val="7C8A7D"/>
          <w:sz w:val="18"/>
        </w:rPr>
        <w:t xml:space="preserve">P3  </w:t>
      </w:r>
      <w:r>
        <w:rPr>
          <w:b/>
          <w:color w:val="1C2A20"/>
          <w:sz w:val="24"/>
        </w:rPr>
        <w:t>Variantes dupliquées par casse</w:t>
      </w:r>
    </w:p>
    <w:p>
      <w:pPr>
        <w:keepNext/>
        <w:spacing w:after="120"/>
      </w:pPr>
      <w:r>
        <w:rPr>
          <w:b/>
          <w:color w:val="2F6B4F"/>
          <w:sz w:val="16"/>
        </w:rPr>
        <w:t>CORRIGÉ</w:t>
      </w:r>
    </w:p>
    <w:p>
      <w:pPr>
        <w:spacing w:after="120"/>
      </w:pPr>
      <w:r>
        <w:rPr>
          <w:color w:val="4D5C4F"/>
          <w:sz w:val="21"/>
        </w:rPr>
        <w:t>Une même couleur ou taille, orthographiée différemment d'un mouvement à l'autre, était traitée comme une variante à part au lieu d'être additionnée à l'existante.</w:t>
      </w:r>
    </w:p>
    <w:p>
      <w:pPr>
        <w:spacing w:after="80"/>
        <w:ind w:left="170"/>
      </w:pPr>
      <w:r>
        <w:rPr>
          <w:b/>
          <w:color w:val="1C2A20"/>
          <w:sz w:val="19"/>
        </w:rPr>
        <w:t xml:space="preserve">Exemples — </w:t>
      </w:r>
      <w:r>
        <w:rPr>
          <w:color w:val="4D5C4F"/>
          <w:sz w:val="19"/>
        </w:rPr>
        <w:t>« Abaya » (magasin 16, description « 2 pièces ») : « ROSE » et « Rose » comptées séparément. « Body MC » (magasin 15) : « BLANC » (1 unité) séparée de « Blanc » (17 unités) — soit 18 unités du même article éclatées en deux lignes. « Crocs Ouvert » : un espace en trop dans « Violet 34 » créait une seconde ligne distincte.</w:t>
      </w:r>
    </w:p>
    <w:p>
      <w:pPr>
        <w:spacing w:after="80"/>
        <w:ind w:left="170"/>
      </w:pPr>
      <w:r>
        <w:rPr>
          <w:b/>
          <w:color w:val="1C2A20"/>
          <w:sz w:val="19"/>
        </w:rPr>
        <w:t xml:space="preserve">Correction — </w:t>
      </w:r>
      <w:r>
        <w:rPr>
          <w:color w:val="4D5C4F"/>
          <w:sz w:val="19"/>
        </w:rPr>
        <w:t>Comparaison de variantes insensible à la casse et aux espaces avant toute addition ou création. 26 groupes de doublons historiques nettoyés (21 fiches touchées).</w:t>
      </w:r>
    </w:p>
    <w:p>
      <w:pPr>
        <w:keepNext/>
        <w:spacing w:before="240" w:after="40"/>
      </w:pPr>
      <w:r>
        <w:rPr>
          <w:color w:val="7C8A7D"/>
          <w:sz w:val="18"/>
        </w:rPr>
        <w:t xml:space="preserve">P4  </w:t>
      </w:r>
      <w:r>
        <w:rPr>
          <w:b/>
          <w:color w:val="1C2A20"/>
          <w:sz w:val="24"/>
        </w:rPr>
        <w:t>Empilement du suffixe de référence</w:t>
      </w:r>
    </w:p>
    <w:p>
      <w:pPr>
        <w:keepNext/>
        <w:spacing w:after="120"/>
      </w:pPr>
      <w:r>
        <w:rPr>
          <w:b/>
          <w:color w:val="2F6B4F"/>
          <w:sz w:val="16"/>
        </w:rPr>
        <w:t>CORRIGÉ</w:t>
      </w:r>
    </w:p>
    <w:p>
      <w:pPr>
        <w:spacing w:after="120"/>
      </w:pPr>
      <w:r>
        <w:rPr>
          <w:color w:val="4D5C4F"/>
          <w:sz w:val="21"/>
        </w:rPr>
        <w:t>Chaque nouveau transfert ajoutait un suffixe de transfert à la référence sans retirer le précédent, allongeant le code à chaque nouveau transfert du même article.</w:t>
      </w:r>
    </w:p>
    <w:p>
      <w:pPr>
        <w:spacing w:after="80"/>
        <w:ind w:left="170"/>
      </w:pPr>
      <w:r>
        <w:rPr>
          <w:b/>
          <w:color w:val="1C2A20"/>
          <w:sz w:val="19"/>
        </w:rPr>
        <w:t xml:space="preserve">Exemple — </w:t>
      </w:r>
      <w:r>
        <w:rPr>
          <w:color w:val="4D5C4F"/>
          <w:sz w:val="19"/>
        </w:rPr>
        <w:t>Des articles transférés plusieurs fois entre C209 et H109 accumulaient deux ou trois suffixes de transfert à la suite sur leur référence d'origine, devenue illisible.</w:t>
      </w:r>
    </w:p>
    <w:p>
      <w:pPr>
        <w:spacing w:after="80"/>
        <w:ind w:left="170"/>
      </w:pPr>
      <w:r>
        <w:rPr>
          <w:b/>
          <w:color w:val="1C2A20"/>
          <w:sz w:val="19"/>
        </w:rPr>
        <w:t xml:space="preserve">Correction — </w:t>
      </w:r>
      <w:r>
        <w:rPr>
          <w:color w:val="4D5C4F"/>
          <w:sz w:val="19"/>
        </w:rPr>
        <w:t>Le suffixe existant est retiré avant d'en ajouter un nouveau. Références nettoyées sur C209 et H109.</w:t>
      </w:r>
    </w:p>
    <w:p>
      <w:pPr>
        <w:keepNext/>
        <w:spacing w:before="440" w:after="160"/>
        <w:pBdr>
          <w:bottom w:val="single" w:sz="6" w:space="4" w:color="CDD8C3"/>
        </w:pBdr>
      </w:pPr>
      <w:r>
        <w:rPr>
          <w:b/>
          <w:color w:val="1F4D38"/>
          <w:sz w:val="22"/>
        </w:rPr>
        <w:t xml:space="preserve">02   </w:t>
      </w:r>
      <w:r>
        <w:rPr>
          <w:b/>
          <w:color w:val="1C2A20"/>
          <w:sz w:val="30"/>
        </w:rPr>
        <w:t>Réparation de l'historique</w:t>
      </w:r>
    </w:p>
    <w:p>
      <w:pPr>
        <w:spacing w:after="200"/>
      </w:pPr>
      <w:r>
        <w:rPr>
          <w:i/>
          <w:color w:val="4D5C4F"/>
          <w:sz w:val="21"/>
        </w:rPr>
        <w:t>Corriger le code ne suffisait pas : le stock déjà mélangé devait être démêlé sans rien supprimer ni inventer. Chaque mouvement, depuis la création du produit, a été rejoué chronologiquement pour reconstituer l'origine réelle de chaque unité.</w:t>
      </w:r>
    </w:p>
    <w:p>
      <w:pPr>
        <w:keepNext/>
        <w:spacing w:before="240" w:after="40"/>
      </w:pPr>
      <w:r>
        <w:rPr>
          <w:color w:val="7C8A7D"/>
          <w:sz w:val="18"/>
        </w:rPr>
        <w:t xml:space="preserve">P5  </w:t>
      </w:r>
      <w:r>
        <w:rPr>
          <w:b/>
          <w:color w:val="1C2A20"/>
          <w:sz w:val="24"/>
        </w:rPr>
        <w:t>Historique de mouvements non repointé</w:t>
      </w:r>
    </w:p>
    <w:p>
      <w:pPr>
        <w:keepNext/>
        <w:spacing w:after="120"/>
      </w:pPr>
      <w:r>
        <w:rPr>
          <w:b/>
          <w:color w:val="2F6B4F"/>
          <w:sz w:val="16"/>
        </w:rPr>
        <w:t>CORRIGÉ</w:t>
      </w:r>
    </w:p>
    <w:p>
      <w:pPr>
        <w:spacing w:after="120"/>
      </w:pPr>
      <w:r>
        <w:rPr>
          <w:color w:val="4D5C4F"/>
          <w:sz w:val="21"/>
        </w:rPr>
        <w:t>Défaut trouvé dans les premiers scripts de reconstruction : le stock était bien déplacé vers la nouvelle fiche séparée, mais les mouvements historiques correspondants restaient rattachés à l'ancienne fiche — l'historique affiché ne correspondait plus à la réalité du stock.</w:t>
      </w:r>
    </w:p>
    <w:p>
      <w:pPr>
        <w:spacing w:after="80"/>
        <w:ind w:left="170"/>
      </w:pPr>
      <w:r>
        <w:rPr>
          <w:b/>
          <w:color w:val="1C2A20"/>
          <w:sz w:val="19"/>
        </w:rPr>
        <w:t xml:space="preserve">Exemple — </w:t>
      </w:r>
      <w:r>
        <w:rPr>
          <w:color w:val="4D5C4F"/>
          <w:sz w:val="19"/>
        </w:rPr>
        <w:t>Le produit « EP 2 TONS », issu de la toute première séparation effectuée (produit historique « EP-200-2T »), est le cas qui a révélé le problème : son stock avait bien été déplacé vers la nouvelle fiche, mais 18 mouvements de son historique restaient rattachés à l'ancienne. 5 produits de cette première vague étaient concernés.</w:t>
      </w:r>
    </w:p>
    <w:p>
      <w:pPr>
        <w:spacing w:after="80"/>
        <w:ind w:left="170"/>
      </w:pPr>
      <w:r>
        <w:rPr>
          <w:b/>
          <w:color w:val="1C2A20"/>
          <w:sz w:val="19"/>
        </w:rPr>
        <w:t xml:space="preserve">Correction — </w:t>
      </w:r>
      <w:r>
        <w:rPr>
          <w:color w:val="4D5C4F"/>
          <w:sz w:val="19"/>
        </w:rPr>
        <w:t>343 mouvements repointés au total (65 lors de la première vague, 278 lors de la reconstruction des 26 fiches à description vide).</w:t>
      </w:r>
    </w:p>
    <w:p>
      <w:pPr>
        <w:keepNext/>
        <w:spacing w:before="240" w:after="40"/>
      </w:pPr>
      <w:r>
        <w:rPr>
          <w:color w:val="7C8A7D"/>
          <w:sz w:val="18"/>
        </w:rPr>
        <w:t xml:space="preserve">P6  </w:t>
      </w:r>
      <w:r>
        <w:rPr>
          <w:b/>
          <w:color w:val="1C2A20"/>
          <w:sz w:val="24"/>
        </w:rPr>
        <w:t>Unités « fantômes »</w:t>
      </w:r>
    </w:p>
    <w:p>
      <w:pPr>
        <w:keepNext/>
        <w:spacing w:after="120"/>
      </w:pPr>
      <w:r>
        <w:rPr>
          <w:b/>
          <w:color w:val="2F6B4F"/>
          <w:sz w:val="16"/>
        </w:rPr>
        <w:t>CORRIGÉ</w:t>
      </w:r>
    </w:p>
    <w:p>
      <w:pPr>
        <w:spacing w:after="120"/>
      </w:pPr>
      <w:r>
        <w:rPr>
          <w:color w:val="4D5C4F"/>
          <w:sz w:val="21"/>
        </w:rPr>
        <w:t>Après la reconstruction des 26 fiches, le stock total affichait 3 unités de plus qu'avant (4 428 au lieu de 4 425). Tracées une par une : 2 unités sur « BRUME » et 1 sur « CHOCOLAT » provenaient d'un ancien mouvement de création de stock, antérieur à l'incident, dont les unités n'étaient déjà plus réellement en rayon. Retirées après vérification et accord.</w:t>
      </w:r>
    </w:p>
    <w:p>
      <w:pPr>
        <w:spacing w:after="80"/>
        <w:ind w:left="170"/>
      </w:pPr>
      <w:r>
        <w:rPr>
          <w:b/>
          <w:color w:val="1C2A20"/>
          <w:sz w:val="19"/>
        </w:rPr>
        <w:t xml:space="preserve">Résultat — </w:t>
      </w:r>
      <w:r>
        <w:rPr>
          <w:color w:val="4D5C4F"/>
          <w:sz w:val="19"/>
        </w:rPr>
        <w:t>Stock total revenu exactement à 4 425 unités — conservation parfaite confirmée.</w:t>
      </w:r>
    </w:p>
    <w:p>
      <w:pPr>
        <w:keepNext/>
        <w:spacing w:before="440" w:after="160"/>
        <w:pBdr>
          <w:bottom w:val="single" w:sz="6" w:space="4" w:color="CDD8C3"/>
        </w:pBdr>
      </w:pPr>
      <w:r>
        <w:rPr>
          <w:b/>
          <w:color w:val="1F4D38"/>
          <w:sz w:val="22"/>
        </w:rPr>
        <w:t xml:space="preserve">03   </w:t>
      </w:r>
      <w:r>
        <w:rPr>
          <w:b/>
          <w:color w:val="1C2A20"/>
          <w:sz w:val="30"/>
        </w:rPr>
        <w:t>Autres corrections</w:t>
      </w:r>
    </w:p>
    <w:p>
      <w:pPr>
        <w:keepNext/>
        <w:spacing w:before="240" w:after="40"/>
      </w:pPr>
      <w:r>
        <w:rPr>
          <w:color w:val="7C8A7D"/>
          <w:sz w:val="18"/>
        </w:rPr>
        <w:t xml:space="preserve">P7  </w:t>
      </w:r>
      <w:r>
        <w:rPr>
          <w:b/>
          <w:color w:val="1C2A20"/>
          <w:sz w:val="24"/>
        </w:rPr>
        <w:t>Abonnement expiré à tort pour un co-admin</w:t>
      </w:r>
    </w:p>
    <w:p>
      <w:pPr>
        <w:keepNext/>
        <w:spacing w:after="120"/>
      </w:pPr>
      <w:r>
        <w:rPr>
          <w:b/>
          <w:color w:val="2F6B4F"/>
          <w:sz w:val="16"/>
        </w:rPr>
        <w:t>CORRIGÉ</w:t>
      </w:r>
    </w:p>
    <w:p>
      <w:pPr>
        <w:spacing w:after="120"/>
      </w:pPr>
      <w:r>
        <w:rPr>
          <w:color w:val="4D5C4F"/>
          <w:sz w:val="21"/>
        </w:rPr>
        <w:t>Sitraka (H109), créé par la co-admin Antsa, était bloqué par un message d'abonnement expiré car le contrôle ne regardait que le compte administrateur principal, pas les co-administrateurs.</w:t>
      </w:r>
    </w:p>
    <w:p>
      <w:pPr>
        <w:keepNext/>
        <w:spacing w:before="240" w:after="40"/>
      </w:pPr>
      <w:r>
        <w:rPr>
          <w:color w:val="7C8A7D"/>
          <w:sz w:val="18"/>
        </w:rPr>
        <w:t xml:space="preserve">P8  </w:t>
      </w:r>
      <w:r>
        <w:rPr>
          <w:b/>
          <w:color w:val="1C2A20"/>
          <w:sz w:val="24"/>
        </w:rPr>
        <w:t>Notifications parasites lors des restaurations de sauvegarde</w:t>
      </w:r>
    </w:p>
    <w:p>
      <w:pPr>
        <w:keepNext/>
        <w:spacing w:after="120"/>
      </w:pPr>
      <w:r>
        <w:rPr>
          <w:b/>
          <w:color w:val="2F6B4F"/>
          <w:sz w:val="16"/>
        </w:rPr>
        <w:t>CORRIGÉ</w:t>
      </w:r>
    </w:p>
    <w:p>
      <w:pPr>
        <w:spacing w:after="120"/>
      </w:pPr>
      <w:r>
        <w:rPr>
          <w:color w:val="4D5C4F"/>
          <w:sz w:val="21"/>
        </w:rPr>
        <w:t>Les 8 signaux internes (notifications, websockets) se déclenchaient aussi pendant le chargement d'une sauvegarde, générant potentiellement des milliers de fausses notifications.</w:t>
      </w:r>
    </w:p>
    <w:p>
      <w:pPr>
        <w:keepNext/>
        <w:spacing w:before="240" w:after="40"/>
      </w:pPr>
      <w:r>
        <w:rPr>
          <w:color w:val="7C8A7D"/>
          <w:sz w:val="18"/>
        </w:rPr>
        <w:t xml:space="preserve">P9  </w:t>
      </w:r>
      <w:r>
        <w:rPr>
          <w:b/>
          <w:color w:val="1C2A20"/>
          <w:sz w:val="24"/>
        </w:rPr>
        <w:t>Page Mouvements affichant des informations obsolètes</w:t>
      </w:r>
    </w:p>
    <w:p>
      <w:pPr>
        <w:keepNext/>
        <w:spacing w:after="120"/>
      </w:pPr>
      <w:r>
        <w:rPr>
          <w:b/>
          <w:color w:val="2F6B4F"/>
          <w:sz w:val="16"/>
        </w:rPr>
        <w:t>CORRIGÉ</w:t>
      </w:r>
    </w:p>
    <w:p>
      <w:pPr>
        <w:spacing w:after="120"/>
      </w:pPr>
      <w:r>
        <w:rPr>
          <w:color w:val="4D5C4F"/>
          <w:sz w:val="21"/>
        </w:rPr>
        <w:t>Le tableau des mouvements pouvait afficher une fiche produit obsolète ou vide, notamment pour les produits créés pendant la reconstruction.</w:t>
      </w:r>
    </w:p>
    <w:p>
      <w:pPr>
        <w:keepNext/>
        <w:spacing w:before="240" w:after="40"/>
      </w:pPr>
      <w:r>
        <w:rPr>
          <w:color w:val="7C8A7D"/>
          <w:sz w:val="18"/>
        </w:rPr>
        <w:t xml:space="preserve">P10  </w:t>
      </w:r>
      <w:r>
        <w:rPr>
          <w:b/>
          <w:color w:val="1C2A20"/>
          <w:sz w:val="24"/>
        </w:rPr>
        <w:t>Réseau Ollama mal configuré</w:t>
      </w:r>
    </w:p>
    <w:p>
      <w:pPr>
        <w:keepNext/>
        <w:spacing w:after="120"/>
      </w:pPr>
      <w:r>
        <w:rPr>
          <w:b/>
          <w:color w:val="2F6B4F"/>
          <w:sz w:val="16"/>
        </w:rPr>
        <w:t>CORRIGÉ</w:t>
      </w:r>
    </w:p>
    <w:p>
      <w:pPr>
        <w:spacing w:after="120"/>
      </w:pPr>
      <w:r>
        <w:rPr>
          <w:color w:val="4D5C4F"/>
          <w:sz w:val="21"/>
        </w:rPr>
        <w:t>Le backend et Ollama tournaient sur deux réseaux Docker isolés, empêchant l'assistant IA de répondre de façon fiable.</w:t>
      </w:r>
    </w:p>
    <w:p>
      <w:pPr>
        <w:keepNext/>
        <w:spacing w:before="440" w:after="160"/>
        <w:pBdr>
          <w:bottom w:val="single" w:sz="6" w:space="4" w:color="CDD8C3"/>
        </w:pBdr>
      </w:pPr>
      <w:r>
        <w:rPr>
          <w:b/>
          <w:color w:val="1F4D38"/>
          <w:sz w:val="22"/>
        </w:rPr>
        <w:t xml:space="preserve">04   </w:t>
      </w:r>
      <w:r>
        <w:rPr>
          <w:b/>
          <w:color w:val="1C2A20"/>
          <w:sz w:val="30"/>
        </w:rPr>
        <w:t>Conservation du stock — preuve chiffrée</w:t>
      </w:r>
    </w:p>
    <w:p>
      <w:pPr>
        <w:spacing w:after="200"/>
      </w:pPr>
      <w:r>
        <w:rPr>
          <w:i/>
          <w:color w:val="4D5C4F"/>
          <w:sz w:val="21"/>
        </w:rPr>
        <w:t>La reconstruction ne devait ni créer ni détruire une seule unité : elle ne fait que réattribuer un stock déjà existant à la bonne fiche. Voici le contrôle final.</w:t>
      </w:r>
    </w:p>
    <w:tbl>
      <w:tblPr>
        <w:tblStyle w:val="TableGrid"/>
        <w:tblW w:type="auto" w:w="0"/>
        <w:tblLook w:firstColumn="1" w:firstRow="1" w:lastColumn="0" w:lastRow="0" w:noHBand="0" w:noVBand="1" w:val="04A0"/>
      </w:tblPr>
      <w:tblGrid>
        <w:gridCol w:w="3249"/>
        <w:gridCol w:w="3249"/>
        <w:gridCol w:w="3249"/>
      </w:tblGrid>
      <w:tr>
        <w:tc>
          <w:tcPr>
            <w:tcW w:type="dxa" w:w="5102"/>
            <w:shd w:fill="1F4D38"/>
          </w:tcPr>
          <w:p>
            <w:pPr>
              <w:jc w:val="left"/>
            </w:pPr>
            <w:r>
              <w:rPr>
                <w:b/>
                <w:color w:val="FFFFFF"/>
                <w:sz w:val="18"/>
              </w:rPr>
              <w:t>Étape</w:t>
            </w:r>
          </w:p>
        </w:tc>
        <w:tc>
          <w:tcPr>
            <w:tcW w:type="dxa" w:w="1984"/>
            <w:shd w:fill="1F4D38"/>
          </w:tcPr>
          <w:p>
            <w:pPr>
              <w:jc w:val="right"/>
            </w:pPr>
            <w:r>
              <w:rPr>
                <w:b/>
                <w:color w:val="FFFFFF"/>
                <w:sz w:val="18"/>
              </w:rPr>
              <w:t>Fiches produits</w:t>
            </w:r>
          </w:p>
        </w:tc>
        <w:tc>
          <w:tcPr>
            <w:tcW w:type="dxa" w:w="1984"/>
            <w:shd w:fill="1F4D38"/>
          </w:tcPr>
          <w:p>
            <w:pPr>
              <w:jc w:val="right"/>
            </w:pPr>
            <w:r>
              <w:rPr>
                <w:b/>
                <w:color w:val="FFFFFF"/>
                <w:sz w:val="18"/>
              </w:rPr>
              <w:t>Stock total (unités)</w:t>
            </w:r>
          </w:p>
        </w:tc>
      </w:tr>
      <w:tr>
        <w:tc>
          <w:tcPr>
            <w:tcW w:type="dxa" w:w="5102"/>
          </w:tcPr>
          <w:p>
            <w:pPr>
              <w:jc w:val="left"/>
            </w:pPr>
            <w:r>
              <w:rPr>
                <w:b w:val="0"/>
                <w:color w:val="1C2A20"/>
                <w:sz w:val="19"/>
              </w:rPr>
              <w:t>Avant reconstruction</w:t>
            </w:r>
          </w:p>
        </w:tc>
        <w:tc>
          <w:tcPr>
            <w:tcW w:type="dxa" w:w="1984"/>
          </w:tcPr>
          <w:p>
            <w:pPr>
              <w:jc w:val="right"/>
            </w:pPr>
            <w:r>
              <w:rPr>
                <w:b w:val="0"/>
                <w:color w:val="1C2A20"/>
                <w:sz w:val="19"/>
              </w:rPr>
              <w:t>907</w:t>
            </w:r>
          </w:p>
        </w:tc>
        <w:tc>
          <w:tcPr>
            <w:tcW w:type="dxa" w:w="1984"/>
          </w:tcPr>
          <w:p>
            <w:pPr>
              <w:jc w:val="right"/>
            </w:pPr>
            <w:r>
              <w:rPr>
                <w:b w:val="0"/>
                <w:color w:val="1C2A20"/>
                <w:sz w:val="19"/>
              </w:rPr>
              <w:t>4 425</w:t>
            </w:r>
          </w:p>
        </w:tc>
      </w:tr>
      <w:tr>
        <w:tc>
          <w:tcPr>
            <w:tcW w:type="dxa" w:w="5102"/>
          </w:tcPr>
          <w:p>
            <w:pPr>
              <w:jc w:val="left"/>
            </w:pPr>
            <w:r>
              <w:rPr>
                <w:b w:val="0"/>
                <w:color w:val="1C2A20"/>
                <w:sz w:val="19"/>
              </w:rPr>
              <w:t>Après séparation des 26 fiches contaminées</w:t>
            </w:r>
          </w:p>
        </w:tc>
        <w:tc>
          <w:tcPr>
            <w:tcW w:type="dxa" w:w="1984"/>
          </w:tcPr>
          <w:p>
            <w:pPr>
              <w:jc w:val="right"/>
            </w:pPr>
            <w:r>
              <w:rPr>
                <w:b w:val="0"/>
                <w:color w:val="1C2A20"/>
                <w:sz w:val="19"/>
              </w:rPr>
              <w:t>964</w:t>
            </w:r>
          </w:p>
        </w:tc>
        <w:tc>
          <w:tcPr>
            <w:tcW w:type="dxa" w:w="1984"/>
          </w:tcPr>
          <w:p>
            <w:pPr>
              <w:jc w:val="right"/>
            </w:pPr>
            <w:r>
              <w:rPr>
                <w:b w:val="0"/>
                <w:color w:val="1C2A20"/>
                <w:sz w:val="19"/>
              </w:rPr>
              <w:t>4 428</w:t>
            </w:r>
          </w:p>
        </w:tc>
      </w:tr>
      <w:tr>
        <w:tc>
          <w:tcPr>
            <w:tcW w:type="dxa" w:w="5102"/>
          </w:tcPr>
          <w:p>
            <w:pPr>
              <w:jc w:val="left"/>
            </w:pPr>
            <w:r>
              <w:rPr>
                <w:b w:val="0"/>
                <w:color w:val="1C2A20"/>
                <w:sz w:val="19"/>
              </w:rPr>
              <w:t>Après retrait des 3 unités fantômes</w:t>
            </w:r>
          </w:p>
        </w:tc>
        <w:tc>
          <w:tcPr>
            <w:tcW w:type="dxa" w:w="1984"/>
          </w:tcPr>
          <w:p>
            <w:pPr>
              <w:jc w:val="right"/>
            </w:pPr>
            <w:r>
              <w:rPr>
                <w:b w:val="0"/>
                <w:color w:val="1C2A20"/>
                <w:sz w:val="19"/>
              </w:rPr>
              <w:t>964</w:t>
            </w:r>
          </w:p>
        </w:tc>
        <w:tc>
          <w:tcPr>
            <w:tcW w:type="dxa" w:w="1984"/>
          </w:tcPr>
          <w:p>
            <w:pPr>
              <w:jc w:val="right"/>
            </w:pPr>
            <w:r>
              <w:rPr>
                <w:b w:val="0"/>
                <w:color w:val="1C2A20"/>
                <w:sz w:val="19"/>
              </w:rPr>
              <w:t>4 425</w:t>
            </w:r>
          </w:p>
        </w:tc>
      </w:tr>
    </w:tbl>
    <w:p>
      <w:pPr>
        <w:spacing w:after="40"/>
      </w:pPr>
    </w:p>
    <w:p>
      <w:pPr>
        <w:spacing w:after="200"/>
      </w:pPr>
      <w:r>
        <w:rPr>
          <w:i/>
          <w:color w:val="4D5C4F"/>
          <w:sz w:val="21"/>
        </w:rPr>
        <w:t>Détail par vague de reconstruction :</w:t>
      </w:r>
    </w:p>
    <w:tbl>
      <w:tblPr>
        <w:tblStyle w:val="TableGrid"/>
        <w:tblW w:type="auto" w:w="0"/>
        <w:tblLook w:firstColumn="1" w:firstRow="1" w:lastColumn="0" w:lastRow="0" w:noHBand="0" w:noVBand="1" w:val="04A0"/>
      </w:tblPr>
      <w:tblGrid>
        <w:gridCol w:w="2436"/>
        <w:gridCol w:w="2436"/>
        <w:gridCol w:w="2436"/>
        <w:gridCol w:w="2436"/>
      </w:tblGrid>
      <w:tr>
        <w:tc>
          <w:tcPr>
            <w:tcW w:type="dxa" w:w="3969"/>
            <w:shd w:fill="1F4D38"/>
          </w:tcPr>
          <w:p>
            <w:pPr>
              <w:jc w:val="left"/>
            </w:pPr>
            <w:r>
              <w:rPr>
                <w:b/>
                <w:color w:val="FFFFFF"/>
                <w:sz w:val="18"/>
              </w:rPr>
              <w:t>Vague</w:t>
            </w:r>
          </w:p>
        </w:tc>
        <w:tc>
          <w:tcPr>
            <w:tcW w:type="dxa" w:w="1701"/>
            <w:shd w:fill="1F4D38"/>
          </w:tcPr>
          <w:p>
            <w:pPr>
              <w:jc w:val="right"/>
            </w:pPr>
            <w:r>
              <w:rPr>
                <w:b/>
                <w:color w:val="FFFFFF"/>
                <w:sz w:val="18"/>
              </w:rPr>
              <w:t>Fiches démêlées</w:t>
            </w:r>
          </w:p>
        </w:tc>
        <w:tc>
          <w:tcPr>
            <w:tcW w:type="dxa" w:w="1701"/>
            <w:shd w:fill="1F4D38"/>
          </w:tcPr>
          <w:p>
            <w:pPr>
              <w:jc w:val="right"/>
            </w:pPr>
            <w:r>
              <w:rPr>
                <w:b/>
                <w:color w:val="FFFFFF"/>
                <w:sz w:val="18"/>
              </w:rPr>
              <w:t>Nouvelles fiches</w:t>
            </w:r>
          </w:p>
        </w:tc>
        <w:tc>
          <w:tcPr>
            <w:tcW w:type="dxa" w:w="1701"/>
            <w:shd w:fill="1F4D38"/>
          </w:tcPr>
          <w:p>
            <w:pPr>
              <w:jc w:val="right"/>
            </w:pPr>
            <w:r>
              <w:rPr>
                <w:b/>
                <w:color w:val="FFFFFF"/>
                <w:sz w:val="18"/>
              </w:rPr>
              <w:t>Mouvements repointés</w:t>
            </w:r>
          </w:p>
        </w:tc>
      </w:tr>
      <w:tr>
        <w:tc>
          <w:tcPr>
            <w:tcW w:type="dxa" w:w="3969"/>
          </w:tcPr>
          <w:p>
            <w:pPr>
              <w:jc w:val="left"/>
            </w:pPr>
            <w:r>
              <w:rPr>
                <w:b w:val="0"/>
                <w:color w:val="1C2A20"/>
                <w:sz w:val="19"/>
              </w:rPr>
              <w:t>1 — nom + description insuffisants</w:t>
            </w:r>
          </w:p>
        </w:tc>
        <w:tc>
          <w:tcPr>
            <w:tcW w:type="dxa" w:w="1701"/>
          </w:tcPr>
          <w:p>
            <w:pPr>
              <w:jc w:val="right"/>
            </w:pPr>
            <w:r>
              <w:rPr>
                <w:b w:val="0"/>
                <w:color w:val="1C2A20"/>
                <w:sz w:val="19"/>
              </w:rPr>
              <w:t>5</w:t>
            </w:r>
          </w:p>
        </w:tc>
        <w:tc>
          <w:tcPr>
            <w:tcW w:type="dxa" w:w="1701"/>
          </w:tcPr>
          <w:p>
            <w:pPr>
              <w:jc w:val="right"/>
            </w:pPr>
            <w:r>
              <w:rPr>
                <w:b w:val="0"/>
                <w:color w:val="1C2A20"/>
                <w:sz w:val="19"/>
              </w:rPr>
              <w:t>11</w:t>
            </w:r>
          </w:p>
        </w:tc>
        <w:tc>
          <w:tcPr>
            <w:tcW w:type="dxa" w:w="1701"/>
          </w:tcPr>
          <w:p>
            <w:pPr>
              <w:jc w:val="right"/>
            </w:pPr>
            <w:r>
              <w:rPr>
                <w:b w:val="0"/>
                <w:color w:val="1C2A20"/>
                <w:sz w:val="19"/>
              </w:rPr>
              <w:t>65</w:t>
            </w:r>
          </w:p>
        </w:tc>
      </w:tr>
      <w:tr>
        <w:tc>
          <w:tcPr>
            <w:tcW w:type="dxa" w:w="3969"/>
          </w:tcPr>
          <w:p>
            <w:pPr>
              <w:jc w:val="left"/>
            </w:pPr>
            <w:r>
              <w:rPr>
                <w:b w:val="0"/>
                <w:color w:val="1C2A20"/>
                <w:sz w:val="19"/>
              </w:rPr>
              <w:t>2 — angle mort des descriptions vides</w:t>
            </w:r>
          </w:p>
        </w:tc>
        <w:tc>
          <w:tcPr>
            <w:tcW w:type="dxa" w:w="1701"/>
          </w:tcPr>
          <w:p>
            <w:pPr>
              <w:jc w:val="right"/>
            </w:pPr>
            <w:r>
              <w:rPr>
                <w:b w:val="0"/>
                <w:color w:val="1C2A20"/>
                <w:sz w:val="19"/>
              </w:rPr>
              <w:t>26</w:t>
            </w:r>
          </w:p>
        </w:tc>
        <w:tc>
          <w:tcPr>
            <w:tcW w:type="dxa" w:w="1701"/>
          </w:tcPr>
          <w:p>
            <w:pPr>
              <w:jc w:val="right"/>
            </w:pPr>
            <w:r>
              <w:rPr>
                <w:b w:val="0"/>
                <w:color w:val="1C2A20"/>
                <w:sz w:val="19"/>
              </w:rPr>
              <w:t>57</w:t>
            </w:r>
          </w:p>
        </w:tc>
        <w:tc>
          <w:tcPr>
            <w:tcW w:type="dxa" w:w="1701"/>
          </w:tcPr>
          <w:p>
            <w:pPr>
              <w:jc w:val="right"/>
            </w:pPr>
            <w:r>
              <w:rPr>
                <w:b w:val="0"/>
                <w:color w:val="1C2A20"/>
                <w:sz w:val="19"/>
              </w:rPr>
              <w:t>278</w:t>
            </w:r>
          </w:p>
        </w:tc>
      </w:tr>
      <w:tr>
        <w:tc>
          <w:tcPr>
            <w:tcW w:type="dxa" w:w="3969"/>
            <w:shd w:fill="E0ECDF"/>
          </w:tcPr>
          <w:p>
            <w:pPr>
              <w:jc w:val="left"/>
            </w:pPr>
            <w:r>
              <w:rPr>
                <w:b/>
                <w:color w:val="1C2A20"/>
                <w:sz w:val="19"/>
              </w:rPr>
              <w:t>Total</w:t>
            </w:r>
          </w:p>
        </w:tc>
        <w:tc>
          <w:tcPr>
            <w:tcW w:type="dxa" w:w="1701"/>
            <w:shd w:fill="E0ECDF"/>
          </w:tcPr>
          <w:p>
            <w:pPr>
              <w:jc w:val="right"/>
            </w:pPr>
            <w:r>
              <w:rPr>
                <w:b/>
                <w:color w:val="1C2A20"/>
                <w:sz w:val="19"/>
              </w:rPr>
              <w:t>31</w:t>
            </w:r>
          </w:p>
        </w:tc>
        <w:tc>
          <w:tcPr>
            <w:tcW w:type="dxa" w:w="1701"/>
            <w:shd w:fill="E0ECDF"/>
          </w:tcPr>
          <w:p>
            <w:pPr>
              <w:jc w:val="right"/>
            </w:pPr>
            <w:r>
              <w:rPr>
                <w:b/>
                <w:color w:val="1C2A20"/>
                <w:sz w:val="19"/>
              </w:rPr>
              <w:t>68</w:t>
            </w:r>
          </w:p>
        </w:tc>
        <w:tc>
          <w:tcPr>
            <w:tcW w:type="dxa" w:w="1701"/>
            <w:shd w:fill="E0ECDF"/>
          </w:tcPr>
          <w:p>
            <w:pPr>
              <w:jc w:val="right"/>
            </w:pPr>
            <w:r>
              <w:rPr>
                <w:b/>
                <w:color w:val="1C2A20"/>
                <w:sz w:val="19"/>
              </w:rPr>
              <w:t>343</w:t>
            </w:r>
          </w:p>
        </w:tc>
      </w:tr>
    </w:tbl>
    <w:p>
      <w:pPr>
        <w:spacing w:after="40"/>
      </w:pPr>
    </w:p>
    <w:p>
      <w:pPr>
        <w:spacing w:after="200"/>
      </w:pPr>
      <w:r>
        <w:rPr>
          <w:i/>
          <w:color w:val="4D5C4F"/>
          <w:sz w:val="21"/>
        </w:rPr>
        <w:t>Audit complet de la base, avant et après l'ensemble des corrections :</w:t>
      </w:r>
    </w:p>
    <w:tbl>
      <w:tblPr>
        <w:tblStyle w:val="TableGrid"/>
        <w:tblW w:type="auto" w:w="0"/>
        <w:tblLook w:firstColumn="1" w:firstRow="1" w:lastColumn="0" w:lastRow="0" w:noHBand="0" w:noVBand="1" w:val="04A0"/>
      </w:tblPr>
      <w:tblGrid>
        <w:gridCol w:w="3249"/>
        <w:gridCol w:w="3249"/>
        <w:gridCol w:w="3249"/>
      </w:tblGrid>
      <w:tr>
        <w:tc>
          <w:tcPr>
            <w:tcW w:type="dxa" w:w="6236"/>
            <w:shd w:fill="1F4D38"/>
          </w:tcPr>
          <w:p>
            <w:pPr>
              <w:jc w:val="left"/>
            </w:pPr>
            <w:r>
              <w:rPr>
                <w:b/>
                <w:color w:val="FFFFFF"/>
                <w:sz w:val="18"/>
              </w:rPr>
              <w:t>Contrôle</w:t>
            </w:r>
          </w:p>
        </w:tc>
        <w:tc>
          <w:tcPr>
            <w:tcW w:type="dxa" w:w="1417"/>
            <w:shd w:fill="1F4D38"/>
          </w:tcPr>
          <w:p>
            <w:pPr>
              <w:jc w:val="right"/>
            </w:pPr>
            <w:r>
              <w:rPr>
                <w:b/>
                <w:color w:val="FFFFFF"/>
                <w:sz w:val="18"/>
              </w:rPr>
              <w:t>Avant</w:t>
            </w:r>
          </w:p>
        </w:tc>
        <w:tc>
          <w:tcPr>
            <w:tcW w:type="dxa" w:w="1417"/>
            <w:shd w:fill="1F4D38"/>
          </w:tcPr>
          <w:p>
            <w:pPr>
              <w:jc w:val="right"/>
            </w:pPr>
            <w:r>
              <w:rPr>
                <w:b/>
                <w:color w:val="FFFFFF"/>
                <w:sz w:val="18"/>
              </w:rPr>
              <w:t>Après</w:t>
            </w:r>
          </w:p>
        </w:tc>
      </w:tr>
      <w:tr>
        <w:tc>
          <w:tcPr>
            <w:tcW w:type="dxa" w:w="6236"/>
          </w:tcPr>
          <w:p>
            <w:pPr>
              <w:jc w:val="left"/>
            </w:pPr>
            <w:r>
              <w:rPr>
                <w:b w:val="0"/>
                <w:color w:val="1C2A20"/>
                <w:sz w:val="19"/>
              </w:rPr>
              <w:t>Anomalies de référence sur les transferts (2 152 paires vérifiées)</w:t>
            </w:r>
          </w:p>
        </w:tc>
        <w:tc>
          <w:tcPr>
            <w:tcW w:type="dxa" w:w="1417"/>
          </w:tcPr>
          <w:p>
            <w:pPr>
              <w:jc w:val="right"/>
            </w:pPr>
            <w:r>
              <w:rPr>
                <w:b w:val="0"/>
                <w:color w:val="1C2A20"/>
                <w:sz w:val="19"/>
              </w:rPr>
              <w:t>301</w:t>
            </w:r>
          </w:p>
        </w:tc>
        <w:tc>
          <w:tcPr>
            <w:tcW w:type="dxa" w:w="1417"/>
          </w:tcPr>
          <w:p>
            <w:pPr>
              <w:jc w:val="right"/>
            </w:pPr>
            <w:r>
              <w:rPr>
                <w:b w:val="0"/>
                <w:color w:val="1C2A20"/>
                <w:sz w:val="19"/>
              </w:rPr>
              <w:t>23</w:t>
            </w:r>
          </w:p>
        </w:tc>
      </w:tr>
      <w:tr>
        <w:tc>
          <w:tcPr>
            <w:tcW w:type="dxa" w:w="6236"/>
          </w:tcPr>
          <w:p>
            <w:pPr>
              <w:jc w:val="left"/>
            </w:pPr>
            <w:r>
              <w:rPr>
                <w:b w:val="0"/>
                <w:color w:val="1C2A20"/>
                <w:sz w:val="19"/>
              </w:rPr>
              <w:t>Anomalies de nom (coquilles de saisie préexistantes)</w:t>
            </w:r>
          </w:p>
        </w:tc>
        <w:tc>
          <w:tcPr>
            <w:tcW w:type="dxa" w:w="1417"/>
          </w:tcPr>
          <w:p>
            <w:pPr>
              <w:jc w:val="right"/>
            </w:pPr>
            <w:r>
              <w:rPr>
                <w:b w:val="0"/>
                <w:color w:val="1C2A20"/>
                <w:sz w:val="19"/>
              </w:rPr>
              <w:t>25</w:t>
            </w:r>
          </w:p>
        </w:tc>
        <w:tc>
          <w:tcPr>
            <w:tcW w:type="dxa" w:w="1417"/>
          </w:tcPr>
          <w:p>
            <w:pPr>
              <w:jc w:val="right"/>
            </w:pPr>
            <w:r>
              <w:rPr>
                <w:b w:val="0"/>
                <w:color w:val="1C2A20"/>
                <w:sz w:val="19"/>
              </w:rPr>
              <w:t>25</w:t>
            </w:r>
          </w:p>
        </w:tc>
      </w:tr>
      <w:tr>
        <w:tc>
          <w:tcPr>
            <w:tcW w:type="dxa" w:w="6236"/>
          </w:tcPr>
          <w:p>
            <w:pPr>
              <w:jc w:val="left"/>
            </w:pPr>
            <w:r>
              <w:rPr>
                <w:b w:val="0"/>
                <w:color w:val="1C2A20"/>
                <w:sz w:val="19"/>
              </w:rPr>
              <w:t>Fiches avec variantes dupliquées (casse/espace)</w:t>
            </w:r>
          </w:p>
        </w:tc>
        <w:tc>
          <w:tcPr>
            <w:tcW w:type="dxa" w:w="1417"/>
          </w:tcPr>
          <w:p>
            <w:pPr>
              <w:jc w:val="right"/>
            </w:pPr>
            <w:r>
              <w:rPr>
                <w:b w:val="0"/>
                <w:color w:val="1C2A20"/>
                <w:sz w:val="19"/>
              </w:rPr>
              <w:t>21</w:t>
            </w:r>
          </w:p>
        </w:tc>
        <w:tc>
          <w:tcPr>
            <w:tcW w:type="dxa" w:w="1417"/>
          </w:tcPr>
          <w:p>
            <w:pPr>
              <w:jc w:val="right"/>
            </w:pPr>
            <w:r>
              <w:rPr>
                <w:b w:val="0"/>
                <w:color w:val="1C2A20"/>
                <w:sz w:val="19"/>
              </w:rPr>
              <w:t>1</w:t>
            </w:r>
          </w:p>
        </w:tc>
      </w:tr>
      <w:tr>
        <w:tc>
          <w:tcPr>
            <w:tcW w:type="dxa" w:w="6236"/>
          </w:tcPr>
          <w:p>
            <w:pPr>
              <w:jc w:val="left"/>
            </w:pPr>
            <w:r>
              <w:rPr>
                <w:b w:val="0"/>
                <w:color w:val="1C2A20"/>
                <w:sz w:val="19"/>
              </w:rPr>
              <w:t>Fiches avec incohérence de stock interne</w:t>
            </w:r>
          </w:p>
        </w:tc>
        <w:tc>
          <w:tcPr>
            <w:tcW w:type="dxa" w:w="1417"/>
          </w:tcPr>
          <w:p>
            <w:pPr>
              <w:jc w:val="right"/>
            </w:pPr>
            <w:r>
              <w:rPr>
                <w:b w:val="0"/>
                <w:color w:val="1C2A20"/>
                <w:sz w:val="19"/>
              </w:rPr>
              <w:t>0</w:t>
            </w:r>
          </w:p>
        </w:tc>
        <w:tc>
          <w:tcPr>
            <w:tcW w:type="dxa" w:w="1417"/>
          </w:tcPr>
          <w:p>
            <w:pPr>
              <w:jc w:val="right"/>
            </w:pPr>
            <w:r>
              <w:rPr>
                <w:b w:val="0"/>
                <w:color w:val="1C2A20"/>
                <w:sz w:val="19"/>
              </w:rPr>
              <w:t>0</w:t>
            </w:r>
          </w:p>
        </w:tc>
      </w:tr>
      <w:tr>
        <w:tc>
          <w:tcPr>
            <w:tcW w:type="dxa" w:w="6236"/>
          </w:tcPr>
          <w:p>
            <w:pPr>
              <w:jc w:val="left"/>
            </w:pPr>
            <w:r>
              <w:rPr>
                <w:b w:val="0"/>
                <w:color w:val="1C2A20"/>
                <w:sz w:val="19"/>
              </w:rPr>
              <w:t>Écart de conservation du stock sur tous les transferts</w:t>
            </w:r>
          </w:p>
        </w:tc>
        <w:tc>
          <w:tcPr>
            <w:tcW w:type="dxa" w:w="1417"/>
          </w:tcPr>
          <w:p>
            <w:pPr>
              <w:jc w:val="right"/>
            </w:pPr>
            <w:r>
              <w:rPr>
                <w:b w:val="0"/>
                <w:color w:val="1C2A20"/>
                <w:sz w:val="19"/>
              </w:rPr>
              <w:t>0</w:t>
            </w:r>
          </w:p>
        </w:tc>
        <w:tc>
          <w:tcPr>
            <w:tcW w:type="dxa" w:w="1417"/>
          </w:tcPr>
          <w:p>
            <w:pPr>
              <w:jc w:val="right"/>
            </w:pPr>
            <w:r>
              <w:rPr>
                <w:b w:val="0"/>
                <w:color w:val="1C2A20"/>
                <w:sz w:val="19"/>
              </w:rPr>
              <w:t>0</w:t>
            </w:r>
          </w:p>
        </w:tc>
      </w:tr>
    </w:tbl>
    <w:p>
      <w:pPr>
        <w:spacing w:after="40"/>
      </w:pPr>
    </w:p>
    <w:p>
      <w:pPr>
        <w:spacing w:after="160"/>
      </w:pPr>
      <w:r>
        <w:rPr>
          <w:i/>
          <w:color w:val="4D5C4F"/>
          <w:sz w:val="19"/>
        </w:rPr>
        <w:t>Les 23 anomalies de référence restantes et les 25 anomalies de nom sont des coquilles de saisie préexistantes (ex. « Ensemble Pentalon » au lieu de « Ensemble Pantalon ») avec description identique de part et d'autre — elles ne traduisent aucun mélange de stock et n'ont pas été « corrigées » pour ne pas modifier une saisie que vous seul pouvez juger volontaire ou non.</w:t>
      </w:r>
    </w:p>
    <w:p>
      <w:pPr>
        <w:keepNext/>
        <w:spacing w:before="440" w:after="160"/>
        <w:pBdr>
          <w:bottom w:val="single" w:sz="6" w:space="4" w:color="CDD8C3"/>
        </w:pBdr>
      </w:pPr>
      <w:r>
        <w:rPr>
          <w:b/>
          <w:color w:val="1F4D38"/>
          <w:sz w:val="22"/>
        </w:rPr>
        <w:t xml:space="preserve">05   </w:t>
      </w:r>
      <w:r>
        <w:rPr>
          <w:b/>
          <w:color w:val="1C2A20"/>
          <w:sz w:val="30"/>
        </w:rPr>
        <w:t>Ce qu'il reste à faire</w:t>
      </w:r>
    </w:p>
    <w:p>
      <w:pPr>
        <w:keepNext/>
        <w:spacing w:before="240" w:after="40"/>
      </w:pPr>
      <w:r>
        <w:rPr>
          <w:color w:val="7C8A7D"/>
          <w:sz w:val="18"/>
        </w:rPr>
        <w:t xml:space="preserve">P11  </w:t>
      </w:r>
      <w:r>
        <w:rPr>
          <w:b/>
          <w:color w:val="1C2A20"/>
          <w:sz w:val="24"/>
        </w:rPr>
        <w:t>61 groupes de fiches au nom identique (223 fiches)</w:t>
      </w:r>
    </w:p>
    <w:p>
      <w:pPr>
        <w:keepNext/>
        <w:spacing w:after="120"/>
      </w:pPr>
      <w:r>
        <w:rPr>
          <w:b/>
          <w:color w:val="8A6416"/>
          <w:sz w:val="16"/>
        </w:rPr>
        <w:t>À DÉCIDER</w:t>
      </w:r>
    </w:p>
    <w:p>
      <w:pPr>
        <w:spacing w:after="120"/>
      </w:pPr>
      <w:r>
        <w:rPr>
          <w:color w:val="4D5C4F"/>
          <w:sz w:val="21"/>
        </w:rPr>
        <w:t>Deux origines bien distinctes se mélangent dans ce chiffre.</w:t>
      </w:r>
    </w:p>
    <w:p>
      <w:pPr>
        <w:spacing w:after="120"/>
      </w:pPr>
      <w:r>
        <w:rPr>
          <w:color w:val="4D5C4F"/>
          <w:sz w:val="21"/>
        </w:rPr>
        <w:t>Le premier groupe (Stock Local) est un candidat à la fusion. Le second n'a pas besoin d'être fusionné — il a besoin d'une description propre à chaque référence pour rester lisible.</w:t>
      </w:r>
    </w:p>
    <w:p>
      <w:pPr>
        <w:spacing w:after="80"/>
        <w:ind w:left="170"/>
      </w:pPr>
      <w:r>
        <w:rPr>
          <w:b/>
          <w:color w:val="1C2A20"/>
          <w:sz w:val="19"/>
        </w:rPr>
        <w:t xml:space="preserve">Doublons probables — </w:t>
      </w:r>
      <w:r>
        <w:rPr>
          <w:color w:val="4D5C4F"/>
          <w:sz w:val="19"/>
        </w:rPr>
        <w:t>25 groupes au Stock Local (magasin 1), très probablement issus d'une saisie répétée du même article plutôt que d'un bug de transfert. Exemple : « Chaussure Adulte » y existe sous 11 fiches distinctes, « Chaussure Enfant » sous 10.</w:t>
      </w:r>
    </w:p>
    <w:p>
      <w:pPr>
        <w:spacing w:after="80"/>
        <w:ind w:left="170"/>
      </w:pPr>
      <w:r>
        <w:rPr>
          <w:b/>
          <w:color w:val="1C2A20"/>
          <w:sz w:val="19"/>
        </w:rPr>
        <w:t xml:space="preserve">Effet de bord attendu — </w:t>
      </w:r>
      <w:r>
        <w:rPr>
          <w:color w:val="4D5C4F"/>
          <w:sz w:val="19"/>
        </w:rPr>
        <w:t>36 groupes apparus dans les magasins 15 et 16, directement issus de la séparation correcte du stock lors de la reconstruction : ces fiches sont désormais correctement distinguées par leur référence, mais partagent encore un nom générique et une description vide. Exemple le plus marquant : « Parfum » au magasin 15 regroupe 12 fiches de références différentes ; « Brume » au même magasin en compte 6.</w:t>
      </w:r>
    </w:p>
    <w:p>
      <w:pPr>
        <w:spacing w:after="80"/>
        <w:ind w:left="170"/>
      </w:pPr>
      <w:r>
        <w:rPr>
          <w:b/>
          <w:color w:val="1C2A20"/>
          <w:sz w:val="19"/>
        </w:rPr>
        <w:t xml:space="preserve">Proposition — </w:t>
      </w:r>
      <w:r>
        <w:rPr>
          <w:color w:val="4D5C4F"/>
          <w:sz w:val="19"/>
        </w:rPr>
        <w:t>Montrer le détail complet des 25 groupes du Stock Local avant toute fusion, comme pour les corrections précédentes.</w:t>
      </w:r>
    </w:p>
    <w:p>
      <w:pPr>
        <w:keepNext/>
        <w:spacing w:before="240" w:after="40"/>
      </w:pPr>
      <w:r>
        <w:rPr>
          <w:color w:val="7C8A7D"/>
          <w:sz w:val="18"/>
        </w:rPr>
        <w:t xml:space="preserve">P12  </w:t>
      </w:r>
      <w:r>
        <w:rPr>
          <w:b/>
          <w:color w:val="1C2A20"/>
          <w:sz w:val="24"/>
        </w:rPr>
        <w:t>Un doublon de variante recréé pendant la reconstruction</w:t>
      </w:r>
    </w:p>
    <w:p>
      <w:pPr>
        <w:keepNext/>
        <w:spacing w:after="120"/>
      </w:pPr>
      <w:r>
        <w:rPr>
          <w:b/>
          <w:color w:val="9A3324"/>
          <w:sz w:val="16"/>
        </w:rPr>
        <w:t>BLOQUÉ — PERMISSION REQUISE</w:t>
      </w:r>
    </w:p>
    <w:p>
      <w:pPr>
        <w:spacing w:after="120"/>
      </w:pPr>
      <w:r>
        <w:rPr>
          <w:color w:val="4D5C4F"/>
          <w:sz w:val="21"/>
        </w:rPr>
        <w:t>Le contrôle final a révélé que la fiche « Body MC » (magasin 15) porte encore deux lignes pour la même couleur : « Blanc » (5 unités) et « BLANC » (1 unité). Cette fiche faisait partie des 26 reconstruites, et le script de reconstruction n'appliquait pas la comparaison insensible à la casse à ce moment précis du calcul.</w:t>
      </w:r>
    </w:p>
    <w:p>
      <w:pPr>
        <w:spacing w:after="80"/>
        <w:ind w:left="170"/>
      </w:pPr>
      <w:r>
        <w:rPr>
          <w:b/>
          <w:color w:val="1C2A20"/>
          <w:sz w:val="19"/>
        </w:rPr>
        <w:t xml:space="preserve">Correction proposée — </w:t>
      </w:r>
      <w:r>
        <w:rPr>
          <w:color w:val="4D5C4F"/>
          <w:sz w:val="19"/>
        </w:rPr>
        <w:t>Fusionner les deux lignes en une seule de 6 unités. La correction est prête et vérifiée en simulation, mais son application a été bloquée par une restriction système de cette session — elle nécessite une autorisation explicite pour s'exécuter.</w:t>
      </w:r>
    </w:p>
    <w:p>
      <w:pPr>
        <w:keepNext/>
        <w:spacing w:before="240" w:after="40"/>
      </w:pPr>
      <w:r>
        <w:rPr>
          <w:color w:val="7C8A7D"/>
          <w:sz w:val="18"/>
        </w:rPr>
        <w:t xml:space="preserve">P13  </w:t>
      </w:r>
      <w:r>
        <w:rPr>
          <w:b/>
          <w:color w:val="1C2A20"/>
          <w:sz w:val="24"/>
        </w:rPr>
        <w:t>Validation finale de l'assistant Ollama</w:t>
      </w:r>
    </w:p>
    <w:p>
      <w:pPr>
        <w:keepNext/>
        <w:spacing w:after="120"/>
      </w:pPr>
      <w:r>
        <w:rPr>
          <w:b/>
          <w:color w:val="8A6416"/>
          <w:sz w:val="16"/>
        </w:rPr>
        <w:t>EN COURS</w:t>
      </w:r>
    </w:p>
    <w:p>
      <w:pPr>
        <w:spacing w:after="120"/>
      </w:pPr>
      <w:r>
        <w:rPr>
          <w:color w:val="4D5C4F"/>
          <w:sz w:val="21"/>
        </w:rPr>
        <w:t>La configuration réseau est corrigée mais le temps de réponse réel du modèle sur ce serveur (CPU uniquement) doit encore être mesuré pour ajuster les délais d'attente, et les scénarios de correspondance produit doivent être validés en conditions réelles.</w:t>
      </w:r>
    </w:p>
    <w:p>
      <w:pPr>
        <w:keepNext/>
        <w:spacing w:before="440" w:after="160"/>
        <w:pBdr>
          <w:bottom w:val="single" w:sz="6" w:space="4" w:color="CDD8C3"/>
        </w:pBdr>
      </w:pPr>
      <w:r>
        <w:rPr>
          <w:b/>
          <w:color w:val="1F4D38"/>
          <w:sz w:val="22"/>
        </w:rPr>
        <w:t xml:space="preserve">06   </w:t>
      </w:r>
      <w:r>
        <w:rPr>
          <w:b/>
          <w:color w:val="1C2A20"/>
          <w:sz w:val="30"/>
        </w:rPr>
        <w:t>Précautions à prendre</w:t>
      </w:r>
    </w:p>
    <w:p>
      <w:pPr>
        <w:spacing w:after="200"/>
      </w:pPr>
      <w:r>
        <w:rPr>
          <w:i/>
          <w:color w:val="4D5C4F"/>
          <w:sz w:val="21"/>
        </w:rPr>
        <w:t>La cause racine de presque tous les problèmes ci-dessus est la même : deux fiches produit réellement différentes qui se ressemblent trop pour que le système (ou une personne) les distingue à coup sûr.</w:t>
      </w:r>
    </w:p>
    <w:p>
      <w:pPr>
        <w:spacing w:after="160"/>
        <w:ind w:left="227"/>
      </w:pPr>
      <w:r>
        <w:rPr>
          <w:b/>
          <w:color w:val="1F4D38"/>
        </w:rPr>
        <w:t xml:space="preserve">■  </w:t>
      </w:r>
      <w:r>
        <w:rPr>
          <w:b/>
          <w:color w:val="1C2A20"/>
          <w:sz w:val="20"/>
        </w:rPr>
        <w:t xml:space="preserve">Toujours renseigner une référence et une description propres à chaque produit — </w:t>
      </w:r>
      <w:r>
        <w:rPr>
          <w:color w:val="4D5C4F"/>
          <w:sz w:val="20"/>
        </w:rPr>
        <w:t>même approximatives, elles suffisent à empêcher deux articles différents de se confondre. Une fiche « sans description, sans référence » est la situation la plus à risque.</w:t>
      </w:r>
    </w:p>
    <w:p>
      <w:pPr>
        <w:spacing w:after="160"/>
        <w:ind w:left="227"/>
      </w:pPr>
      <w:r>
        <w:rPr>
          <w:b/>
          <w:color w:val="1F4D38"/>
        </w:rPr>
        <w:t xml:space="preserve">■  </w:t>
      </w:r>
      <w:r>
        <w:rPr>
          <w:b/>
          <w:color w:val="1C2A20"/>
          <w:sz w:val="20"/>
        </w:rPr>
        <w:t xml:space="preserve">Vérifier le nom de la fiche destination avant un transfert — </w:t>
      </w:r>
      <w:r>
        <w:rPr>
          <w:color w:val="4D5C4F"/>
          <w:sz w:val="20"/>
        </w:rPr>
        <w:t>si un article du même nom existe déjà dans le magasin cible, confirmer qu'il s'agit bien du même produit avant de valider.</w:t>
      </w:r>
    </w:p>
    <w:p>
      <w:pPr>
        <w:spacing w:after="160"/>
        <w:ind w:left="227"/>
      </w:pPr>
      <w:r>
        <w:rPr>
          <w:b/>
          <w:color w:val="1F4D38"/>
        </w:rPr>
        <w:t xml:space="preserve">■  </w:t>
      </w:r>
      <w:r>
        <w:rPr>
          <w:b/>
          <w:color w:val="1C2A20"/>
          <w:sz w:val="20"/>
        </w:rPr>
        <w:t xml:space="preserve">Ne jamais exposer Ollama sur toutes les interfaces réseau — </w:t>
      </w:r>
      <w:r>
        <w:rPr>
          <w:color w:val="4D5C4F"/>
          <w:sz w:val="20"/>
        </w:rPr>
        <w:t>le service doit rester joignable uniquement depuis les conteneurs internes du serveur, jamais depuis internet.</w:t>
      </w:r>
    </w:p>
    <w:p>
      <w:pPr>
        <w:spacing w:after="160"/>
        <w:ind w:left="227"/>
      </w:pPr>
      <w:r>
        <w:rPr>
          <w:b/>
          <w:color w:val="1F4D38"/>
        </w:rPr>
        <w:t xml:space="preserve">■  </w:t>
      </w:r>
      <w:r>
        <w:rPr>
          <w:b/>
          <w:color w:val="1C2A20"/>
          <w:sz w:val="20"/>
        </w:rPr>
        <w:t xml:space="preserve">Vérifier périodiquement les sauvegardes de la base de données — </w:t>
      </w:r>
      <w:r>
        <w:rPr>
          <w:color w:val="4D5C4F"/>
          <w:sz w:val="20"/>
        </w:rPr>
        <w:t>sauvegarde automatique nocturne en place (rétention 14 jours), à tester de temps en temps par une restauration à blanc.</w:t>
      </w:r>
    </w:p>
    <w:p>
      <w:pPr>
        <w:spacing w:after="160"/>
        <w:ind w:left="227"/>
      </w:pPr>
      <w:r>
        <w:rPr>
          <w:b/>
          <w:color w:val="8A6416"/>
        </w:rPr>
        <w:t xml:space="preserve">■  </w:t>
      </w:r>
      <w:r>
        <w:rPr>
          <w:b/>
          <w:color w:val="1C2A20"/>
          <w:sz w:val="20"/>
        </w:rPr>
        <w:t xml:space="preserve">Toute future correction de données historiques doit suivre la même méthode — </w:t>
      </w:r>
      <w:r>
        <w:rPr>
          <w:color w:val="4D5C4F"/>
          <w:sz w:val="20"/>
        </w:rPr>
        <w:t>simulation montrée avant application, aucune suppression, vérification de la conservation du stock total avant/après.</w:t>
      </w:r>
    </w:p>
    <w:p>
      <w:pPr>
        <w:spacing w:after="160"/>
        <w:ind w:left="227"/>
      </w:pPr>
      <w:r>
        <w:rPr>
          <w:b/>
          <w:color w:val="8A6416"/>
        </w:rPr>
        <w:t xml:space="preserve">■  </w:t>
      </w:r>
      <w:r>
        <w:rPr>
          <w:b/>
          <w:color w:val="1C2A20"/>
          <w:sz w:val="20"/>
        </w:rPr>
        <w:t xml:space="preserve">Traiter les 25 doublons du Stock Local avant qu'ils ne s'accumulent — </w:t>
      </w:r>
      <w:r>
        <w:rPr>
          <w:color w:val="4D5C4F"/>
          <w:sz w:val="20"/>
        </w:rPr>
        <w:t>plus une fiche en double reste active, plus elle risque de recevoir un transfert et de créer un nouveau mélange.</w:t>
      </w:r>
    </w:p>
    <w:p>
      <w:pPr>
        <w:spacing w:before="480"/>
      </w:pPr>
      <w:r>
        <w:rPr>
          <w:color w:val="7C8A7D"/>
          <w:sz w:val="17"/>
        </w:rPr>
        <w:t>Stock_v2 — Valheri Wear</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