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2C020A" w14:textId="4C9378F8" w:rsidR="00EA684A" w:rsidRPr="00EA684A" w:rsidRDefault="00EA684A" w:rsidP="00EA684A">
      <w:pPr>
        <w:jc w:val="center"/>
        <w:rPr>
          <w:b/>
          <w:bCs/>
        </w:rPr>
      </w:pPr>
      <w:r w:rsidRPr="00EA684A">
        <w:rPr>
          <w:b/>
          <w:bCs/>
        </w:rPr>
        <w:t>Sales Analysis &amp; Visualization Project Repor</w:t>
      </w:r>
      <w:r w:rsidRPr="00EA684A">
        <w:rPr>
          <w:b/>
          <w:bCs/>
        </w:rPr>
        <w:t>t</w:t>
      </w:r>
    </w:p>
    <w:p w14:paraId="71571917" w14:textId="77777777" w:rsidR="00EA684A" w:rsidRDefault="00EA684A" w:rsidP="00EA684A"/>
    <w:p w14:paraId="4F7B31C0" w14:textId="71357A1F" w:rsidR="00EA684A" w:rsidRPr="00EA684A" w:rsidRDefault="00EA684A" w:rsidP="00EA684A">
      <w:pPr>
        <w:rPr>
          <w:b/>
          <w:bCs/>
        </w:rPr>
      </w:pPr>
      <w:r w:rsidRPr="00EA684A">
        <w:rPr>
          <w:b/>
          <w:bCs/>
        </w:rPr>
        <w:t>Project Summary</w:t>
      </w:r>
      <w:r w:rsidRPr="00EA684A">
        <w:rPr>
          <w:b/>
          <w:bCs/>
        </w:rPr>
        <w:t>:</w:t>
      </w:r>
    </w:p>
    <w:p w14:paraId="4430840B" w14:textId="4FEEC3D9" w:rsidR="00EA684A" w:rsidRDefault="00EA684A" w:rsidP="00EA684A">
      <w:r>
        <w:t>The primary goal of this project was to analyze multi-year regional sales data using SQL and create an interactive dashboard in Power BI. This solution was designed to uncover patterns, seasonal trends, and growth opportunities across counties, quarters, and years.</w:t>
      </w:r>
    </w:p>
    <w:p w14:paraId="1446660D" w14:textId="77777777" w:rsidR="00EA684A" w:rsidRDefault="00EA684A" w:rsidP="00EA684A"/>
    <w:p w14:paraId="389C0E63" w14:textId="1FB95C2D" w:rsidR="00EA684A" w:rsidRDefault="00EA684A" w:rsidP="00EA684A">
      <w:r>
        <w:t>I</w:t>
      </w:r>
      <w:r>
        <w:t xml:space="preserve"> started with a raw dataset containing sales by county, quarter, and year. Using SQL,</w:t>
      </w:r>
      <w:r>
        <w:t xml:space="preserve"> I</w:t>
      </w:r>
      <w:r>
        <w:t xml:space="preserve"> transformed this data into key analytical views. These were imported into Power BI to create an interactive and professional-grade dashboard.</w:t>
      </w:r>
    </w:p>
    <w:p w14:paraId="79059DED" w14:textId="77777777" w:rsidR="00EA684A" w:rsidRDefault="00EA684A" w:rsidP="00EA684A"/>
    <w:p w14:paraId="55E0AD3A" w14:textId="7DEFFD9E" w:rsidR="00EA684A" w:rsidRPr="00EA684A" w:rsidRDefault="00EA684A" w:rsidP="00EA684A">
      <w:pPr>
        <w:rPr>
          <w:b/>
          <w:bCs/>
        </w:rPr>
      </w:pPr>
      <w:r w:rsidRPr="00EA684A">
        <w:rPr>
          <w:b/>
          <w:bCs/>
        </w:rPr>
        <w:t>Methodology</w:t>
      </w:r>
      <w:r w:rsidRPr="00EA684A">
        <w:rPr>
          <w:b/>
          <w:bCs/>
        </w:rPr>
        <w:t>:</w:t>
      </w:r>
    </w:p>
    <w:p w14:paraId="05D3457B" w14:textId="34C6C7D3" w:rsidR="00EA684A" w:rsidRDefault="00EA684A" w:rsidP="00EA684A">
      <w:r>
        <w:t>1. Data Source &amp; Structure</w:t>
      </w:r>
      <w:r>
        <w:t>-</w:t>
      </w:r>
    </w:p>
    <w:p w14:paraId="1F17BCD9" w14:textId="2F6A39C2" w:rsidR="00EA684A" w:rsidRDefault="00EA684A" w:rsidP="00EA684A">
      <w:pPr>
        <w:ind w:firstLine="720"/>
      </w:pPr>
      <w:r w:rsidRPr="00EA684A">
        <w:rPr>
          <w:u w:val="single"/>
        </w:rPr>
        <w:t>SQL table:</w:t>
      </w:r>
      <w:r>
        <w:t xml:space="preserve"> </w:t>
      </w:r>
      <w:proofErr w:type="spellStart"/>
      <w:r>
        <w:t>Colorado_vehicle</w:t>
      </w:r>
      <w:r>
        <w:t>_</w:t>
      </w:r>
      <w:r>
        <w:t>sales</w:t>
      </w:r>
      <w:proofErr w:type="spellEnd"/>
    </w:p>
    <w:p w14:paraId="68ED86B3" w14:textId="4BBD90BC" w:rsidR="00EA684A" w:rsidRDefault="00EA684A" w:rsidP="00EA684A">
      <w:pPr>
        <w:ind w:firstLine="720"/>
      </w:pPr>
      <w:r w:rsidRPr="00EA684A">
        <w:rPr>
          <w:u w:val="single"/>
        </w:rPr>
        <w:t>Key columns:</w:t>
      </w:r>
      <w:r>
        <w:t xml:space="preserve"> year, quarte</w:t>
      </w:r>
      <w:r>
        <w:t>r</w:t>
      </w:r>
      <w:r>
        <w:t>, county, sales</w:t>
      </w:r>
    </w:p>
    <w:p w14:paraId="7B556A99" w14:textId="551FBCD7" w:rsidR="00EA684A" w:rsidRDefault="00EA684A" w:rsidP="00EA684A">
      <w:r>
        <w:t>2. SQL Data Preparation</w:t>
      </w:r>
      <w:r>
        <w:t>-</w:t>
      </w:r>
    </w:p>
    <w:tbl>
      <w:tblPr>
        <w:tblStyle w:val="TableGrid"/>
        <w:tblpPr w:leftFromText="180" w:rightFromText="180" w:vertAnchor="text" w:horzAnchor="page" w:tblpX="2007" w:tblpY="417"/>
        <w:tblW w:w="0" w:type="auto"/>
        <w:tblLook w:val="04A0" w:firstRow="1" w:lastRow="0" w:firstColumn="1" w:lastColumn="0" w:noHBand="0" w:noVBand="1"/>
      </w:tblPr>
      <w:tblGrid>
        <w:gridCol w:w="4675"/>
        <w:gridCol w:w="4675"/>
      </w:tblGrid>
      <w:tr w:rsidR="00EA684A" w14:paraId="2A8EC13A" w14:textId="77777777" w:rsidTr="00EA684A">
        <w:tc>
          <w:tcPr>
            <w:tcW w:w="4675" w:type="dxa"/>
          </w:tcPr>
          <w:p w14:paraId="7CBE8C21" w14:textId="77777777" w:rsidR="00EA684A" w:rsidRDefault="00EA684A" w:rsidP="00EA684A">
            <w:r>
              <w:t xml:space="preserve">Query Name                </w:t>
            </w:r>
          </w:p>
        </w:tc>
        <w:tc>
          <w:tcPr>
            <w:tcW w:w="4675" w:type="dxa"/>
          </w:tcPr>
          <w:p w14:paraId="3512BAA3" w14:textId="77777777" w:rsidR="00EA684A" w:rsidRDefault="00EA684A" w:rsidP="00EA684A">
            <w:r>
              <w:t>Description</w:t>
            </w:r>
          </w:p>
        </w:tc>
      </w:tr>
      <w:tr w:rsidR="00EA684A" w14:paraId="3A48C865" w14:textId="77777777" w:rsidTr="00EA684A">
        <w:tc>
          <w:tcPr>
            <w:tcW w:w="4675" w:type="dxa"/>
          </w:tcPr>
          <w:p w14:paraId="4197A8E2" w14:textId="77777777" w:rsidR="00EA684A" w:rsidRDefault="00EA684A" w:rsidP="00EA684A">
            <w:r>
              <w:t xml:space="preserve">Total Sales by County     </w:t>
            </w:r>
          </w:p>
        </w:tc>
        <w:tc>
          <w:tcPr>
            <w:tcW w:w="4675" w:type="dxa"/>
          </w:tcPr>
          <w:p w14:paraId="7236C5A2" w14:textId="77777777" w:rsidR="00EA684A" w:rsidRDefault="00EA684A" w:rsidP="00EA684A">
            <w:r>
              <w:t xml:space="preserve">Aggregates total sales across all years per county      </w:t>
            </w:r>
          </w:p>
        </w:tc>
      </w:tr>
      <w:tr w:rsidR="00EA684A" w14:paraId="6CA0E97E" w14:textId="77777777" w:rsidTr="00EA684A">
        <w:tc>
          <w:tcPr>
            <w:tcW w:w="4675" w:type="dxa"/>
          </w:tcPr>
          <w:p w14:paraId="153C9DCA" w14:textId="77777777" w:rsidR="00EA684A" w:rsidRDefault="00EA684A" w:rsidP="00EA684A">
            <w:r>
              <w:t xml:space="preserve">Average Quarterly Sales   </w:t>
            </w:r>
          </w:p>
        </w:tc>
        <w:tc>
          <w:tcPr>
            <w:tcW w:w="4675" w:type="dxa"/>
          </w:tcPr>
          <w:p w14:paraId="517E12B7" w14:textId="77777777" w:rsidR="00EA684A" w:rsidRDefault="00EA684A" w:rsidP="00EA684A">
            <w:r>
              <w:t xml:space="preserve">Computes mean sales per quarter across all counties     </w:t>
            </w:r>
          </w:p>
        </w:tc>
      </w:tr>
      <w:tr w:rsidR="00EA684A" w14:paraId="77D0A167" w14:textId="77777777" w:rsidTr="00EA684A">
        <w:tc>
          <w:tcPr>
            <w:tcW w:w="4675" w:type="dxa"/>
          </w:tcPr>
          <w:p w14:paraId="742A8001" w14:textId="77777777" w:rsidR="00EA684A" w:rsidRDefault="00EA684A" w:rsidP="00EA684A">
            <w:r>
              <w:t xml:space="preserve">Yearly Trends by County   </w:t>
            </w:r>
          </w:p>
        </w:tc>
        <w:tc>
          <w:tcPr>
            <w:tcW w:w="4675" w:type="dxa"/>
          </w:tcPr>
          <w:p w14:paraId="1D7DA286" w14:textId="77777777" w:rsidR="00EA684A" w:rsidRDefault="00EA684A" w:rsidP="00EA684A">
            <w:r>
              <w:t xml:space="preserve">Tracks yearly sales performance for each county         </w:t>
            </w:r>
          </w:p>
        </w:tc>
      </w:tr>
      <w:tr w:rsidR="00EA684A" w14:paraId="11EC845B" w14:textId="77777777" w:rsidTr="00EA684A">
        <w:tc>
          <w:tcPr>
            <w:tcW w:w="4675" w:type="dxa"/>
          </w:tcPr>
          <w:p w14:paraId="19CCEB80" w14:textId="77777777" w:rsidR="00EA684A" w:rsidRDefault="00EA684A" w:rsidP="00EA684A">
            <w:r>
              <w:t xml:space="preserve">Year-over-Year Growth     </w:t>
            </w:r>
          </w:p>
        </w:tc>
        <w:tc>
          <w:tcPr>
            <w:tcW w:w="4675" w:type="dxa"/>
          </w:tcPr>
          <w:p w14:paraId="6573435F" w14:textId="77777777" w:rsidR="00EA684A" w:rsidRDefault="00EA684A" w:rsidP="00EA684A">
            <w:r>
              <w:t>Calculates percentage increase/decrease in yearly sales</w:t>
            </w:r>
          </w:p>
        </w:tc>
      </w:tr>
      <w:tr w:rsidR="00EA684A" w14:paraId="32EBDC9C" w14:textId="77777777" w:rsidTr="00EA684A">
        <w:tc>
          <w:tcPr>
            <w:tcW w:w="4675" w:type="dxa"/>
          </w:tcPr>
          <w:p w14:paraId="399E5FAA" w14:textId="77777777" w:rsidR="00EA684A" w:rsidRDefault="00EA684A" w:rsidP="00EA684A">
            <w:r>
              <w:t>Quarterly Sales Breakdown</w:t>
            </w:r>
          </w:p>
        </w:tc>
        <w:tc>
          <w:tcPr>
            <w:tcW w:w="4675" w:type="dxa"/>
          </w:tcPr>
          <w:p w14:paraId="0BC8D6FA" w14:textId="77777777" w:rsidR="00EA684A" w:rsidRDefault="00EA684A" w:rsidP="00EA684A">
            <w:r>
              <w:t xml:space="preserve">Pivoted view of sales by quarter across multiple years  </w:t>
            </w:r>
          </w:p>
        </w:tc>
      </w:tr>
    </w:tbl>
    <w:p w14:paraId="4753A838" w14:textId="1D7B1175" w:rsidR="00EA684A" w:rsidRDefault="00EA684A" w:rsidP="00EA684A">
      <w:pPr>
        <w:ind w:firstLine="720"/>
      </w:pPr>
      <w:r>
        <w:t xml:space="preserve"> </w:t>
      </w:r>
      <w:r>
        <w:t>Five main queries were created to structure the data for analysis:</w:t>
      </w:r>
    </w:p>
    <w:p w14:paraId="1E166418" w14:textId="77777777" w:rsidR="00EA684A" w:rsidRDefault="00EA684A" w:rsidP="00EA684A"/>
    <w:p w14:paraId="5C0AA61D" w14:textId="1559859B" w:rsidR="00EA684A" w:rsidRDefault="00EA684A" w:rsidP="00EA684A">
      <w:pPr>
        <w:ind w:firstLine="720"/>
      </w:pPr>
      <w:r>
        <w:t>Each result set was saved as a separate table for easy import into Power BI.</w:t>
      </w:r>
    </w:p>
    <w:p w14:paraId="1F93859F" w14:textId="77777777" w:rsidR="00EA684A" w:rsidRDefault="00EA684A" w:rsidP="00EA684A"/>
    <w:p w14:paraId="7979EB7E" w14:textId="638F479F" w:rsidR="00EA684A" w:rsidRDefault="00EA684A" w:rsidP="00EA684A">
      <w:r>
        <w:t>3.</w:t>
      </w:r>
      <w:r>
        <w:t xml:space="preserve"> </w:t>
      </w:r>
      <w:r>
        <w:t>Power BI Visualization Design</w:t>
      </w:r>
      <w:r>
        <w:t>-</w:t>
      </w:r>
    </w:p>
    <w:p w14:paraId="4C6480C6" w14:textId="23037067" w:rsidR="00EA684A" w:rsidRDefault="00EA684A" w:rsidP="00EA684A">
      <w:pPr>
        <w:ind w:firstLine="720"/>
      </w:pPr>
      <w:r>
        <w:t>Visual Elements Used:</w:t>
      </w:r>
    </w:p>
    <w:p w14:paraId="46AD0339" w14:textId="7E8872B8" w:rsidR="00EA684A" w:rsidRDefault="00EA684A" w:rsidP="00EA684A">
      <w:pPr>
        <w:pStyle w:val="ListParagraph"/>
        <w:numPr>
          <w:ilvl w:val="0"/>
          <w:numId w:val="1"/>
        </w:numPr>
      </w:pPr>
      <w:r>
        <w:lastRenderedPageBreak/>
        <w:t>Bar Charts – County comparisons by total sales and YoY growth</w:t>
      </w:r>
    </w:p>
    <w:p w14:paraId="76616CA2" w14:textId="24141D58" w:rsidR="00EA684A" w:rsidRDefault="00EA684A" w:rsidP="00EA684A">
      <w:pPr>
        <w:pStyle w:val="ListParagraph"/>
        <w:numPr>
          <w:ilvl w:val="0"/>
          <w:numId w:val="1"/>
        </w:numPr>
      </w:pPr>
      <w:r>
        <w:t>Line Charts – Trendlines showing seasonal and annual performance</w:t>
      </w:r>
    </w:p>
    <w:p w14:paraId="12917545" w14:textId="3853DA19" w:rsidR="00EA684A" w:rsidRDefault="00EA684A" w:rsidP="00EA684A">
      <w:pPr>
        <w:pStyle w:val="ListParagraph"/>
        <w:numPr>
          <w:ilvl w:val="0"/>
          <w:numId w:val="1"/>
        </w:numPr>
      </w:pPr>
      <w:r>
        <w:t>Matrix Tables – Detailed quarter-by-year breakdowns</w:t>
      </w:r>
    </w:p>
    <w:p w14:paraId="714C99A0" w14:textId="7DCC4D60" w:rsidR="00EA684A" w:rsidRDefault="00EA684A" w:rsidP="00EA684A">
      <w:pPr>
        <w:pStyle w:val="ListParagraph"/>
        <w:numPr>
          <w:ilvl w:val="0"/>
          <w:numId w:val="1"/>
        </w:numPr>
      </w:pPr>
      <w:r>
        <w:t>Slicers – Filter by year, quarter, and county</w:t>
      </w:r>
    </w:p>
    <w:p w14:paraId="22AE8CDB" w14:textId="6181FE51" w:rsidR="00EA684A" w:rsidRDefault="00EA684A" w:rsidP="00EA684A">
      <w:pPr>
        <w:pStyle w:val="ListParagraph"/>
        <w:numPr>
          <w:ilvl w:val="0"/>
          <w:numId w:val="1"/>
        </w:numPr>
      </w:pPr>
      <w:r>
        <w:t>Maps (Optional) – Visualize sales by region</w:t>
      </w:r>
    </w:p>
    <w:p w14:paraId="1D5E7F75" w14:textId="77777777" w:rsidR="00EA684A" w:rsidRDefault="00EA684A" w:rsidP="00EA684A"/>
    <w:p w14:paraId="4D4C736F" w14:textId="4D030FAC" w:rsidR="00EA684A" w:rsidRDefault="00EA684A" w:rsidP="00EA684A">
      <w:pPr>
        <w:ind w:firstLine="720"/>
      </w:pPr>
      <w:r>
        <w:t>Dashboard Design Focus:</w:t>
      </w:r>
    </w:p>
    <w:p w14:paraId="46465B19" w14:textId="1CC01B52" w:rsidR="00EA684A" w:rsidRDefault="00EA684A" w:rsidP="00EA684A">
      <w:pPr>
        <w:pStyle w:val="ListParagraph"/>
        <w:numPr>
          <w:ilvl w:val="0"/>
          <w:numId w:val="2"/>
        </w:numPr>
      </w:pPr>
      <w:r>
        <w:t>Clean layout, uniform color palette</w:t>
      </w:r>
    </w:p>
    <w:p w14:paraId="1421B5DC" w14:textId="7CFFFFC5" w:rsidR="00EA684A" w:rsidRDefault="00EA684A" w:rsidP="00EA684A">
      <w:pPr>
        <w:pStyle w:val="ListParagraph"/>
        <w:numPr>
          <w:ilvl w:val="0"/>
          <w:numId w:val="2"/>
        </w:numPr>
      </w:pPr>
      <w:r>
        <w:t>Clear titles and tooltips</w:t>
      </w:r>
    </w:p>
    <w:p w14:paraId="4ED0CC71" w14:textId="184695D6" w:rsidR="00EA684A" w:rsidRDefault="00EA684A" w:rsidP="00EA684A">
      <w:pPr>
        <w:pStyle w:val="ListParagraph"/>
        <w:numPr>
          <w:ilvl w:val="0"/>
          <w:numId w:val="2"/>
        </w:numPr>
      </w:pPr>
      <w:r>
        <w:t>Drill-down from yearly to quarterly data</w:t>
      </w:r>
    </w:p>
    <w:p w14:paraId="776CF3B8" w14:textId="77777777" w:rsidR="00EA684A" w:rsidRDefault="00EA684A" w:rsidP="00EA684A">
      <w:pPr>
        <w:pStyle w:val="ListParagraph"/>
        <w:ind w:left="1440"/>
      </w:pPr>
    </w:p>
    <w:p w14:paraId="3B3FE770" w14:textId="2A469084" w:rsidR="00EA684A" w:rsidRPr="00EA684A" w:rsidRDefault="00EA684A" w:rsidP="00EA684A">
      <w:pPr>
        <w:rPr>
          <w:b/>
          <w:bCs/>
        </w:rPr>
      </w:pPr>
      <w:r w:rsidRPr="00EA684A">
        <w:rPr>
          <w:b/>
          <w:bCs/>
        </w:rPr>
        <w:t>Project Goals: Predicted vs Achieved</w:t>
      </w:r>
    </w:p>
    <w:p w14:paraId="1D9E8C1B" w14:textId="77777777" w:rsidR="00EA684A" w:rsidRDefault="00EA684A" w:rsidP="00EA684A"/>
    <w:tbl>
      <w:tblPr>
        <w:tblStyle w:val="TableGrid"/>
        <w:tblW w:w="0" w:type="auto"/>
        <w:tblLook w:val="04A0" w:firstRow="1" w:lastRow="0" w:firstColumn="1" w:lastColumn="0" w:noHBand="0" w:noVBand="1"/>
      </w:tblPr>
      <w:tblGrid>
        <w:gridCol w:w="2337"/>
        <w:gridCol w:w="2337"/>
        <w:gridCol w:w="2338"/>
        <w:gridCol w:w="2338"/>
      </w:tblGrid>
      <w:tr w:rsidR="00EA684A" w14:paraId="3E9B0737" w14:textId="77777777" w:rsidTr="00EA684A">
        <w:tc>
          <w:tcPr>
            <w:tcW w:w="2337" w:type="dxa"/>
          </w:tcPr>
          <w:p w14:paraId="5C0A9CFA" w14:textId="57F5FC30" w:rsidR="00EA684A" w:rsidRPr="00EA684A" w:rsidRDefault="00EA684A" w:rsidP="00EA684A">
            <w:pPr>
              <w:rPr>
                <w:b/>
                <w:bCs/>
              </w:rPr>
            </w:pPr>
            <w:r w:rsidRPr="00EA684A">
              <w:rPr>
                <w:b/>
                <w:bCs/>
              </w:rPr>
              <w:t xml:space="preserve">Objective    </w:t>
            </w:r>
          </w:p>
        </w:tc>
        <w:tc>
          <w:tcPr>
            <w:tcW w:w="2337" w:type="dxa"/>
          </w:tcPr>
          <w:p w14:paraId="1E34F851" w14:textId="4498D837" w:rsidR="00EA684A" w:rsidRPr="00EA684A" w:rsidRDefault="00EA684A" w:rsidP="00EA684A">
            <w:pPr>
              <w:rPr>
                <w:b/>
                <w:bCs/>
              </w:rPr>
            </w:pPr>
            <w:r w:rsidRPr="00EA684A">
              <w:rPr>
                <w:b/>
                <w:bCs/>
              </w:rPr>
              <w:t>Goal</w:t>
            </w:r>
          </w:p>
        </w:tc>
        <w:tc>
          <w:tcPr>
            <w:tcW w:w="2338" w:type="dxa"/>
          </w:tcPr>
          <w:p w14:paraId="7126F891" w14:textId="7103E5AD" w:rsidR="00EA684A" w:rsidRPr="00EA684A" w:rsidRDefault="00EA684A" w:rsidP="00EA684A">
            <w:pPr>
              <w:rPr>
                <w:b/>
                <w:bCs/>
              </w:rPr>
            </w:pPr>
            <w:r w:rsidRPr="00EA684A">
              <w:rPr>
                <w:b/>
                <w:bCs/>
              </w:rPr>
              <w:t>Achieved</w:t>
            </w:r>
          </w:p>
        </w:tc>
        <w:tc>
          <w:tcPr>
            <w:tcW w:w="2338" w:type="dxa"/>
          </w:tcPr>
          <w:p w14:paraId="7F1AB4E7" w14:textId="50936F80" w:rsidR="00EA684A" w:rsidRPr="00EA684A" w:rsidRDefault="00EA684A" w:rsidP="00EA684A">
            <w:pPr>
              <w:rPr>
                <w:b/>
                <w:bCs/>
              </w:rPr>
            </w:pPr>
            <w:r w:rsidRPr="00EA684A">
              <w:rPr>
                <w:b/>
                <w:bCs/>
              </w:rPr>
              <w:t xml:space="preserve">Description  </w:t>
            </w:r>
          </w:p>
        </w:tc>
      </w:tr>
      <w:tr w:rsidR="00EA684A" w14:paraId="3A484CB6" w14:textId="77777777" w:rsidTr="00EA684A">
        <w:tc>
          <w:tcPr>
            <w:tcW w:w="2337" w:type="dxa"/>
          </w:tcPr>
          <w:p w14:paraId="5C70A837" w14:textId="3D97D9F6" w:rsidR="00EA684A" w:rsidRDefault="00EA684A" w:rsidP="00EA684A">
            <w:r>
              <w:t xml:space="preserve">Identify top-performing counties     </w:t>
            </w:r>
          </w:p>
        </w:tc>
        <w:tc>
          <w:tcPr>
            <w:tcW w:w="2337" w:type="dxa"/>
          </w:tcPr>
          <w:p w14:paraId="68F21AA6" w14:textId="0E1BB5CE" w:rsidR="00EA684A" w:rsidRDefault="00EA684A" w:rsidP="00EA684A"/>
        </w:tc>
        <w:tc>
          <w:tcPr>
            <w:tcW w:w="2338" w:type="dxa"/>
          </w:tcPr>
          <w:p w14:paraId="2AF535E3" w14:textId="1B56EF34" w:rsidR="00EA684A" w:rsidRDefault="00EA684A" w:rsidP="00EA684A"/>
        </w:tc>
        <w:tc>
          <w:tcPr>
            <w:tcW w:w="2338" w:type="dxa"/>
          </w:tcPr>
          <w:p w14:paraId="1C21084E" w14:textId="666F2134" w:rsidR="00EA684A" w:rsidRDefault="00EA684A" w:rsidP="00EA684A">
            <w:r>
              <w:t xml:space="preserve">Found via bar charts and total aggregates                </w:t>
            </w:r>
          </w:p>
        </w:tc>
      </w:tr>
      <w:tr w:rsidR="00EA684A" w14:paraId="29947FBE" w14:textId="77777777" w:rsidTr="00EA684A">
        <w:tc>
          <w:tcPr>
            <w:tcW w:w="2337" w:type="dxa"/>
          </w:tcPr>
          <w:p w14:paraId="02B3BAB0" w14:textId="6982A825" w:rsidR="00EA684A" w:rsidRDefault="00EA684A" w:rsidP="00EA684A">
            <w:r>
              <w:t>Understand seasonal/quarterly trends</w:t>
            </w:r>
          </w:p>
        </w:tc>
        <w:tc>
          <w:tcPr>
            <w:tcW w:w="2337" w:type="dxa"/>
          </w:tcPr>
          <w:p w14:paraId="440D99E0" w14:textId="1432ED0C" w:rsidR="00EA684A" w:rsidRDefault="00EA684A" w:rsidP="00EA684A">
            <w:r>
              <w:rPr>
                <w:noProof/>
              </w:rPr>
              <mc:AlternateContent>
                <mc:Choice Requires="wpi">
                  <w:drawing>
                    <wp:anchor distT="0" distB="0" distL="114300" distR="114300" simplePos="0" relativeHeight="251670528" behindDoc="0" locked="0" layoutInCell="1" allowOverlap="1" wp14:anchorId="421F44CA" wp14:editId="5E94B483">
                      <wp:simplePos x="0" y="0"/>
                      <wp:positionH relativeFrom="column">
                        <wp:posOffset>183515</wp:posOffset>
                      </wp:positionH>
                      <wp:positionV relativeFrom="paragraph">
                        <wp:posOffset>-431800</wp:posOffset>
                      </wp:positionV>
                      <wp:extent cx="635170" cy="2192470"/>
                      <wp:effectExtent l="38100" t="38100" r="38100" b="43180"/>
                      <wp:wrapNone/>
                      <wp:docPr id="1618157598" name="Ink 13"/>
                      <wp:cNvGraphicFramePr/>
                      <a:graphic xmlns:a="http://schemas.openxmlformats.org/drawingml/2006/main">
                        <a:graphicData uri="http://schemas.microsoft.com/office/word/2010/wordprocessingInk">
                          <w14:contentPart bwMode="auto" r:id="rId5">
                            <w14:nvContentPartPr>
                              <w14:cNvContentPartPr/>
                            </w14:nvContentPartPr>
                            <w14:xfrm>
                              <a:off x="0" y="0"/>
                              <a:ext cx="635170" cy="2192470"/>
                            </w14:xfrm>
                          </w14:contentPart>
                        </a:graphicData>
                      </a:graphic>
                    </wp:anchor>
                  </w:drawing>
                </mc:Choice>
                <mc:Fallback>
                  <w:pict>
                    <v:shapetype w14:anchorId="55DE1DE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13.95pt;margin-top:-34.5pt;width:51pt;height:173.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">
                      <v:imagedata r:id="rId6" o:title=""/>
                    </v:shape>
                  </w:pict>
                </mc:Fallback>
              </mc:AlternateContent>
            </w:r>
          </w:p>
        </w:tc>
        <w:tc>
          <w:tcPr>
            <w:tcW w:w="2338" w:type="dxa"/>
          </w:tcPr>
          <w:p w14:paraId="58D4F919" w14:textId="46F0600B" w:rsidR="00EA684A" w:rsidRDefault="00EA684A" w:rsidP="00EA684A"/>
        </w:tc>
        <w:tc>
          <w:tcPr>
            <w:tcW w:w="2338" w:type="dxa"/>
          </w:tcPr>
          <w:p w14:paraId="7D6512F0" w14:textId="05E962C0" w:rsidR="00EA684A" w:rsidRDefault="00EA684A" w:rsidP="00EA684A">
            <w:r w:rsidRPr="00EA684A">
              <w:t>Line charts and matrix views confirmed seasonal patterns</w:t>
            </w:r>
          </w:p>
        </w:tc>
      </w:tr>
      <w:tr w:rsidR="00EA684A" w14:paraId="0EAC4603" w14:textId="77777777" w:rsidTr="00EA684A">
        <w:tc>
          <w:tcPr>
            <w:tcW w:w="2337" w:type="dxa"/>
          </w:tcPr>
          <w:p w14:paraId="40F56DEC" w14:textId="481643F1" w:rsidR="00EA684A" w:rsidRDefault="00EA684A" w:rsidP="00EA684A">
            <w:r>
              <w:t xml:space="preserve">Calculate YoY sales growth         </w:t>
            </w:r>
          </w:p>
        </w:tc>
        <w:tc>
          <w:tcPr>
            <w:tcW w:w="2337" w:type="dxa"/>
          </w:tcPr>
          <w:p w14:paraId="2286BEAB" w14:textId="69AA6C04" w:rsidR="00EA684A" w:rsidRDefault="00EA684A" w:rsidP="00EA684A"/>
        </w:tc>
        <w:tc>
          <w:tcPr>
            <w:tcW w:w="2338" w:type="dxa"/>
          </w:tcPr>
          <w:p w14:paraId="264D67FC" w14:textId="49312289" w:rsidR="00EA684A" w:rsidRDefault="00EA684A" w:rsidP="00EA684A">
            <w:r>
              <w:rPr>
                <w:noProof/>
              </w:rPr>
              <mc:AlternateContent>
                <mc:Choice Requires="wpi">
                  <w:drawing>
                    <wp:anchor distT="0" distB="0" distL="114300" distR="114300" simplePos="0" relativeHeight="251675648" behindDoc="0" locked="0" layoutInCell="1" allowOverlap="1" wp14:anchorId="7D06B922" wp14:editId="4AEA2CC0">
                      <wp:simplePos x="0" y="0"/>
                      <wp:positionH relativeFrom="column">
                        <wp:posOffset>283210</wp:posOffset>
                      </wp:positionH>
                      <wp:positionV relativeFrom="paragraph">
                        <wp:posOffset>-1318260</wp:posOffset>
                      </wp:positionV>
                      <wp:extent cx="1080680" cy="3007255"/>
                      <wp:effectExtent l="38100" t="38100" r="24765" b="41275"/>
                      <wp:wrapNone/>
                      <wp:docPr id="249487046" name="Ink 18"/>
                      <wp:cNvGraphicFramePr/>
                      <a:graphic xmlns:a="http://schemas.openxmlformats.org/drawingml/2006/main">
                        <a:graphicData uri="http://schemas.microsoft.com/office/word/2010/wordprocessingInk">
                          <w14:contentPart bwMode="auto" r:id="rId7">
                            <w14:nvContentPartPr>
                              <w14:cNvContentPartPr/>
                            </w14:nvContentPartPr>
                            <w14:xfrm>
                              <a:off x="0" y="0"/>
                              <a:ext cx="1080680" cy="3007255"/>
                            </w14:xfrm>
                          </w14:contentPart>
                        </a:graphicData>
                      </a:graphic>
                    </wp:anchor>
                  </w:drawing>
                </mc:Choice>
                <mc:Fallback>
                  <w:pict>
                    <v:shape w14:anchorId="305A1892" id="Ink 18" o:spid="_x0000_s1026" type="#_x0000_t75" style="position:absolute;margin-left:21.8pt;margin-top:-104.3pt;width:86.1pt;height:237.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">
                      <v:imagedata r:id="rId8" o:title=""/>
                    </v:shape>
                  </w:pict>
                </mc:Fallback>
              </mc:AlternateContent>
            </w:r>
          </w:p>
        </w:tc>
        <w:tc>
          <w:tcPr>
            <w:tcW w:w="2338" w:type="dxa"/>
          </w:tcPr>
          <w:p w14:paraId="029AFB6D" w14:textId="56973499" w:rsidR="00EA684A" w:rsidRDefault="00EA684A" w:rsidP="00EA684A">
            <w:r w:rsidRPr="00EA684A">
              <w:t>Custom SQL calculations with percentage deltas</w:t>
            </w:r>
          </w:p>
        </w:tc>
      </w:tr>
      <w:tr w:rsidR="00EA684A" w14:paraId="6E2715BC" w14:textId="77777777" w:rsidTr="00EA684A">
        <w:tc>
          <w:tcPr>
            <w:tcW w:w="2337" w:type="dxa"/>
          </w:tcPr>
          <w:p w14:paraId="0206AA87" w14:textId="572A9239" w:rsidR="00EA684A" w:rsidRDefault="00EA684A" w:rsidP="00EA684A">
            <w:r>
              <w:t>Build an interactive dashboard</w:t>
            </w:r>
          </w:p>
        </w:tc>
        <w:tc>
          <w:tcPr>
            <w:tcW w:w="2337" w:type="dxa"/>
          </w:tcPr>
          <w:p w14:paraId="54C8A175" w14:textId="39F382B6" w:rsidR="00EA684A" w:rsidRDefault="00EA684A" w:rsidP="00EA684A"/>
        </w:tc>
        <w:tc>
          <w:tcPr>
            <w:tcW w:w="2338" w:type="dxa"/>
          </w:tcPr>
          <w:p w14:paraId="2FE6E9FD" w14:textId="21028B4E" w:rsidR="00EA684A" w:rsidRDefault="00EA684A" w:rsidP="00EA684A"/>
        </w:tc>
        <w:tc>
          <w:tcPr>
            <w:tcW w:w="2338" w:type="dxa"/>
          </w:tcPr>
          <w:p w14:paraId="48AB4947" w14:textId="1AA88F4E" w:rsidR="00EA684A" w:rsidRDefault="00EA684A" w:rsidP="00EA684A">
            <w:r w:rsidRPr="00EA684A">
              <w:t xml:space="preserve">Filters, </w:t>
            </w:r>
            <w:proofErr w:type="gramStart"/>
            <w:r w:rsidRPr="00EA684A">
              <w:t>drill-downs</w:t>
            </w:r>
            <w:proofErr w:type="gramEnd"/>
            <w:r w:rsidRPr="00EA684A">
              <w:t>, tooltips implemented in Power BI</w:t>
            </w:r>
          </w:p>
        </w:tc>
      </w:tr>
      <w:tr w:rsidR="00EA684A" w14:paraId="033E0323" w14:textId="77777777" w:rsidTr="00EA684A">
        <w:tc>
          <w:tcPr>
            <w:tcW w:w="2337" w:type="dxa"/>
          </w:tcPr>
          <w:p w14:paraId="1589013B" w14:textId="559FC3D2" w:rsidR="00EA684A" w:rsidRDefault="00EA684A" w:rsidP="00EA684A">
            <w:r>
              <w:t xml:space="preserve">Present professional visualizations  </w:t>
            </w:r>
          </w:p>
        </w:tc>
        <w:tc>
          <w:tcPr>
            <w:tcW w:w="2337" w:type="dxa"/>
          </w:tcPr>
          <w:p w14:paraId="44010282" w14:textId="0333F221" w:rsidR="00EA684A" w:rsidRDefault="00EA684A" w:rsidP="00EA684A">
            <w:r>
              <w:rPr>
                <w:noProof/>
              </w:rPr>
              <mc:AlternateContent>
                <mc:Choice Requires="wpi">
                  <w:drawing>
                    <wp:anchor distT="0" distB="0" distL="114300" distR="114300" simplePos="0" relativeHeight="251673600" behindDoc="0" locked="0" layoutInCell="1" allowOverlap="1" wp14:anchorId="7ADC8280" wp14:editId="4240A165">
                      <wp:simplePos x="0" y="0"/>
                      <wp:positionH relativeFrom="column">
                        <wp:posOffset>141907</wp:posOffset>
                      </wp:positionH>
                      <wp:positionV relativeFrom="paragraph">
                        <wp:posOffset>6502</wp:posOffset>
                      </wp:positionV>
                      <wp:extent cx="490320" cy="362520"/>
                      <wp:effectExtent l="38100" t="38100" r="30480" b="44450"/>
                      <wp:wrapNone/>
                      <wp:docPr id="1747630391" name="Ink 16"/>
                      <wp:cNvGraphicFramePr/>
                      <a:graphic xmlns:a="http://schemas.openxmlformats.org/drawingml/2006/main">
                        <a:graphicData uri="http://schemas.microsoft.com/office/word/2010/wordprocessingInk">
                          <w14:contentPart bwMode="auto" r:id="rId9">
                            <w14:nvContentPartPr>
                              <w14:cNvContentPartPr/>
                            </w14:nvContentPartPr>
                            <w14:xfrm>
                              <a:off x="0" y="0"/>
                              <a:ext cx="490320" cy="362520"/>
                            </w14:xfrm>
                          </w14:contentPart>
                        </a:graphicData>
                      </a:graphic>
                    </wp:anchor>
                  </w:drawing>
                </mc:Choice>
                <mc:Fallback>
                  <w:pict>
                    <v:shape w14:anchorId="692E58E3" id="Ink 16" o:spid="_x0000_s1026" type="#_x0000_t75" style="position:absolute;margin-left:10.65pt;margin-top:0;width:39.55pt;height:29.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">
                      <v:imagedata r:id="rId10" o:title=""/>
                    </v:shape>
                  </w:pict>
                </mc:Fallback>
              </mc:AlternateContent>
            </w:r>
          </w:p>
        </w:tc>
        <w:tc>
          <w:tcPr>
            <w:tcW w:w="2338" w:type="dxa"/>
          </w:tcPr>
          <w:p w14:paraId="75CA1967" w14:textId="0EA14ED4" w:rsidR="00EA684A" w:rsidRDefault="00EA684A" w:rsidP="00EA684A"/>
        </w:tc>
        <w:tc>
          <w:tcPr>
            <w:tcW w:w="2338" w:type="dxa"/>
          </w:tcPr>
          <w:p w14:paraId="653D7F00" w14:textId="0403B8C2" w:rsidR="00EA684A" w:rsidRDefault="00EA684A" w:rsidP="00EA684A">
            <w:r w:rsidRPr="00EA684A">
              <w:t>Final dashboard is presentation-ready and user-friendly</w:t>
            </w:r>
          </w:p>
        </w:tc>
      </w:tr>
    </w:tbl>
    <w:p w14:paraId="79E00578" w14:textId="77777777" w:rsidR="00EA684A" w:rsidRDefault="00EA684A" w:rsidP="00EA684A"/>
    <w:p w14:paraId="235AE118" w14:textId="77777777" w:rsidR="00EA684A" w:rsidRDefault="00EA684A" w:rsidP="00EA684A"/>
    <w:p w14:paraId="707A13D5" w14:textId="7022E341" w:rsidR="00EA684A" w:rsidRPr="00EA684A" w:rsidRDefault="00EA684A" w:rsidP="00EA684A">
      <w:pPr>
        <w:rPr>
          <w:b/>
          <w:bCs/>
        </w:rPr>
      </w:pPr>
      <w:r w:rsidRPr="00EA684A">
        <w:rPr>
          <w:b/>
          <w:bCs/>
        </w:rPr>
        <w:t>Key Insights</w:t>
      </w:r>
    </w:p>
    <w:p w14:paraId="1657C279" w14:textId="77777777" w:rsidR="00EA684A" w:rsidRDefault="00EA684A" w:rsidP="00EA684A"/>
    <w:p w14:paraId="30E80680" w14:textId="77777777" w:rsidR="00EA684A" w:rsidRDefault="00EA684A" w:rsidP="00EA684A">
      <w:r>
        <w:t>Top Counties: Arapahoe, Adams, and El Paso consistently generated the highest sales.</w:t>
      </w:r>
    </w:p>
    <w:p w14:paraId="2048F65F" w14:textId="2F04C82B" w:rsidR="00EA684A" w:rsidRDefault="00EA684A" w:rsidP="00EA684A">
      <w:r>
        <w:lastRenderedPageBreak/>
        <w:t>Seasonality: Sales often peaked in Q4, suggesting strong holiday-season demand.</w:t>
      </w:r>
    </w:p>
    <w:p w14:paraId="2A2064EB" w14:textId="15711A76" w:rsidR="00EA684A" w:rsidRDefault="00EA684A" w:rsidP="00EA684A">
      <w:r>
        <w:t xml:space="preserve">YoY Growth: Some counties, like Weld and Larimer, exhibited </w:t>
      </w:r>
      <w:proofErr w:type="gramStart"/>
      <w:r>
        <w:t>positive growth</w:t>
      </w:r>
      <w:proofErr w:type="gramEnd"/>
      <w:r>
        <w:t xml:space="preserve"> trends, while others were more volatile.</w:t>
      </w:r>
    </w:p>
    <w:p w14:paraId="33B32410" w14:textId="5924E47A" w:rsidR="00EA684A" w:rsidRDefault="00EA684A" w:rsidP="00EA684A">
      <w:r>
        <w:t>Regional Performance: Rural counties had slower growth, indicating opportunities for investment or marketing.</w:t>
      </w:r>
    </w:p>
    <w:p w14:paraId="5FBBEDAC" w14:textId="72B65D44" w:rsidR="00EA684A" w:rsidRPr="00EA684A" w:rsidRDefault="00EA684A" w:rsidP="00EA684A">
      <w:pPr>
        <w:rPr>
          <w:b/>
          <w:bCs/>
        </w:rPr>
      </w:pPr>
      <w:r w:rsidRPr="00EA684A">
        <w:rPr>
          <w:b/>
          <w:bCs/>
        </w:rPr>
        <w:t>Deliverables</w:t>
      </w:r>
      <w:r>
        <w:rPr>
          <w:b/>
          <w:bCs/>
        </w:rPr>
        <w:t>:</w:t>
      </w:r>
    </w:p>
    <w:p w14:paraId="712AC284" w14:textId="6085AF24" w:rsidR="00EA684A" w:rsidRDefault="00EA684A" w:rsidP="00EA684A">
      <w:pPr>
        <w:pStyle w:val="ListParagraph"/>
        <w:numPr>
          <w:ilvl w:val="0"/>
          <w:numId w:val="3"/>
        </w:numPr>
      </w:pPr>
      <w:r>
        <w:t>SQL scripts for calculated metrics</w:t>
      </w:r>
    </w:p>
    <w:p w14:paraId="00465224" w14:textId="36D92BDA" w:rsidR="00EA684A" w:rsidRDefault="00EA684A" w:rsidP="00EA684A">
      <w:pPr>
        <w:pStyle w:val="ListParagraph"/>
        <w:numPr>
          <w:ilvl w:val="0"/>
          <w:numId w:val="3"/>
        </w:numPr>
      </w:pPr>
      <w:r>
        <w:t>Power BI file with complete dashboard</w:t>
      </w:r>
    </w:p>
    <w:p w14:paraId="315FBACD" w14:textId="77777777" w:rsidR="00EA684A" w:rsidRDefault="00EA684A" w:rsidP="00EA684A">
      <w:pPr>
        <w:pStyle w:val="ListParagraph"/>
        <w:numPr>
          <w:ilvl w:val="0"/>
          <w:numId w:val="3"/>
        </w:numPr>
      </w:pPr>
      <w:r>
        <w:t xml:space="preserve"> Fully interactive visual components</w:t>
      </w:r>
    </w:p>
    <w:p w14:paraId="26DA0B25" w14:textId="49E9AE37" w:rsidR="00EA684A" w:rsidRDefault="00EA684A" w:rsidP="00EA684A">
      <w:pPr>
        <w:pStyle w:val="ListParagraph"/>
        <w:numPr>
          <w:ilvl w:val="0"/>
          <w:numId w:val="3"/>
        </w:numPr>
      </w:pPr>
      <w:r>
        <w:t>Modular design ready for real-time refresh and future expansion</w:t>
      </w:r>
    </w:p>
    <w:p w14:paraId="57D760B6" w14:textId="44742C94" w:rsidR="00EA684A" w:rsidRDefault="00EA684A" w:rsidP="00EA684A">
      <w:r w:rsidRPr="00EA684A">
        <w:rPr>
          <w:b/>
          <w:bCs/>
        </w:rPr>
        <w:t>Conclusion</w:t>
      </w:r>
    </w:p>
    <w:p w14:paraId="7CA616BB" w14:textId="3C65EAAB" w:rsidR="00EA684A" w:rsidRDefault="00EA684A" w:rsidP="00EA684A">
      <w:r>
        <w:t xml:space="preserve">This project delivered a highly functional business intelligence dashboard using SQL and Power BI. By analyzing over 7 years of sales data, </w:t>
      </w:r>
      <w:r>
        <w:t>I</w:t>
      </w:r>
      <w:r>
        <w:t xml:space="preserve"> produced actionable insights for strategic planning. The resulting visuals are interactive, clean, and designed for decision-makers to explore key metrics with ease.</w:t>
      </w:r>
    </w:p>
    <w:p w14:paraId="574F431A" w14:textId="72A30845" w:rsidR="00EA684A" w:rsidRDefault="00EA684A" w:rsidP="00EA684A">
      <w:r>
        <w:t>-</w:t>
      </w:r>
      <w:r>
        <w:t xml:space="preserve">Next steps </w:t>
      </w:r>
      <w:r>
        <w:t>could</w:t>
      </w:r>
      <w:r>
        <w:t xml:space="preserve"> include integrating product-level data, expanding to forecasting models, and publishing to Power BI Service with scheduled refreshes.</w:t>
      </w:r>
    </w:p>
    <w:sectPr w:rsidR="00EA6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A87C5E"/>
    <w:multiLevelType w:val="hybridMultilevel"/>
    <w:tmpl w:val="F09AD29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A3E44A1"/>
    <w:multiLevelType w:val="hybridMultilevel"/>
    <w:tmpl w:val="3E62C3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9314003"/>
    <w:multiLevelType w:val="hybridMultilevel"/>
    <w:tmpl w:val="A38EF0C2"/>
    <w:lvl w:ilvl="0" w:tplc="FCA4C464">
      <w:start w:val="3"/>
      <w:numFmt w:val="bullet"/>
      <w:lvlText w:val="-"/>
      <w:lvlJc w:val="left"/>
      <w:pPr>
        <w:ind w:left="720" w:hanging="360"/>
      </w:pPr>
      <w:rPr>
        <w:rFonts w:ascii="Cambria" w:eastAsiaTheme="minorHAnsi" w:hAnsi="Cambria" w:cs="Apple Color Emoj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3391615">
    <w:abstractNumId w:val="1"/>
  </w:num>
  <w:num w:numId="2" w16cid:durableId="1195120999">
    <w:abstractNumId w:val="0"/>
  </w:num>
  <w:num w:numId="3" w16cid:durableId="881794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84A"/>
    <w:rsid w:val="00E0530F"/>
    <w:rsid w:val="00EA6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D92D8"/>
  <w15:chartTrackingRefBased/>
  <w15:docId w15:val="{B8E6D57D-D5BB-9143-BE17-73A8ED8A4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8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68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68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68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68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68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8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8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8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8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68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68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68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68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68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8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8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84A"/>
    <w:rPr>
      <w:rFonts w:eastAsiaTheme="majorEastAsia" w:cstheme="majorBidi"/>
      <w:color w:val="272727" w:themeColor="text1" w:themeTint="D8"/>
    </w:rPr>
  </w:style>
  <w:style w:type="paragraph" w:styleId="Title">
    <w:name w:val="Title"/>
    <w:basedOn w:val="Normal"/>
    <w:next w:val="Normal"/>
    <w:link w:val="TitleChar"/>
    <w:uiPriority w:val="10"/>
    <w:qFormat/>
    <w:rsid w:val="00EA68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8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8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68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684A"/>
    <w:pPr>
      <w:spacing w:before="160"/>
      <w:jc w:val="center"/>
    </w:pPr>
    <w:rPr>
      <w:i/>
      <w:iCs/>
      <w:color w:val="404040" w:themeColor="text1" w:themeTint="BF"/>
    </w:rPr>
  </w:style>
  <w:style w:type="character" w:customStyle="1" w:styleId="QuoteChar">
    <w:name w:val="Quote Char"/>
    <w:basedOn w:val="DefaultParagraphFont"/>
    <w:link w:val="Quote"/>
    <w:uiPriority w:val="29"/>
    <w:rsid w:val="00EA684A"/>
    <w:rPr>
      <w:i/>
      <w:iCs/>
      <w:color w:val="404040" w:themeColor="text1" w:themeTint="BF"/>
    </w:rPr>
  </w:style>
  <w:style w:type="paragraph" w:styleId="ListParagraph">
    <w:name w:val="List Paragraph"/>
    <w:basedOn w:val="Normal"/>
    <w:uiPriority w:val="34"/>
    <w:qFormat/>
    <w:rsid w:val="00EA684A"/>
    <w:pPr>
      <w:ind w:left="720"/>
      <w:contextualSpacing/>
    </w:pPr>
  </w:style>
  <w:style w:type="character" w:styleId="IntenseEmphasis">
    <w:name w:val="Intense Emphasis"/>
    <w:basedOn w:val="DefaultParagraphFont"/>
    <w:uiPriority w:val="21"/>
    <w:qFormat/>
    <w:rsid w:val="00EA684A"/>
    <w:rPr>
      <w:i/>
      <w:iCs/>
      <w:color w:val="0F4761" w:themeColor="accent1" w:themeShade="BF"/>
    </w:rPr>
  </w:style>
  <w:style w:type="paragraph" w:styleId="IntenseQuote">
    <w:name w:val="Intense Quote"/>
    <w:basedOn w:val="Normal"/>
    <w:next w:val="Normal"/>
    <w:link w:val="IntenseQuoteChar"/>
    <w:uiPriority w:val="30"/>
    <w:qFormat/>
    <w:rsid w:val="00EA68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684A"/>
    <w:rPr>
      <w:i/>
      <w:iCs/>
      <w:color w:val="0F4761" w:themeColor="accent1" w:themeShade="BF"/>
    </w:rPr>
  </w:style>
  <w:style w:type="character" w:styleId="IntenseReference">
    <w:name w:val="Intense Reference"/>
    <w:basedOn w:val="DefaultParagraphFont"/>
    <w:uiPriority w:val="32"/>
    <w:qFormat/>
    <w:rsid w:val="00EA684A"/>
    <w:rPr>
      <w:b/>
      <w:bCs/>
      <w:smallCaps/>
      <w:color w:val="0F4761" w:themeColor="accent1" w:themeShade="BF"/>
      <w:spacing w:val="5"/>
    </w:rPr>
  </w:style>
  <w:style w:type="table" w:styleId="TableGrid">
    <w:name w:val="Table Grid"/>
    <w:basedOn w:val="TableNormal"/>
    <w:uiPriority w:val="39"/>
    <w:rsid w:val="00EA6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1T23:29:02.601"/>
    </inkml:context>
    <inkml:brush xml:id="br0">
      <inkml:brushProperty name="width" value="0.035" units="cm"/>
      <inkml:brushProperty name="height" value="0.035" units="cm"/>
      <inkml:brushProperty name="color" value="#E71224"/>
    </inkml:brush>
  </inkml:definitions>
  <inkml:trace contextRef="#ctx0" brushRef="#br0">77 623 24575,'0'8'0,"0"-2"0,0 3 0,0 0 0,3 1 0,1 6 0,2-2 0,4 6 0,1-2 0,3 0 0,-7-2 0,6 1 0,-6-3 0,3 2 0,0-6 0,-4 2 0,0-5 0,-3 2 0,5 2 0,-4-4 0,2 4 0,-1-2 0,-1-2 0,2 2 0,-3-3 0,3 3 0,-6-3 0,6 3 0,-3-3 0,3 0 0,0 0 0,-3 0 0,2 3 0,-1-3 0,2 3 0,-3-3 0,2 0 0,-2-3 0,3 0 0,0-3 0,-1 0 0,1 0 0,0-6 0,4-9 0,6-9 0,8-9 0,13-11 0,12-11 0,13-14-661,-23 31 0,1-2 661,7-4 0,1 0 0,4-5 0,1-1 0,7-2 0,1 0 0,-3 1 0,-2 2 0,-13 13 0,-2 2-76,4-3 1,-4 3 75,3-4 0,13-6 0,-23 19 0,-7 6 0,-14 9 1311,-4 3-1311,-3 4 0,-3 3 0,0 0 0</inkml:trace>
  <inkml:trace contextRef="#ctx0" brushRef="#br0" timeOffset="2451">0 2432 24575,'0'11'0,"0"-1"0,0 31 0,9 4 0,-7-11 0,6 21 0,-8-37 0,3 17 0,-2-17 0,2-1 0,5-18 0,28-29 0,8-20 0,6-8-1225,-7 11 0,3-4 1225,6-8 0,5-7 0,-4 7 0,-5 9 0,0 2 0,-1-3 0,4-5 0,-2 3 0,12-5 0,-3 1 0,4-11 0,0 0-507,-1 7 1,-5 3 506,-19 19 0,-3 2-34,5-2 0,-3 3 34,7-7 0,1-5 0,-11 17 2302,-13 8-2302,-7 13 1147,-4 4-1147,-3 3 0,-3 3 0,0 0 0</inkml:trace>
  <inkml:trace contextRef="#ctx0" brushRef="#br0" timeOffset="4793">122 4171 18991,'-3'3'0,"1"3"2570,9 16-2570,18 27 952,-11-11-952,16 17 495,-25-33-495,6 3 1567,-7-10-1567,-1-15 0,10-36 0,15-22 0,13-10 0,-6 25 0,3-1-1039,-1 3 1,4-1 1038,26-27 0,2 0 0,-23 19 0,1 1 0,26-19 0,0 1 0,-26 21 0,-1 2-328,-1 4 1,1 1 327,4-6 0,-3 2 0,12-13 0,9 2 0,-21 11 0,-17 15 0,-4 11 0,-15 7 2003,2 7-2003,-7 3 0,-3 0 0,0 0 0</inkml:trace>
  <inkml:trace contextRef="#ctx0" brushRef="#br0" timeOffset="7261">109 5882 21116,'3'7'0,"0"5"1649,-3 11-1649,0-1 585,0 0-585,0 13 299,0-21-299,5 17 926,0-18-926,4-2 0,-5 1 0,1-8 0,7-2 0,15-27 0,15-15 0,8-9-1823,6-16 0,6-8 1823,-1 5 0,7-4 0,-3 0-1257,-9 6 0,-1 1 0,2-2 1257,-1 6 0,3-3 0,-1 1 0,-3 5 0,-5 4 0,-4 4 0,2 0-467,5-6 1,1 0 0,-3 3 466,8-6 0,-5 5-332,-8 7 1,-1 1 331,5-5 0,-2 3 0,19-18 2383,-15 22-2383,-27 24 3863,-6 5-3863,-10 12 0,-6 0 0,-1 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1T23:29:03.837"/>
    </inkml:context>
    <inkml:brush xml:id="br0">
      <inkml:brushProperty name="width" value="0.035" units="cm"/>
      <inkml:brushProperty name="height" value="0.035" units="cm"/>
      <inkml:brushProperty name="color" value="#E71224"/>
    </inkml:brush>
  </inkml:definitions>
  <inkml:trace contextRef="#ctx0" brushRef="#br0">10 953 21074,'0'6'0,"3"8"1668,6 23-1668,9 6 592,-4 1-592,10 2 303,-14-9-303,13 1 938,-13-6-938,2-12 0,-6-4 0,-6-10 0,6 1 0,-3-5 0,2-2 0,4 0 0,5 0 0,12-3 0,25-17 0,33-28-1446,-22 7 1,5-5 1445,-12 10 0,3-3 0,1-2-1165,11-9 1,1-2-1,1-1 1165,2 0 0,0 0 0,1-1 0,-13 9 0,1-2 0,0 1 0,-5 2 0,3-1 0,-4 2 0,-2 2-537,25-15 1,-5 4 536,-18 13 0,-3 3 0,-10 6 0,-1 1-11,4-4 1,-1 2 10,15-11 2137,-23 16-2137,-16 15 3753,-8 1-3753,-5 7 0,-6 0 0,-1 3 0</inkml:trace>
  <inkml:trace contextRef="#ctx0" brushRef="#br0" timeOffset="2418">0 2700 24575,'3'18'0,"3"1"0,5 7 0,7-3 0,-12-4 0,10 1 0,-8-5 0,3 8 0,-1-8 0,-7 0 0,2-12 0,-2 0 0,10-3 0,10 0 0,23-23 0,32-34-1335,-23 11 0,4-6 1335,-13 5 0,2-3 0,1-2 0,6-6 0,1-1 0,-1 1 0,-9 8 0,-1 1 0,1-1 0,9-9 0,1-2 0,-6 6 0,-8 11 0,-1 1-445,20-19 1,-2 3 444,1-5-42,-24 27 1,-1 2 41,8-8 0,-13 10 0,-12 17 2524,-8 3-2524,-1 10 0,-5 0 0,-2 3 0</inkml:trace>
  <inkml:trace contextRef="#ctx0" brushRef="#br0" timeOffset="4801">151 4393 16340,'4'-3'0,"19"22"3591,-3-4-3591,32 37 1417,-14-14-1417,-2-2 756,2 2-756,-29-26 2471,8 1-2471,4-41 0,19-25 0,-5 1 0,5-4-1450,18-7 1,4-4 1449,-15 10 0,2-3 0,-1 1 0,-3 10 0,1 1 0,0-1 0,6-10 0,0-2 0,-4 7-476,-6 8 0,-2 2 476,13-15 0,-2 3 0,7-3-34,0-9 34,-11 21 0,-25 17 0,0 11 683,-15 12 1,-1 4 0,-3 3 0</inkml:trace>
  <inkml:trace contextRef="#ctx0" brushRef="#br0" timeOffset="7220">105 6174 13441,'-3'4'0,"1"5"4489,6 24-4489,0 2 1932,1-4-1932,3 7 1065,-4-17-1065,1 10 3648,-2-9-3648,-3-9 0,0-4 0,7-5 0,9-2 0,9-2 0,16 0 0,15-14 0,20-32-1096,-24 3 1,0-8 1095,5-14 0,2-8-900,-8 8 1,1-4 0,-3 3 899,4-9 0,-1-2 0,-3 7 0,3-3 0,-7 9-464,-13 16 0,-2 3 464,18-25 0,-1 2 0,6-8-107,0 0 107,-14 17 1744,-14 30-1744,-10 10 2820,-6 12-2820,-3 5 0,-3 2 0,0 0 0</inkml:trace>
  <inkml:trace contextRef="#ctx0" brushRef="#br0" timeOffset="9744">748 8140 20966,'0'8'0,"0"7"1717,0 18-1717,0 10 610,0-16-610,0 11 313,0-22-313,0 2 969,0-5-969,16-12 0,13-16 0,58-34 0,-35 13 0,6-6 0,2-3-2262,11-7 1,4-4 0,3-5 2261,-16 10 0,4-5 0,1-1 0,-1-1 0,-4 4 0,0 0 0,-4 2 0,0 0 0,4-4-652,2-2 1,5-5 0,0 0 0,-3 2 0,-8 6 651,-1 0 0,-7 5 0,2 0-433,12-8 1,2 1-1,-4 2 433,5-8 0,-6 5-280,-13 13 1,-1 2 279,6-5 0,-1 1 4252,18-17-4252,-33 29 4003,-10 13-4003,-17 12 597,-1 7 1,-5 3-1,-2 0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1T23:29:12.172"/>
    </inkml:context>
    <inkml:brush xml:id="br0">
      <inkml:brushProperty name="width" value="0.035" units="cm"/>
      <inkml:brushProperty name="height" value="0.035" units="cm"/>
      <inkml:brushProperty name="color" value="#E71224"/>
    </inkml:brush>
  </inkml:definitions>
  <inkml:trace contextRef="#ctx0" brushRef="#br0">0 718 24575,'18'12'0,"-1"5"0,22 24 0,-6 0 0,-5-8 0,0 3 0,-12-15 0,4 7 0,-1-5 0,-8-6 0,1-10 0,-2 2 0,3-9 0,8 3 0,2-3 0,30-4 0,11-28 0,-19 3 0,2-6-865,11-18 1,-1-6 864,-7 1 0,-1-1 0,15-13 0,-2 3 0,-22 23 0,-2 1 0,16-15 0,-2 2-425,-15 21 0,-1 0 425,6-11 0,-1 2 0,15-11 0,-13 9 0,-20 25 0,-5 8 1651,-8 6-1651,-1 5 0,-6 2 0,0 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505</Words>
  <Characters>2883</Characters>
  <Application>Microsoft Office Word</Application>
  <DocSecurity>0</DocSecurity>
  <Lines>24</Lines>
  <Paragraphs>6</Paragraphs>
  <ScaleCrop>false</ScaleCrop>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Chavarria, Bryan</dc:creator>
  <cp:keywords/>
  <dc:description/>
  <cp:lastModifiedBy>Chavarria, Bryan</cp:lastModifiedBy>
  <cp:revision>1</cp:revision>
  <dcterms:created xsi:type="dcterms:W3CDTF">2025-05-21T23:11:00Z</dcterms:created>
  <dcterms:modified xsi:type="dcterms:W3CDTF">2025-05-23T01:26:00Z</dcterms:modified>
</cp:coreProperties>
</file>