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0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3960000" cy="99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9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0"/>
      </w:pPr>
    </w:p>
    <w:p>
      <w:pPr>
        <w:spacing w:after="40"/>
      </w:pPr>
      <w:r>
        <w:rPr>
          <w:b/>
          <w:i w:val="0"/>
          <w:color w:val="00A7C4"/>
          <w:sz w:val="22"/>
        </w:rPr>
        <w:t>HACKATHON EXPO CLEAN ECUADOR 2026</w:t>
      </w:r>
    </w:p>
    <w:p>
      <w:pPr>
        <w:spacing w:after="520"/>
      </w:pPr>
      <w:r>
        <w:rPr>
          <w:b w:val="0"/>
          <w:i w:val="0"/>
          <w:color w:val="64748B"/>
          <w:sz w:val="22"/>
        </w:rPr>
        <w:t>Reto 1 — Optimización y trazabilidad logística del abastecimiento de insumos</w:t>
      </w:r>
    </w:p>
    <w:p>
      <w:pPr>
        <w:spacing w:after="0"/>
      </w:pPr>
      <w:r>
        <w:rPr>
          <w:b/>
          <w:i w:val="0"/>
          <w:color w:val="2D3748"/>
          <w:sz w:val="60"/>
        </w:rPr>
        <w:t>Tecnología, recursos,</w:t>
      </w:r>
    </w:p>
    <w:p>
      <w:pPr>
        <w:spacing w:after="280"/>
      </w:pPr>
      <w:r>
        <w:rPr>
          <w:b/>
          <w:i w:val="0"/>
          <w:color w:val="00A7C4"/>
          <w:sz w:val="60"/>
        </w:rPr>
        <w:t>implementación y riesgos</w:t>
      </w:r>
    </w:p>
    <w:p>
      <w:pPr>
        <w:spacing w:after="1200"/>
        <w:pBdr>
          <w:left w:val="single" w:sz="24" w:space="8" w:color="EA601F"/>
        </w:pBdr>
      </w:pPr>
      <w:r>
        <w:rPr>
          <w:b w:val="0"/>
          <w:i w:val="0"/>
          <w:color w:val="2D3748"/>
          <w:sz w:val="24"/>
        </w:rPr>
        <w:t>Entregable 5 · Viabilidad (Manual §9 y Anexo 5.5)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 w:sz="0" w:color="FFFFFF"/>
          <w:left w:val="nil" w:sz="0" w:color="FFFFFF"/>
          <w:bottom w:val="nil" w:sz="0" w:color="FFFFFF"/>
          <w:right w:val="nil" w:sz="0" w:color="FFFFFF"/>
          <w:insideH w:val="nil" w:sz="0" w:color="FFFFFF"/>
          <w:insideV w:val="nil" w:sz="0" w:color="FFFFFF"/>
        </w:tblBorders>
      </w:tblPr>
      <w:tblGrid>
        <w:gridCol w:w="4706"/>
        <w:gridCol w:w="4706"/>
      </w:tblGrid>
      <w:tr>
        <w:tc>
          <w:tcPr>
            <w:tcW w:type="dxa" w:w="4706"/>
          </w:tcPr>
          <w:p>
            <w:pPr>
              <w:spacing w:after="40"/>
            </w:pPr>
            <w:r>
              <w:rPr>
                <w:b/>
                <w:i w:val="0"/>
                <w:color w:val="64748B"/>
                <w:sz w:val="18"/>
              </w:rPr>
              <w:t>EQUIPO</w:t>
            </w:r>
          </w:p>
          <w:p>
            <w:pPr>
              <w:spacing w:after="160"/>
            </w:pPr>
            <w:r>
              <w:rPr>
                <w:b/>
                <w:i w:val="0"/>
                <w:color w:val="2D3748"/>
                <w:sz w:val="26"/>
              </w:rPr>
              <w:t>IstpetDev</w:t>
            </w:r>
          </w:p>
          <w:p>
            <w:pPr>
              <w:spacing w:after="20"/>
            </w:pPr>
            <w:r>
              <w:rPr>
                <w:b w:val="0"/>
                <w:i w:val="0"/>
                <w:color w:val="2D3748"/>
                <w:sz w:val="21"/>
              </w:rPr>
              <w:t>Bryan Baño</w:t>
            </w:r>
          </w:p>
          <w:p>
            <w:pPr>
              <w:spacing w:after="20"/>
            </w:pPr>
            <w:r>
              <w:rPr>
                <w:b w:val="0"/>
                <w:i w:val="0"/>
                <w:color w:val="2D3748"/>
                <w:sz w:val="21"/>
              </w:rPr>
              <w:t>Jorge Doicela</w:t>
            </w:r>
          </w:p>
          <w:p>
            <w:pPr>
              <w:spacing w:after="20"/>
            </w:pPr>
            <w:r>
              <w:rPr>
                <w:b w:val="0"/>
                <w:i w:val="0"/>
                <w:color w:val="2D3748"/>
                <w:sz w:val="21"/>
              </w:rPr>
              <w:t>Joseph Baño</w:t>
            </w:r>
          </w:p>
          <w:p>
            <w:pPr>
              <w:spacing w:after="20"/>
            </w:pPr>
            <w:r>
              <w:rPr>
                <w:b w:val="0"/>
                <w:i w:val="0"/>
                <w:color w:val="2D3748"/>
                <w:sz w:val="21"/>
              </w:rPr>
              <w:t>Anthony Pilatasig</w:t>
            </w:r>
          </w:p>
          <w:p>
            <w:pPr>
              <w:spacing w:after="20"/>
            </w:pPr>
            <w:r>
              <w:rPr>
                <w:b w:val="0"/>
                <w:i w:val="0"/>
                <w:color w:val="2D3748"/>
                <w:sz w:val="21"/>
              </w:rPr>
              <w:t>Alexander Martínez</w:t>
            </w:r>
          </w:p>
        </w:tc>
        <w:tc>
          <w:tcPr>
            <w:tcW w:type="dxa" w:w="4706"/>
          </w:tcPr>
          <w:p>
            <w:pPr>
              <w:spacing w:after="40"/>
            </w:pPr>
            <w:r>
              <w:rPr>
                <w:b/>
                <w:i w:val="0"/>
                <w:color w:val="64748B"/>
                <w:sz w:val="18"/>
              </w:rPr>
              <w:t>FECHA</w:t>
            </w:r>
          </w:p>
          <w:p>
            <w:pPr>
              <w:spacing w:after="160"/>
            </w:pPr>
            <w:r>
              <w:rPr>
                <w:b w:val="0"/>
                <w:i w:val="0"/>
                <w:color w:val="2D3748"/>
                <w:sz w:val="22"/>
              </w:rPr>
              <w:t>17 de octubre de 2026</w:t>
            </w:r>
          </w:p>
          <w:p>
            <w:pPr>
              <w:spacing w:after="40"/>
            </w:pPr>
            <w:r>
              <w:rPr>
                <w:b/>
                <w:i w:val="0"/>
                <w:color w:val="64748B"/>
                <w:sz w:val="18"/>
              </w:rPr>
              <w:t>LUGAR</w:t>
            </w:r>
          </w:p>
          <w:p>
            <w:pPr>
              <w:spacing w:after="160"/>
            </w:pPr>
            <w:r>
              <w:rPr>
                <w:b w:val="0"/>
                <w:i w:val="0"/>
                <w:color w:val="2D3748"/>
                <w:sz w:val="22"/>
              </w:rPr>
              <w:t>Quito, Ecuador</w:t>
            </w:r>
          </w:p>
          <w:p>
            <w:pPr>
              <w:spacing w:after="40"/>
            </w:pPr>
            <w:r>
              <w:rPr>
                <w:b/>
                <w:i w:val="0"/>
                <w:color w:val="64748B"/>
                <w:sz w:val="18"/>
              </w:rPr>
              <w:t>VERSIÓN</w:t>
            </w:r>
          </w:p>
          <w:p>
            <w:pPr>
              <w:spacing w:after="160"/>
            </w:pPr>
            <w:r>
              <w:rPr>
                <w:b w:val="0"/>
                <w:i w:val="0"/>
                <w:color w:val="2D3748"/>
                <w:sz w:val="22"/>
              </w:rPr>
              <w:t>Versión para la entrega del 17 de octubre de 2026</w:t>
            </w:r>
          </w:p>
        </w:tc>
      </w:tr>
    </w:tbl>
    <w:p>
      <w:pPr>
        <w:sectPr>
          <w:footerReference w:type="default" r:id="rId10"/>
          <w:pgSz w:w="11906" w:h="16838"/>
          <w:pgMar w:top="1134" w:right="1247" w:bottom="1134" w:left="1247" w:header="720" w:footer="720" w:gutter="0"/>
          <w:cols w:space="720"/>
          <w:titlePg/>
          <w:docGrid w:linePitch="360"/>
        </w:sectPr>
      </w:pPr>
    </w:p>
    <w:p>
      <w:pPr>
        <w:pStyle w:val="Heading1"/>
        <w:keepNext/>
        <w:spacing w:before="280" w:after="120"/>
        <w:pBdr>
          <w:bottom w:val="single" w:sz="12" w:space="4" w:color="00A7C4"/>
        </w:pBdr>
      </w:pPr>
      <w:r>
        <w:rPr>
          <w:b/>
          <w:color w:val="00A7C4"/>
          <w:sz w:val="34"/>
        </w:rPr>
        <w:t xml:space="preserve">1  </w:t>
      </w:r>
      <w:r>
        <w:rPr>
          <w:b/>
          <w:color w:val="2D3748"/>
          <w:sz w:val="34"/>
        </w:rPr>
        <w:t>¿Cómo se implementaría?</w:t>
      </w:r>
    </w:p>
    <w:p>
      <w:pPr>
        <w:spacing w:after="120"/>
      </w:pPr>
      <w:r>
        <w:rPr>
          <w:b w:val="0"/>
          <w:i w:val="0"/>
          <w:color w:val="2D3748"/>
          <w:sz w:val="21"/>
        </w:rPr>
        <w:t>IstpetDev no necesita hardware nuevo: funciona en la web y en el teléfono del conductor. La implementación se plantea como un piloto acotado de cuatro semanas sobre una bodega y un grupo de puntos, antes de cualquier expansión.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Layout w:type="fixed"/>
      </w:tblPr>
      <w:tblGrid>
        <w:gridCol w:w="1020"/>
        <w:gridCol w:w="4535"/>
        <w:gridCol w:w="3855"/>
      </w:tblGrid>
      <w:tr>
        <w:trPr>
          <w:tblHeader/>
          <w:cantSplit/>
        </w:trPr>
        <w:tc>
          <w:tcPr>
            <w:tcW w:type="dxa" w:w="1020"/>
            <w:shd w:val="clear" w:color="auto" w:fill="2D3748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Semana</w:t>
            </w:r>
          </w:p>
        </w:tc>
        <w:tc>
          <w:tcPr>
            <w:tcW w:type="dxa" w:w="4535"/>
            <w:shd w:val="clear" w:color="auto" w:fill="2D3748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Qué se hace</w:t>
            </w:r>
          </w:p>
        </w:tc>
        <w:tc>
          <w:tcPr>
            <w:tcW w:type="dxa" w:w="3855"/>
            <w:shd w:val="clear" w:color="auto" w:fill="2D3748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Qué cambia en la operación</w:t>
            </w:r>
          </w:p>
        </w:tc>
      </w:tr>
      <w:tr>
        <w:trPr>
          <w:cantSplit/>
        </w:trPr>
        <w:tc>
          <w:tcPr>
            <w:tcW w:type="dxa" w:w="1020"/>
          </w:tcPr>
          <w:p>
            <w:r/>
            <w:r>
              <w:rPr>
                <w:b/>
                <w:color w:val="2D3748"/>
                <w:sz w:val="19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color w:val="2D3748"/>
                <w:sz w:val="19"/>
              </w:rPr>
              <w:t>Observar y conciliar inventario y rutas actuales</w:t>
            </w:r>
          </w:p>
        </w:tc>
        <w:tc>
          <w:tcPr>
            <w:tcW w:type="dxa" w:w="3855"/>
          </w:tcPr>
          <w:p>
            <w:r/>
            <w:r>
              <w:rPr>
                <w:b w:val="0"/>
                <w:color w:val="2D3748"/>
                <w:sz w:val="19"/>
              </w:rPr>
              <w:t>Nada: solo se mide la línea base</w:t>
            </w:r>
          </w:p>
        </w:tc>
      </w:tr>
      <w:tr>
        <w:trPr>
          <w:cantSplit/>
        </w:trPr>
        <w:tc>
          <w:tcPr>
            <w:tcW w:type="dxa" w:w="1020"/>
          </w:tcPr>
          <w:p>
            <w:r/>
            <w:r>
              <w:rPr>
                <w:b/>
                <w:color w:val="2D3748"/>
                <w:sz w:val="19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color w:val="2D3748"/>
                <w:sz w:val="19"/>
              </w:rPr>
              <w:t>Ejecutar las recomendaciones en paralelo, con aprobación humana</w:t>
            </w:r>
          </w:p>
        </w:tc>
        <w:tc>
          <w:tcPr>
            <w:tcW w:type="dxa" w:w="3855"/>
          </w:tcPr>
          <w:p>
            <w:r/>
            <w:r>
              <w:rPr>
                <w:b w:val="0"/>
                <w:color w:val="2D3748"/>
                <w:sz w:val="19"/>
              </w:rPr>
              <w:t>Nada por defecto; se registra aceptación o rechazo y su motivo</w:t>
            </w:r>
          </w:p>
        </w:tc>
      </w:tr>
      <w:tr>
        <w:trPr>
          <w:cantSplit/>
        </w:trPr>
        <w:tc>
          <w:tcPr>
            <w:tcW w:type="dxa" w:w="1020"/>
          </w:tcPr>
          <w:p>
            <w:r/>
            <w:r>
              <w:rPr>
                <w:b/>
                <w:color w:val="2D3748"/>
                <w:sz w:val="19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color w:val="2D3748"/>
                <w:sz w:val="19"/>
              </w:rPr>
              <w:t>Operar un grupo pequeño con QR, custodia y revisión diaria</w:t>
            </w:r>
          </w:p>
        </w:tc>
        <w:tc>
          <w:tcPr>
            <w:tcW w:type="dxa" w:w="3855"/>
          </w:tcPr>
          <w:p>
            <w:r/>
            <w:r>
              <w:rPr>
                <w:b w:val="0"/>
                <w:color w:val="2D3748"/>
                <w:sz w:val="19"/>
              </w:rPr>
              <w:t>Un grupo acotado trabaja con el sistema</w:t>
            </w:r>
          </w:p>
        </w:tc>
      </w:tr>
      <w:tr>
        <w:trPr>
          <w:cantSplit/>
        </w:trPr>
        <w:tc>
          <w:tcPr>
            <w:tcW w:type="dxa" w:w="1020"/>
          </w:tcPr>
          <w:p>
            <w:r/>
            <w:r>
              <w:rPr>
                <w:b/>
                <w:color w:val="2D3748"/>
                <w:sz w:val="19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color w:val="2D3748"/>
                <w:sz w:val="19"/>
              </w:rPr>
              <w:t>Comparar resultados, incidencias y carga de trabajo</w:t>
            </w:r>
          </w:p>
        </w:tc>
        <w:tc>
          <w:tcPr>
            <w:tcW w:type="dxa" w:w="3855"/>
          </w:tcPr>
          <w:p>
            <w:r/>
            <w:r>
              <w:rPr>
                <w:b w:val="0"/>
                <w:color w:val="2D3748"/>
                <w:sz w:val="19"/>
              </w:rPr>
              <w:t>Decisión: continuar, cambiar o parar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  <w:color w:val="64748B"/>
          <w:sz w:val="19"/>
        </w:rPr>
        <w:t>El tamaño del grupo, las metas y el umbral de avance se acuerdan con la empresa contraparte. La evaluación del Hackathon usa simulación; no la presentamos como un piloto ya realizado.</w:t>
      </w:r>
    </w:p>
    <w:p>
      <w:pPr>
        <w:pStyle w:val="Heading1"/>
        <w:keepNext/>
        <w:spacing w:before="280" w:after="120"/>
        <w:pBdr>
          <w:bottom w:val="single" w:sz="12" w:space="4" w:color="00A7C4"/>
        </w:pBdr>
      </w:pPr>
      <w:r>
        <w:rPr>
          <w:b/>
          <w:color w:val="00A7C4"/>
          <w:sz w:val="34"/>
        </w:rPr>
        <w:t xml:space="preserve">2  </w:t>
      </w:r>
      <w:r>
        <w:rPr>
          <w:b/>
          <w:color w:val="2D3748"/>
          <w:sz w:val="34"/>
        </w:rPr>
        <w:t>Tecnología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Layout w:type="fixed"/>
      </w:tblPr>
      <w:tblGrid>
        <w:gridCol w:w="2041"/>
        <w:gridCol w:w="2948"/>
        <w:gridCol w:w="4422"/>
      </w:tblGrid>
      <w:tr>
        <w:trPr>
          <w:tblHeader/>
          <w:cantSplit/>
        </w:trPr>
        <w:tc>
          <w:tcPr>
            <w:tcW w:type="dxa" w:w="2041"/>
            <w:shd w:val="clear" w:color="auto" w:fill="2D3748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Capa</w:t>
            </w:r>
          </w:p>
        </w:tc>
        <w:tc>
          <w:tcPr>
            <w:tcW w:type="dxa" w:w="2948"/>
            <w:shd w:val="clear" w:color="auto" w:fill="2D3748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Tecnología</w:t>
            </w:r>
          </w:p>
        </w:tc>
        <w:tc>
          <w:tcPr>
            <w:tcW w:type="dxa" w:w="4422"/>
            <w:shd w:val="clear" w:color="auto" w:fill="2D3748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Por qué</w:t>
            </w:r>
          </w:p>
        </w:tc>
      </w:tr>
      <w:tr>
        <w:trPr>
          <w:cantSplit/>
        </w:trPr>
        <w:tc>
          <w:tcPr>
            <w:tcW w:type="dxa" w:w="2041"/>
          </w:tcPr>
          <w:p>
            <w:r/>
            <w:r>
              <w:rPr>
                <w:b/>
                <w:color w:val="2D3748"/>
                <w:sz w:val="18"/>
              </w:rPr>
              <w:t>Servidor (API y motor)</w:t>
            </w:r>
          </w:p>
        </w:tc>
        <w:tc>
          <w:tcPr>
            <w:tcW w:type="dxa" w:w="2948"/>
          </w:tcPr>
          <w:p>
            <w:r/>
            <w:r>
              <w:rPr>
                <w:b w:val="0"/>
                <w:color w:val="2D3748"/>
                <w:sz w:val="18"/>
              </w:rPr>
              <w:t>C# .NET 8</w:t>
            </w:r>
          </w:p>
        </w:tc>
        <w:tc>
          <w:tcPr>
            <w:tcW w:type="dxa" w:w="4422"/>
          </w:tcPr>
          <w:p>
            <w:r/>
            <w:r>
              <w:rPr>
                <w:b w:val="0"/>
                <w:color w:val="2D3748"/>
                <w:sz w:val="18"/>
              </w:rPr>
              <w:t>Motor determinista de riesgo, rutas y costos; reglas de autonomía</w:t>
            </w:r>
          </w:p>
        </w:tc>
      </w:tr>
      <w:tr>
        <w:trPr>
          <w:cantSplit/>
        </w:trPr>
        <w:tc>
          <w:tcPr>
            <w:tcW w:type="dxa" w:w="2041"/>
          </w:tcPr>
          <w:p>
            <w:r/>
            <w:r>
              <w:rPr>
                <w:b/>
                <w:color w:val="2D3748"/>
                <w:sz w:val="18"/>
              </w:rPr>
              <w:t>Web y campo</w:t>
            </w:r>
          </w:p>
        </w:tc>
        <w:tc>
          <w:tcPr>
            <w:tcW w:type="dxa" w:w="2948"/>
          </w:tcPr>
          <w:p>
            <w:r/>
            <w:r>
              <w:rPr>
                <w:b w:val="0"/>
                <w:color w:val="2D3748"/>
                <w:sz w:val="18"/>
              </w:rPr>
              <w:t>Angular 22 y Ionic 8 (PWA)</w:t>
            </w:r>
          </w:p>
        </w:tc>
        <w:tc>
          <w:tcPr>
            <w:tcW w:type="dxa" w:w="4422"/>
          </w:tcPr>
          <w:p>
            <w:r/>
            <w:r>
              <w:rPr>
                <w:b w:val="0"/>
                <w:color w:val="2D3748"/>
                <w:sz w:val="18"/>
              </w:rPr>
              <w:t>Dos superficies: Torre de Control y app de campo que funciona sin señal</w:t>
            </w:r>
          </w:p>
        </w:tc>
      </w:tr>
      <w:tr>
        <w:trPr>
          <w:cantSplit/>
        </w:trPr>
        <w:tc>
          <w:tcPr>
            <w:tcW w:type="dxa" w:w="2041"/>
          </w:tcPr>
          <w:p>
            <w:r/>
            <w:r>
              <w:rPr>
                <w:b/>
                <w:color w:val="2D3748"/>
                <w:sz w:val="18"/>
              </w:rPr>
              <w:t>Datos</w:t>
            </w:r>
          </w:p>
        </w:tc>
        <w:tc>
          <w:tcPr>
            <w:tcW w:type="dxa" w:w="2948"/>
          </w:tcPr>
          <w:p>
            <w:r/>
            <w:r>
              <w:rPr>
                <w:b w:val="0"/>
                <w:color w:val="2D3748"/>
                <w:sz w:val="18"/>
              </w:rPr>
              <w:t>PostgreSQL 16 con PostGIS; Redis 7</w:t>
            </w:r>
          </w:p>
        </w:tc>
        <w:tc>
          <w:tcPr>
            <w:tcW w:type="dxa" w:w="4422"/>
          </w:tcPr>
          <w:p>
            <w:r/>
            <w:r>
              <w:rPr>
                <w:b w:val="0"/>
                <w:color w:val="2D3748"/>
                <w:sz w:val="18"/>
              </w:rPr>
              <w:t>Inventario por lote, geografía de rutas y eventos en tiempo real</w:t>
            </w:r>
          </w:p>
        </w:tc>
      </w:tr>
      <w:tr>
        <w:trPr>
          <w:cantSplit/>
        </w:trPr>
        <w:tc>
          <w:tcPr>
            <w:tcW w:type="dxa" w:w="2041"/>
          </w:tcPr>
          <w:p>
            <w:r/>
            <w:r>
              <w:rPr>
                <w:b/>
                <w:color w:val="2D3748"/>
                <w:sz w:val="18"/>
              </w:rPr>
              <w:t>Mapas</w:t>
            </w:r>
          </w:p>
        </w:tc>
        <w:tc>
          <w:tcPr>
            <w:tcW w:type="dxa" w:w="2948"/>
          </w:tcPr>
          <w:p>
            <w:r/>
            <w:r>
              <w:rPr>
                <w:b w:val="0"/>
                <w:color w:val="2D3748"/>
                <w:sz w:val="18"/>
              </w:rPr>
              <w:t>Leaflet con OpenStreetMap; distancias OSRM</w:t>
            </w:r>
          </w:p>
        </w:tc>
        <w:tc>
          <w:tcPr>
            <w:tcW w:type="dxa" w:w="4422"/>
          </w:tcPr>
          <w:p>
            <w:r/>
            <w:r>
              <w:rPr>
                <w:b w:val="0"/>
                <w:color w:val="2D3748"/>
                <w:sz w:val="18"/>
              </w:rPr>
              <w:t>Sin costo de licencia ni cuotas; distancias por calles reales</w:t>
            </w:r>
          </w:p>
        </w:tc>
      </w:tr>
      <w:tr>
        <w:trPr>
          <w:cantSplit/>
        </w:trPr>
        <w:tc>
          <w:tcPr>
            <w:tcW w:type="dxa" w:w="2041"/>
          </w:tcPr>
          <w:p>
            <w:r/>
            <w:r>
              <w:rPr>
                <w:b/>
                <w:color w:val="2D3748"/>
                <w:sz w:val="18"/>
              </w:rPr>
              <w:t>Agente de IA</w:t>
            </w:r>
          </w:p>
        </w:tc>
        <w:tc>
          <w:tcPr>
            <w:tcW w:type="dxa" w:w="2948"/>
          </w:tcPr>
          <w:p>
            <w:r/>
            <w:r>
              <w:rPr>
                <w:b w:val="0"/>
                <w:color w:val="2D3748"/>
                <w:sz w:val="18"/>
              </w:rPr>
              <w:t>n8n con DeepSeek</w:t>
            </w:r>
          </w:p>
        </w:tc>
        <w:tc>
          <w:tcPr>
            <w:tcW w:type="dxa" w:w="4422"/>
          </w:tcPr>
          <w:p>
            <w:r/>
            <w:r>
              <w:rPr>
                <w:b w:val="0"/>
                <w:color w:val="2D3748"/>
                <w:sz w:val="18"/>
              </w:rPr>
              <w:t>Explica los resultados del motor; se puede cambiar de modelo sin tocar el cálculo</w:t>
            </w:r>
          </w:p>
        </w:tc>
      </w:tr>
      <w:tr>
        <w:trPr>
          <w:cantSplit/>
        </w:trPr>
        <w:tc>
          <w:tcPr>
            <w:tcW w:type="dxa" w:w="2041"/>
          </w:tcPr>
          <w:p>
            <w:r/>
            <w:r>
              <w:rPr>
                <w:b/>
                <w:color w:val="2D3748"/>
                <w:sz w:val="18"/>
              </w:rPr>
              <w:t>Identidad</w:t>
            </w:r>
          </w:p>
        </w:tc>
        <w:tc>
          <w:tcPr>
            <w:tcW w:type="dxa" w:w="2948"/>
          </w:tcPr>
          <w:p>
            <w:r/>
            <w:r>
              <w:rPr>
                <w:b w:val="0"/>
                <w:color w:val="2D3748"/>
                <w:sz w:val="18"/>
              </w:rPr>
              <w:t>Amazon Cognito (OIDC con PKCE)</w:t>
            </w:r>
          </w:p>
        </w:tc>
        <w:tc>
          <w:tcPr>
            <w:tcW w:type="dxa" w:w="4422"/>
          </w:tcPr>
          <w:p>
            <w:r/>
            <w:r>
              <w:rPr>
                <w:b w:val="0"/>
                <w:color w:val="2D3748"/>
                <w:sz w:val="18"/>
              </w:rPr>
              <w:t>Seis roles fijos y rol Auditor; sin permisos dinámicos en esta versión</w:t>
            </w:r>
          </w:p>
        </w:tc>
      </w:tr>
      <w:tr>
        <w:trPr>
          <w:cantSplit/>
        </w:trPr>
        <w:tc>
          <w:tcPr>
            <w:tcW w:type="dxa" w:w="2041"/>
          </w:tcPr>
          <w:p>
            <w:r/>
            <w:r>
              <w:rPr>
                <w:b/>
                <w:color w:val="2D3748"/>
                <w:sz w:val="18"/>
              </w:rPr>
              <w:t>Evidencias</w:t>
            </w:r>
          </w:p>
        </w:tc>
        <w:tc>
          <w:tcPr>
            <w:tcW w:type="dxa" w:w="2948"/>
          </w:tcPr>
          <w:p>
            <w:r/>
            <w:r>
              <w:rPr>
                <w:b w:val="0"/>
                <w:color w:val="2D3748"/>
                <w:sz w:val="18"/>
              </w:rPr>
              <w:t>Amazon S3 privado con URL presignadas</w:t>
            </w:r>
          </w:p>
        </w:tc>
        <w:tc>
          <w:tcPr>
            <w:tcW w:type="dxa" w:w="4422"/>
          </w:tcPr>
          <w:p>
            <w:r/>
            <w:r>
              <w:rPr>
                <w:b w:val="0"/>
                <w:color w:val="2D3748"/>
                <w:sz w:val="18"/>
              </w:rPr>
              <w:t>Fotos y firmas de entrega con acceso temporal (hasta 15 min)</w:t>
            </w:r>
          </w:p>
        </w:tc>
      </w:tr>
    </w:tbl>
    <w:p>
      <w:pPr>
        <w:spacing w:after="80"/>
      </w:pPr>
    </w:p>
    <w:p>
      <w:pPr>
        <w:keepNext/>
        <w:spacing w:after="80" w:before="160"/>
      </w:pPr>
      <w:r>
        <w:rPr>
          <w:b/>
          <w:i w:val="0"/>
          <w:color w:val="2D3748"/>
          <w:sz w:val="25"/>
        </w:rPr>
        <w:t>Principios de diseño que reducen el riesgo técnico</w:t>
      </w:r>
    </w:p>
    <w:p>
      <w:pPr>
        <w:pStyle w:val="ListBullet"/>
        <w:spacing w:after="60"/>
      </w:pPr>
      <w:r>
        <w:rPr>
          <w:b/>
          <w:color w:val="2D3748"/>
          <w:sz w:val="21"/>
        </w:rPr>
        <w:t xml:space="preserve">El motor calcula, la IA explica, la persona decide: </w:t>
      </w:r>
      <w:r>
        <w:rPr>
          <w:b w:val="0"/>
          <w:color w:val="2D3748"/>
          <w:sz w:val="21"/>
        </w:rPr>
        <w:t>la IA no inventa cifras y, si falla, hay una explicación de respaldo.</w:t>
      </w:r>
    </w:p>
    <w:p>
      <w:pPr>
        <w:pStyle w:val="ListBullet"/>
        <w:spacing w:after="60"/>
      </w:pPr>
      <w:r>
        <w:rPr>
          <w:b/>
          <w:color w:val="2D3748"/>
          <w:sz w:val="21"/>
        </w:rPr>
        <w:t xml:space="preserve">Idempotencia: </w:t>
      </w:r>
      <w:r>
        <w:rPr>
          <w:b w:val="0"/>
          <w:color w:val="2D3748"/>
          <w:sz w:val="21"/>
        </w:rPr>
        <w:t>una operación repetida tras un corte de señal produce un solo movimiento.</w:t>
      </w:r>
    </w:p>
    <w:p>
      <w:pPr>
        <w:pStyle w:val="ListBullet"/>
        <w:spacing w:after="60"/>
      </w:pPr>
      <w:r>
        <w:rPr>
          <w:b/>
          <w:color w:val="2D3748"/>
          <w:sz w:val="21"/>
        </w:rPr>
        <w:t xml:space="preserve">Reproducibilidad: </w:t>
      </w:r>
      <w:r>
        <w:rPr>
          <w:b w:val="0"/>
          <w:color w:val="2D3748"/>
          <w:sz w:val="21"/>
        </w:rPr>
        <w:t>mismas entradas y semilla, mismos resultados.</w:t>
      </w:r>
    </w:p>
    <w:p>
      <w:pPr>
        <w:pStyle w:val="Heading1"/>
        <w:keepNext/>
        <w:spacing w:before="280" w:after="120"/>
        <w:pBdr>
          <w:bottom w:val="single" w:sz="12" w:space="4" w:color="00A7C4"/>
        </w:pBdr>
      </w:pPr>
      <w:r>
        <w:rPr>
          <w:b/>
          <w:color w:val="00A7C4"/>
          <w:sz w:val="34"/>
        </w:rPr>
        <w:t xml:space="preserve">3  </w:t>
      </w:r>
      <w:r>
        <w:rPr>
          <w:b/>
          <w:color w:val="2D3748"/>
          <w:sz w:val="34"/>
        </w:rPr>
        <w:t>Recursos y costos</w:t>
      </w:r>
    </w:p>
    <w:p>
      <w:pPr>
        <w:spacing w:after="80"/>
      </w:pPr>
      <w:r>
        <w:rPr>
          <w:b w:val="0"/>
          <w:i w:val="0"/>
          <w:color w:val="2D3748"/>
          <w:sz w:val="21"/>
        </w:rPr>
        <w:t>Infraestructura en dos perfiles; la demostración y el piloto usan el perfil A.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Layout w:type="fixed"/>
      </w:tblPr>
      <w:tblGrid>
        <w:gridCol w:w="1701"/>
        <w:gridCol w:w="3855"/>
        <w:gridCol w:w="3855"/>
      </w:tblGrid>
      <w:tr>
        <w:trPr>
          <w:tblHeader/>
          <w:cantSplit/>
        </w:trPr>
        <w:tc>
          <w:tcPr>
            <w:tcW w:type="dxa" w:w="1701"/>
            <w:shd w:val="clear" w:color="auto" w:fill="2D3748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3855"/>
            <w:shd w:val="clear" w:color="auto" w:fill="2D3748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Perfil A · demo y piloto</w:t>
            </w:r>
          </w:p>
        </w:tc>
        <w:tc>
          <w:tcPr>
            <w:tcW w:type="dxa" w:w="3855"/>
            <w:shd w:val="clear" w:color="auto" w:fill="2D3748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Perfil B · operación nacional</w:t>
            </w:r>
          </w:p>
        </w:tc>
      </w:tr>
      <w:tr>
        <w:trPr>
          <w:cantSplit/>
        </w:trPr>
        <w:tc>
          <w:tcPr>
            <w:tcW w:type="dxa" w:w="1701"/>
          </w:tcPr>
          <w:p>
            <w:r/>
            <w:r>
              <w:rPr>
                <w:b/>
                <w:color w:val="2D3748"/>
                <w:sz w:val="18"/>
              </w:rPr>
              <w:t>Cómputo</w:t>
            </w:r>
          </w:p>
        </w:tc>
        <w:tc>
          <w:tcPr>
            <w:tcW w:type="dxa" w:w="3855"/>
          </w:tcPr>
          <w:p>
            <w:r/>
            <w:r>
              <w:rPr>
                <w:b w:val="0"/>
                <w:color w:val="2D3748"/>
                <w:sz w:val="18"/>
              </w:rPr>
              <w:t>Un servidor EC2 t3.medium (2 vCPU, 4 GB) con Docker</w:t>
            </w:r>
          </w:p>
        </w:tc>
        <w:tc>
          <w:tcPr>
            <w:tcW w:type="dxa" w:w="3855"/>
          </w:tcPr>
          <w:p>
            <w:r/>
            <w:r>
              <w:rPr>
                <w:b w:val="0"/>
                <w:color w:val="2D3748"/>
                <w:sz w:val="18"/>
              </w:rPr>
              <w:t>ECS Fargate con 2 a 6 réplicas</w:t>
            </w:r>
          </w:p>
        </w:tc>
      </w:tr>
      <w:tr>
        <w:trPr>
          <w:cantSplit/>
        </w:trPr>
        <w:tc>
          <w:tcPr>
            <w:tcW w:type="dxa" w:w="1701"/>
          </w:tcPr>
          <w:p>
            <w:r/>
            <w:r>
              <w:rPr>
                <w:b/>
                <w:color w:val="2D3748"/>
                <w:sz w:val="18"/>
              </w:rPr>
              <w:t>Base de datos</w:t>
            </w:r>
          </w:p>
        </w:tc>
        <w:tc>
          <w:tcPr>
            <w:tcW w:type="dxa" w:w="3855"/>
          </w:tcPr>
          <w:p>
            <w:r/>
            <w:r>
              <w:rPr>
                <w:b w:val="0"/>
                <w:color w:val="2D3748"/>
                <w:sz w:val="18"/>
              </w:rPr>
              <w:t>Amazon RDS PostgreSQL 16</w:t>
            </w:r>
          </w:p>
        </w:tc>
        <w:tc>
          <w:tcPr>
            <w:tcW w:type="dxa" w:w="3855"/>
          </w:tcPr>
          <w:p>
            <w:r/>
            <w:r>
              <w:rPr>
                <w:b w:val="0"/>
                <w:color w:val="2D3748"/>
                <w:sz w:val="18"/>
              </w:rPr>
              <w:t>RDS Multi-AZ con réplica</w:t>
            </w:r>
          </w:p>
        </w:tc>
      </w:tr>
      <w:tr>
        <w:trPr>
          <w:cantSplit/>
        </w:trPr>
        <w:tc>
          <w:tcPr>
            <w:tcW w:type="dxa" w:w="1701"/>
          </w:tcPr>
          <w:p>
            <w:r/>
            <w:r>
              <w:rPr>
                <w:b/>
                <w:color w:val="2D3748"/>
                <w:sz w:val="18"/>
              </w:rPr>
              <w:t>Entrada</w:t>
            </w:r>
          </w:p>
        </w:tc>
        <w:tc>
          <w:tcPr>
            <w:tcW w:type="dxa" w:w="3855"/>
          </w:tcPr>
          <w:p>
            <w:r/>
            <w:r>
              <w:rPr>
                <w:b w:val="0"/>
                <w:color w:val="2D3748"/>
                <w:sz w:val="18"/>
              </w:rPr>
              <w:t>Nginx con TLS</w:t>
            </w:r>
          </w:p>
        </w:tc>
        <w:tc>
          <w:tcPr>
            <w:tcW w:type="dxa" w:w="3855"/>
          </w:tcPr>
          <w:p>
            <w:r/>
            <w:r>
              <w:rPr>
                <w:b w:val="0"/>
                <w:color w:val="2D3748"/>
                <w:sz w:val="18"/>
              </w:rPr>
              <w:t>Balanceador de carga con firewall web</w:t>
            </w:r>
          </w:p>
        </w:tc>
      </w:tr>
      <w:tr>
        <w:trPr>
          <w:cantSplit/>
        </w:trPr>
        <w:tc>
          <w:tcPr>
            <w:tcW w:type="dxa" w:w="1701"/>
          </w:tcPr>
          <w:p>
            <w:r/>
            <w:r>
              <w:rPr>
                <w:b/>
                <w:color w:val="2D3748"/>
                <w:sz w:val="18"/>
              </w:rPr>
              <w:t>Despliegue</w:t>
            </w:r>
          </w:p>
        </w:tc>
        <w:tc>
          <w:tcPr>
            <w:tcW w:type="dxa" w:w="3855"/>
          </w:tcPr>
          <w:p>
            <w:r/>
            <w:r>
              <w:rPr>
                <w:b w:val="0"/>
                <w:color w:val="2D3748"/>
                <w:sz w:val="18"/>
              </w:rPr>
              <w:t>GitHub Actions con reversión a la versión anterior</w:t>
            </w:r>
          </w:p>
        </w:tc>
        <w:tc>
          <w:tcPr>
            <w:tcW w:type="dxa" w:w="3855"/>
          </w:tcPr>
          <w:p>
            <w:r/>
            <w:r>
              <w:rPr>
                <w:b w:val="0"/>
                <w:color w:val="2D3748"/>
                <w:sz w:val="18"/>
              </w:rPr>
              <w:t>GitHub Actions con despliegue azul-verde</w:t>
            </w:r>
          </w:p>
        </w:tc>
      </w:tr>
      <w:tr>
        <w:trPr>
          <w:cantSplit/>
        </w:trPr>
        <w:tc>
          <w:tcPr>
            <w:tcW w:type="dxa" w:w="1701"/>
          </w:tcPr>
          <w:p>
            <w:r/>
            <w:r>
              <w:rPr>
                <w:b/>
                <w:color w:val="2D3748"/>
                <w:sz w:val="18"/>
              </w:rPr>
              <w:t>Estado</w:t>
            </w:r>
          </w:p>
        </w:tc>
        <w:tc>
          <w:tcPr>
            <w:tcW w:type="dxa" w:w="3855"/>
          </w:tcPr>
          <w:p>
            <w:r/>
            <w:r>
              <w:rPr>
                <w:b w:val="0"/>
                <w:color w:val="2D3748"/>
                <w:sz w:val="18"/>
              </w:rPr>
              <w:t>En uso en el prototipo</w:t>
            </w:r>
          </w:p>
        </w:tc>
        <w:tc>
          <w:tcPr>
            <w:tcW w:type="dxa" w:w="3855"/>
          </w:tcPr>
          <w:p>
            <w:r/>
            <w:r>
              <w:rPr>
                <w:b w:val="0"/>
                <w:color w:val="2D3748"/>
                <w:sz w:val="18"/>
              </w:rPr>
              <w:t>Diseñado; no desplegado</w:t>
            </w:r>
          </w:p>
        </w:tc>
      </w:tr>
    </w:tbl>
    <w:p>
      <w:pPr>
        <w:spacing w:after="80"/>
      </w:pPr>
    </w:p>
    <w:p>
      <w:pPr>
        <w:spacing w:after="160"/>
        <w:pBdr>
          <w:left w:val="single" w:sz="30" w:space="8" w:color="EA601F"/>
        </w:pBdr>
      </w:pPr>
      <w:r>
        <w:rPr>
          <w:b/>
          <w:color w:val="2D3748"/>
          <w:sz w:val="20"/>
        </w:rPr>
        <w:t xml:space="preserve">Costo verificado, y su alcance: </w:t>
      </w:r>
      <w:r>
        <w:rPr>
          <w:b w:val="0"/>
          <w:color w:val="2D3748"/>
          <w:sz w:val="20"/>
        </w:rPr>
        <w:t>el servidor del perfil A cuesta unos USD 37 al mes (cómputo t3.medium, disco de 40 GB e IP pública, tarifa de AWS verificada el 7-oct-2026). Esa cifra NO incluye la base de datos en RDS, el almacenamiento S3, el modelo de IA ni el soporte; el costo total del perfil A es PENDIENTE de levantar con fuente fechada.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Layout w:type="fixed"/>
      </w:tblPr>
      <w:tblGrid>
        <w:gridCol w:w="4422"/>
        <w:gridCol w:w="4989"/>
      </w:tblGrid>
      <w:tr>
        <w:trPr>
          <w:tblHeader/>
          <w:cantSplit/>
        </w:trPr>
        <w:tc>
          <w:tcPr>
            <w:tcW w:type="dxa" w:w="4422"/>
            <w:shd w:val="clear" w:color="auto" w:fill="2D3748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Componente de costo</w:t>
            </w:r>
          </w:p>
        </w:tc>
        <w:tc>
          <w:tcPr>
            <w:tcW w:type="dxa" w:w="4989"/>
            <w:shd w:val="clear" w:color="auto" w:fill="2D3748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Evidencia que falta</w:t>
            </w:r>
          </w:p>
        </w:tc>
      </w:tr>
      <w:tr>
        <w:trPr>
          <w:cantSplit/>
        </w:trPr>
        <w:tc>
          <w:tcPr>
            <w:tcW w:type="dxa" w:w="4422"/>
          </w:tcPr>
          <w:p>
            <w:r/>
            <w:r>
              <w:rPr>
                <w:b/>
                <w:color w:val="2D3748"/>
                <w:sz w:val="19"/>
              </w:rPr>
              <w:t>Base de datos RDS y almacenamiento S3</w:t>
            </w:r>
          </w:p>
        </w:tc>
        <w:tc>
          <w:tcPr>
            <w:tcW w:type="dxa" w:w="4989"/>
          </w:tcPr>
          <w:p>
            <w:r/>
            <w:r>
              <w:rPr>
                <w:b w:val="0"/>
                <w:color w:val="2D3748"/>
                <w:sz w:val="19"/>
              </w:rPr>
              <w:t>Tamaño, retención y tráfico reales del piloto</w:t>
            </w:r>
          </w:p>
        </w:tc>
      </w:tr>
      <w:tr>
        <w:trPr>
          <w:cantSplit/>
        </w:trPr>
        <w:tc>
          <w:tcPr>
            <w:tcW w:type="dxa" w:w="4422"/>
          </w:tcPr>
          <w:p>
            <w:r/>
            <w:r>
              <w:rPr>
                <w:b/>
                <w:color w:val="2D3748"/>
                <w:sz w:val="19"/>
              </w:rPr>
              <w:t>Modelo de IA (DeepSeek)</w:t>
            </w:r>
          </w:p>
        </w:tc>
        <w:tc>
          <w:tcPr>
            <w:tcW w:type="dxa" w:w="4989"/>
          </w:tcPr>
          <w:p>
            <w:r/>
            <w:r>
              <w:rPr>
                <w:b w:val="0"/>
                <w:color w:val="2D3748"/>
                <w:sz w:val="19"/>
              </w:rPr>
              <w:t>Tokens, frecuencia y reintentos medidos</w:t>
            </w:r>
          </w:p>
        </w:tc>
      </w:tr>
      <w:tr>
        <w:trPr>
          <w:cantSplit/>
        </w:trPr>
        <w:tc>
          <w:tcPr>
            <w:tcW w:type="dxa" w:w="4422"/>
          </w:tcPr>
          <w:p>
            <w:r/>
            <w:r>
              <w:rPr>
                <w:b/>
                <w:color w:val="2D3748"/>
                <w:sz w:val="19"/>
              </w:rPr>
              <w:t>Distancias propias (OSRM) o proveedor</w:t>
            </w:r>
          </w:p>
        </w:tc>
        <w:tc>
          <w:tcPr>
            <w:tcW w:type="dxa" w:w="4989"/>
          </w:tcPr>
          <w:p>
            <w:r/>
            <w:r>
              <w:rPr>
                <w:b w:val="0"/>
                <w:color w:val="2D3748"/>
                <w:sz w:val="19"/>
              </w:rPr>
              <w:t>Decisión de piloto y su costo</w:t>
            </w:r>
          </w:p>
        </w:tc>
      </w:tr>
      <w:tr>
        <w:trPr>
          <w:cantSplit/>
        </w:trPr>
        <w:tc>
          <w:tcPr>
            <w:tcW w:type="dxa" w:w="4422"/>
          </w:tcPr>
          <w:p>
            <w:r/>
            <w:r>
              <w:rPr>
                <w:b/>
                <w:color w:val="2D3748"/>
                <w:sz w:val="19"/>
              </w:rPr>
              <w:t>Desarrollo, integración, capacitación y soporte</w:t>
            </w:r>
          </w:p>
        </w:tc>
        <w:tc>
          <w:tcPr>
            <w:tcW w:type="dxa" w:w="4989"/>
          </w:tcPr>
          <w:p>
            <w:r/>
            <w:r>
              <w:rPr>
                <w:b w:val="0"/>
                <w:color w:val="2D3748"/>
                <w:sz w:val="19"/>
              </w:rPr>
              <w:t>Horas estimadas con la empresa contraparte</w:t>
            </w:r>
          </w:p>
        </w:tc>
      </w:tr>
      <w:tr>
        <w:trPr>
          <w:cantSplit/>
        </w:trPr>
        <w:tc>
          <w:tcPr>
            <w:tcW w:type="dxa" w:w="4422"/>
          </w:tcPr>
          <w:p>
            <w:r/>
            <w:r>
              <w:rPr>
                <w:b/>
                <w:color w:val="2D3748"/>
                <w:sz w:val="19"/>
              </w:rPr>
              <w:t>Operación logística</w:t>
            </w:r>
          </w:p>
        </w:tc>
        <w:tc>
          <w:tcPr>
            <w:tcW w:type="dxa" w:w="4989"/>
          </w:tcPr>
          <w:p>
            <w:r/>
            <w:r>
              <w:rPr>
                <w:b w:val="0"/>
                <w:color w:val="2D3748"/>
                <w:sz w:val="19"/>
              </w:rPr>
              <w:t>Costo por kilómetro, conductor, urgencias y penalizaciones documentadas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 w:val="0"/>
          <w:i w:val="0"/>
          <w:color w:val="64748B"/>
          <w:sz w:val="19"/>
        </w:rPr>
        <w:t>Equipo: cinco integrantes con experiencia transversal (desarrollo, datos, infraestructura y producto). No incluimos estimaciones de nube o de APIs sin fecha y fuente.</w:t>
      </w:r>
    </w:p>
    <w:p>
      <w:pPr>
        <w:pStyle w:val="Heading1"/>
        <w:keepNext/>
        <w:spacing w:before="280" w:after="120"/>
        <w:pBdr>
          <w:bottom w:val="single" w:sz="12" w:space="4" w:color="00A7C4"/>
        </w:pBdr>
      </w:pPr>
      <w:r>
        <w:rPr>
          <w:b/>
          <w:color w:val="00A7C4"/>
          <w:sz w:val="34"/>
        </w:rPr>
        <w:t xml:space="preserve">4  </w:t>
      </w:r>
      <w:r>
        <w:rPr>
          <w:b/>
          <w:color w:val="2D3748"/>
          <w:sz w:val="34"/>
        </w:rPr>
        <w:t>Riesgos y cómo los gestionamos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Layout w:type="fixed"/>
      </w:tblPr>
      <w:tblGrid>
        <w:gridCol w:w="2041"/>
        <w:gridCol w:w="1928"/>
        <w:gridCol w:w="3855"/>
        <w:gridCol w:w="1587"/>
      </w:tblGrid>
      <w:tr>
        <w:trPr>
          <w:tblHeader/>
          <w:cantSplit/>
        </w:trPr>
        <w:tc>
          <w:tcPr>
            <w:tcW w:type="dxa" w:w="2041"/>
            <w:shd w:val="clear" w:color="auto" w:fill="2D3748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Riesgo</w:t>
            </w:r>
          </w:p>
        </w:tc>
        <w:tc>
          <w:tcPr>
            <w:tcW w:type="dxa" w:w="1928"/>
            <w:shd w:val="clear" w:color="auto" w:fill="2D3748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Efecto</w:t>
            </w:r>
          </w:p>
        </w:tc>
        <w:tc>
          <w:tcPr>
            <w:tcW w:type="dxa" w:w="3855"/>
            <w:shd w:val="clear" w:color="auto" w:fill="2D3748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Mitigación</w:t>
            </w:r>
          </w:p>
        </w:tc>
        <w:tc>
          <w:tcPr>
            <w:tcW w:type="dxa" w:w="1587"/>
            <w:shd w:val="clear" w:color="auto" w:fill="2D3748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Estado</w:t>
            </w:r>
          </w:p>
        </w:tc>
      </w:tr>
      <w:tr>
        <w:trPr>
          <w:cantSplit/>
        </w:trPr>
        <w:tc>
          <w:tcPr>
            <w:tcW w:type="dxa" w:w="2041"/>
          </w:tcPr>
          <w:p>
            <w:r/>
            <w:r>
              <w:rPr>
                <w:b/>
                <w:color w:val="2D3748"/>
                <w:sz w:val="17"/>
              </w:rPr>
              <w:t>Datos incompletos o inconsistentes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color w:val="2D3748"/>
                <w:sz w:val="17"/>
              </w:rPr>
              <w:t>Cobertura con falsa precisión</w:t>
            </w:r>
          </w:p>
        </w:tc>
        <w:tc>
          <w:tcPr>
            <w:tcW w:type="dxa" w:w="3855"/>
          </w:tcPr>
          <w:p>
            <w:r/>
            <w:r>
              <w:rPr>
                <w:b w:val="0"/>
                <w:color w:val="2D3748"/>
                <w:sz w:val="17"/>
              </w:rPr>
              <w:t>Validar al importar, mostrar fuente y frescura, decir «sin dato»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color w:val="2D3748"/>
                <w:sz w:val="17"/>
              </w:rPr>
              <w:t>Diseñado</w:t>
            </w:r>
          </w:p>
        </w:tc>
      </w:tr>
      <w:tr>
        <w:trPr>
          <w:cantSplit/>
        </w:trPr>
        <w:tc>
          <w:tcPr>
            <w:tcW w:type="dxa" w:w="2041"/>
          </w:tcPr>
          <w:p>
            <w:r/>
            <w:r>
              <w:rPr>
                <w:b/>
                <w:color w:val="2D3748"/>
                <w:sz w:val="17"/>
              </w:rPr>
              <w:t>Rutas poco realistas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color w:val="2D3748"/>
                <w:sz w:val="17"/>
              </w:rPr>
              <w:t>Ventanas o restricciones mal modeladas</w:t>
            </w:r>
          </w:p>
        </w:tc>
        <w:tc>
          <w:tcPr>
            <w:tcW w:type="dxa" w:w="3855"/>
          </w:tcPr>
          <w:p>
            <w:r/>
            <w:r>
              <w:rPr>
                <w:b w:val="0"/>
                <w:color w:val="2D3748"/>
                <w:sz w:val="17"/>
              </w:rPr>
              <w:t>Validar reglas con el planificador; revisión humana antes de publicar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color w:val="2D3748"/>
                <w:sz w:val="17"/>
              </w:rPr>
              <w:t>Diseñado</w:t>
            </w:r>
          </w:p>
        </w:tc>
      </w:tr>
      <w:tr>
        <w:trPr>
          <w:cantSplit/>
        </w:trPr>
        <w:tc>
          <w:tcPr>
            <w:tcW w:type="dxa" w:w="2041"/>
          </w:tcPr>
          <w:p>
            <w:r/>
            <w:r>
              <w:rPr>
                <w:b/>
                <w:color w:val="2D3748"/>
                <w:sz w:val="17"/>
              </w:rPr>
              <w:t>Costos mal estimados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color w:val="2D3748"/>
                <w:sz w:val="17"/>
              </w:rPr>
              <w:t>Decisión sesgada</w:t>
            </w:r>
          </w:p>
        </w:tc>
        <w:tc>
          <w:tcPr>
            <w:tcW w:type="dxa" w:w="3855"/>
          </w:tcPr>
          <w:p>
            <w:r/>
            <w:r>
              <w:rPr>
                <w:b w:val="0"/>
                <w:color w:val="2D3748"/>
                <w:sz w:val="17"/>
              </w:rPr>
              <w:t>Mostrar el desglose y calibrar con viajes conciliados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color w:val="2D3748"/>
                <w:sz w:val="17"/>
              </w:rPr>
              <w:t>Por validar en piloto</w:t>
            </w:r>
          </w:p>
        </w:tc>
      </w:tr>
      <w:tr>
        <w:trPr>
          <w:cantSplit/>
        </w:trPr>
        <w:tc>
          <w:tcPr>
            <w:tcW w:type="dxa" w:w="2041"/>
          </w:tcPr>
          <w:p>
            <w:r/>
            <w:r>
              <w:rPr>
                <w:b/>
                <w:color w:val="2D3748"/>
                <w:sz w:val="17"/>
              </w:rPr>
              <w:t>La IA falla o es manipulada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color w:val="2D3748"/>
                <w:sz w:val="17"/>
              </w:rPr>
              <w:t>Explicación errónea o ausente</w:t>
            </w:r>
          </w:p>
        </w:tc>
        <w:tc>
          <w:tcPr>
            <w:tcW w:type="dxa" w:w="3855"/>
          </w:tcPr>
          <w:p>
            <w:r/>
            <w:r>
              <w:rPr>
                <w:b w:val="0"/>
                <w:color w:val="2D3748"/>
                <w:sz w:val="17"/>
              </w:rPr>
              <w:t>Política determinista en el backend; respaldo por plantilla; datos delimitados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color w:val="2D3748"/>
                <w:sz w:val="17"/>
              </w:rPr>
              <w:t>Construido</w:t>
            </w:r>
          </w:p>
        </w:tc>
      </w:tr>
      <w:tr>
        <w:trPr>
          <w:cantSplit/>
        </w:trPr>
        <w:tc>
          <w:tcPr>
            <w:tcW w:type="dxa" w:w="2041"/>
          </w:tcPr>
          <w:p>
            <w:r/>
            <w:r>
              <w:rPr>
                <w:b/>
                <w:color w:val="2D3748"/>
                <w:sz w:val="17"/>
              </w:rPr>
              <w:t>Sin señal en el punto de entrega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color w:val="2D3748"/>
                <w:sz w:val="17"/>
              </w:rPr>
              <w:t>Recepción perdida o duplicada</w:t>
            </w:r>
          </w:p>
        </w:tc>
        <w:tc>
          <w:tcPr>
            <w:tcW w:type="dxa" w:w="3855"/>
          </w:tcPr>
          <w:p>
            <w:r/>
            <w:r>
              <w:rPr>
                <w:b w:val="0"/>
                <w:color w:val="2D3748"/>
                <w:sz w:val="17"/>
              </w:rPr>
              <w:t>Cola local, sincronización idempotente y conciliación de cantidades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color w:val="2D3748"/>
                <w:sz w:val="17"/>
              </w:rPr>
              <w:t>Construido; falta prueba en teléfono</w:t>
            </w:r>
          </w:p>
        </w:tc>
      </w:tr>
      <w:tr>
        <w:trPr>
          <w:cantSplit/>
        </w:trPr>
        <w:tc>
          <w:tcPr>
            <w:tcW w:type="dxa" w:w="2041"/>
          </w:tcPr>
          <w:p>
            <w:r/>
            <w:r>
              <w:rPr>
                <w:b/>
                <w:color w:val="2D3748"/>
                <w:sz w:val="17"/>
              </w:rPr>
              <w:t>QR o evidencias exponen información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color w:val="2D3748"/>
                <w:sz w:val="17"/>
              </w:rPr>
              <w:t>Acceso indebido</w:t>
            </w:r>
          </w:p>
        </w:tc>
        <w:tc>
          <w:tcPr>
            <w:tcW w:type="dxa" w:w="3855"/>
          </w:tcPr>
          <w:p>
            <w:r/>
            <w:r>
              <w:rPr>
                <w:b w:val="0"/>
                <w:color w:val="2D3748"/>
                <w:sz w:val="17"/>
              </w:rPr>
              <w:t>Vista pública limitada a hitos de custodia y límite de consultas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color w:val="2D3748"/>
                <w:sz w:val="17"/>
              </w:rPr>
              <w:t>Construido</w:t>
            </w:r>
          </w:p>
        </w:tc>
      </w:tr>
      <w:tr>
        <w:trPr>
          <w:cantSplit/>
        </w:trPr>
        <w:tc>
          <w:tcPr>
            <w:tcW w:type="dxa" w:w="2041"/>
          </w:tcPr>
          <w:p>
            <w:r/>
            <w:r>
              <w:rPr>
                <w:b/>
                <w:color w:val="2D3748"/>
                <w:sz w:val="17"/>
              </w:rPr>
              <w:t>Falla de red o nube durante la demostración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color w:val="2D3748"/>
                <w:sz w:val="17"/>
              </w:rPr>
              <w:t>Demostración interrumpida</w:t>
            </w:r>
          </w:p>
        </w:tc>
        <w:tc>
          <w:tcPr>
            <w:tcW w:type="dxa" w:w="3855"/>
          </w:tcPr>
          <w:p>
            <w:r/>
            <w:r>
              <w:rPr>
                <w:b w:val="0"/>
                <w:color w:val="2D3748"/>
                <w:sz w:val="17"/>
              </w:rPr>
              <w:t>Punto de acceso móvil, entorno espejo local y video de respaldo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color w:val="2D3748"/>
                <w:sz w:val="17"/>
              </w:rPr>
              <w:t>Preparado</w:t>
            </w:r>
          </w:p>
        </w:tc>
      </w:tr>
      <w:tr>
        <w:trPr>
          <w:cantSplit/>
        </w:trPr>
        <w:tc>
          <w:tcPr>
            <w:tcW w:type="dxa" w:w="2041"/>
          </w:tcPr>
          <w:p>
            <w:r/>
            <w:r>
              <w:rPr>
                <w:b/>
                <w:color w:val="2D3748"/>
                <w:sz w:val="17"/>
              </w:rPr>
              <w:t>Baja adopción o resistencia al cambio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color w:val="2D3748"/>
                <w:sz w:val="17"/>
              </w:rPr>
              <w:t>El sistema no se usa</w:t>
            </w:r>
          </w:p>
        </w:tc>
        <w:tc>
          <w:tcPr>
            <w:tcW w:type="dxa" w:w="3855"/>
          </w:tcPr>
          <w:p>
            <w:r/>
            <w:r>
              <w:rPr>
                <w:b w:val="0"/>
                <w:color w:val="2D3748"/>
                <w:sz w:val="17"/>
              </w:rPr>
              <w:t>Capacitación por rol y recogida de observaciones de bodega y conductores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color w:val="2D3748"/>
                <w:sz w:val="17"/>
              </w:rPr>
              <w:t>Por validar en piloto</w:t>
            </w:r>
          </w:p>
        </w:tc>
      </w:tr>
      <w:tr>
        <w:trPr>
          <w:cantSplit/>
        </w:trPr>
        <w:tc>
          <w:tcPr>
            <w:tcW w:type="dxa" w:w="2041"/>
          </w:tcPr>
          <w:p>
            <w:r/>
            <w:r>
              <w:rPr>
                <w:b/>
                <w:color w:val="2D3748"/>
                <w:sz w:val="17"/>
              </w:rPr>
              <w:t>Costos de nube sin control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color w:val="2D3748"/>
                <w:sz w:val="17"/>
              </w:rPr>
              <w:t>Viabilidad débil</w:t>
            </w:r>
          </w:p>
        </w:tc>
        <w:tc>
          <w:tcPr>
            <w:tcW w:type="dxa" w:w="3855"/>
          </w:tcPr>
          <w:p>
            <w:r/>
            <w:r>
              <w:rPr>
                <w:b w:val="0"/>
                <w:color w:val="2D3748"/>
                <w:sz w:val="17"/>
              </w:rPr>
              <w:t>Medir horas y recursos persistentes; presupuesto con límite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color w:val="2D3748"/>
                <w:sz w:val="17"/>
              </w:rPr>
              <w:t>Por medir</w:t>
            </w:r>
          </w:p>
        </w:tc>
      </w:tr>
    </w:tbl>
    <w:p>
      <w:pPr>
        <w:spacing w:after="80"/>
      </w:pPr>
    </w:p>
    <w:p>
      <w:pPr>
        <w:pStyle w:val="Heading1"/>
        <w:keepNext/>
        <w:spacing w:before="280" w:after="120"/>
        <w:pBdr>
          <w:bottom w:val="single" w:sz="12" w:space="4" w:color="00A7C4"/>
        </w:pBdr>
      </w:pPr>
      <w:r>
        <w:rPr>
          <w:b/>
          <w:color w:val="00A7C4"/>
          <w:sz w:val="34"/>
        </w:rPr>
        <w:t xml:space="preserve">5  </w:t>
      </w:r>
      <w:r>
        <w:rPr>
          <w:b/>
          <w:color w:val="2D3748"/>
          <w:sz w:val="34"/>
        </w:rPr>
        <w:t>Límites y próximos pasos</w:t>
      </w:r>
    </w:p>
    <w:p>
      <w:pPr>
        <w:pStyle w:val="ListBullet"/>
        <w:spacing w:after="60"/>
      </w:pPr>
      <w:r>
        <w:rPr>
          <w:b w:val="0"/>
          <w:color w:val="2D3748"/>
          <w:sz w:val="21"/>
        </w:rPr>
        <w:t>La versión desplegada es el perfil A; la operación nacional (perfil B) está diseñada, no desplegada.</w:t>
      </w:r>
    </w:p>
    <w:p>
      <w:pPr>
        <w:pStyle w:val="ListBullet"/>
        <w:spacing w:after="60"/>
      </w:pPr>
      <w:r>
        <w:rPr>
          <w:b w:val="0"/>
          <w:color w:val="2D3748"/>
          <w:sz w:val="21"/>
        </w:rPr>
        <w:t>No hay medidas de carga ni de recuperación ante fallos; no declaramos alta disponibilidad.</w:t>
      </w:r>
    </w:p>
    <w:p>
      <w:pPr>
        <w:pStyle w:val="ListBullet"/>
        <w:spacing w:after="60"/>
      </w:pPr>
      <w:r>
        <w:rPr>
          <w:b w:val="0"/>
          <w:color w:val="2D3748"/>
          <w:sz w:val="21"/>
        </w:rPr>
        <w:t>Tráfico en vivo y normativa de circulación de Quito: las franjas de hora pico son supuestos configurables.</w:t>
      </w:r>
    </w:p>
    <w:p>
      <w:pPr>
        <w:pStyle w:val="ListBullet"/>
        <w:spacing w:after="60"/>
      </w:pPr>
      <w:r>
        <w:rPr>
          <w:b w:val="0"/>
          <w:color w:val="2D3748"/>
          <w:sz w:val="21"/>
        </w:rPr>
        <w:t>Próximos pasos: levantar el costo total con la contraparte, acordar la línea base y ejecutar el piloto de cuatro semanas.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 xml:space="preserve">IstpetDev · Hackathon Expo Clean Ecuador 2026 · Reto 1 · Entregable 5 — Viabilidad · pág. </w:t>
    </w:r>
    <w:r>
      <w:rPr>
        <w:color w:val="64748B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color w:val="2D374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