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</w:pPr>
    </w:p>
    <w:p>
      <w:pPr>
        <w:spacing w:after="40"/>
      </w:pPr>
      <w:r>
        <w:rPr>
          <w:b/>
          <w:i w:val="0"/>
          <w:color w:val="00A7C4"/>
          <w:sz w:val="22"/>
        </w:rPr>
        <w:t>HACKATHON EXPO CLEAN ECUADOR 2026</w:t>
      </w:r>
    </w:p>
    <w:p>
      <w:pPr>
        <w:spacing w:after="520"/>
      </w:pPr>
      <w:r>
        <w:rPr>
          <w:b w:val="0"/>
          <w:i w:val="0"/>
          <w:color w:val="64748B"/>
          <w:sz w:val="22"/>
        </w:rPr>
        <w:t>Reto 1 — Optimización y trazabilidad logística del abastecimiento de insumos</w:t>
      </w:r>
    </w:p>
    <w:p>
      <w:pPr>
        <w:spacing w:after="0"/>
      </w:pPr>
      <w:r>
        <w:rPr>
          <w:b/>
          <w:i w:val="0"/>
          <w:color w:val="2D3748"/>
          <w:sz w:val="60"/>
        </w:rPr>
        <w:t>Qué probamos,</w:t>
      </w:r>
    </w:p>
    <w:p>
      <w:pPr>
        <w:spacing w:after="280"/>
      </w:pPr>
      <w:r>
        <w:rPr>
          <w:b/>
          <w:i w:val="0"/>
          <w:color w:val="00A7C4"/>
          <w:sz w:val="60"/>
        </w:rPr>
        <w:t>con qué y qué falta</w:t>
      </w:r>
    </w:p>
    <w:p>
      <w:pPr>
        <w:spacing w:after="1200"/>
        <w:pBdr>
          <w:left w:val="single" w:sz="24" w:space="8" w:color="EA601F"/>
        </w:pBdr>
      </w:pPr>
      <w:r>
        <w:rPr>
          <w:b w:val="0"/>
          <w:i w:val="0"/>
          <w:color w:val="2D3748"/>
          <w:sz w:val="24"/>
        </w:rPr>
        <w:t>Entregable 4 · Validación (Manual §9 y Anexo 5.4)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EQUIPO</w:t>
            </w:r>
          </w:p>
          <w:p>
            <w:pPr>
              <w:spacing w:after="160"/>
            </w:pPr>
            <w:r>
              <w:rPr>
                <w:b/>
                <w:i w:val="0"/>
                <w:color w:val="2D3748"/>
                <w:sz w:val="26"/>
              </w:rPr>
              <w:t>IstpetDev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Bryan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Jorge Doicela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Joseph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Anthony Pilatasig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Alexander Martínez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FECHA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17 de octubre de 2026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LUGAR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Quito, Ecuador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VERSIÓN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Versión para la entrega del 17 de octubre de 2026</w:t>
            </w:r>
          </w:p>
        </w:tc>
      </w:tr>
    </w:tbl>
    <w:p>
      <w:pPr>
        <w:sectPr>
          <w:footerReference w:type="default" r:id="rId10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1  </w:t>
      </w:r>
      <w:r>
        <w:rPr>
          <w:b/>
          <w:color w:val="2D3748"/>
          <w:sz w:val="34"/>
        </w:rPr>
        <w:t>¿Qué probamos?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Probamos el prototipo en cuatro frentes. Cada resultado se presenta con su escenario y su límite; lo que no se ejecutó se dice como pendiente.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1928"/>
        <w:gridCol w:w="3175"/>
        <w:gridCol w:w="2154"/>
        <w:gridCol w:w="2154"/>
      </w:tblGrid>
      <w:tr>
        <w:trPr>
          <w:tblHeader/>
          <w:cantSplit/>
        </w:trPr>
        <w:tc>
          <w:tcPr>
            <w:tcW w:type="dxa" w:w="192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17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se hizo</w:t>
            </w:r>
          </w:p>
        </w:tc>
        <w:tc>
          <w:tcPr>
            <w:tcW w:type="dxa" w:w="2154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2154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Límite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/>
                <w:color w:val="2D3748"/>
                <w:sz w:val="18"/>
              </w:rPr>
              <w:t>Simulación de 90 días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color w:val="2D3748"/>
                <w:sz w:val="18"/>
              </w:rPr>
              <w:t>12 corridas: 3 políticas × 4 escenarios (3 semillas base y 1 adversa)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Sin ahorro frente al calendario fijo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Datos sintéticos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/>
                <w:color w:val="2D3748"/>
                <w:sz w:val="18"/>
              </w:rPr>
              <w:t>Comparación A/B/C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color w:val="2D3748"/>
                <w:sz w:val="18"/>
              </w:rPr>
              <w:t>Ensayo técnico del motor en el escenario de Quito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Recomienda la opción C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Local; no en producción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/>
                <w:color w:val="2D3748"/>
                <w:sz w:val="18"/>
              </w:rPr>
              <w:t>Agente de IA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color w:val="2D3748"/>
                <w:sz w:val="18"/>
              </w:rPr>
              <w:t>Corrida registrada: riesgos, abastecimiento y rutas con explicación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Completó, con caída al respaldo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Una corrida registrada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/>
                <w:color w:val="2D3748"/>
                <w:sz w:val="18"/>
              </w:rPr>
              <w:t>Despliegue en producción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color w:val="2D3748"/>
                <w:sz w:val="18"/>
              </w:rPr>
              <w:t>Verificación de salud el 17-oct a las 08:28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Todo en HTTP 200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2D3748"/>
                <w:sz w:val="18"/>
              </w:rPr>
              <w:t>Salud técnica, no uso por usuarios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2  </w:t>
      </w:r>
      <w:r>
        <w:rPr>
          <w:b/>
          <w:color w:val="2D3748"/>
          <w:sz w:val="34"/>
        </w:rPr>
        <w:t>Simulación de 90 días</w:t>
      </w:r>
    </w:p>
    <w:p>
      <w:pPr>
        <w:spacing w:after="80"/>
      </w:pPr>
      <w:r>
        <w:rPr>
          <w:b w:val="0"/>
          <w:i w:val="0"/>
          <w:color w:val="2D3748"/>
          <w:sz w:val="21"/>
        </w:rPr>
        <w:t>Estas son las escalas que usamos en todo el paquete; cada cifra se refiere a una sola de ellas.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494"/>
        <w:gridCol w:w="6917"/>
      </w:tblGrid>
      <w:tr>
        <w:trPr>
          <w:tblHeader/>
          <w:cantSplit/>
        </w:trPr>
        <w:tc>
          <w:tcPr>
            <w:tcW w:type="dxa" w:w="2494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6917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Escala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b/>
                <w:color w:val="2D3748"/>
                <w:sz w:val="18"/>
              </w:rPr>
              <w:t>Comparación A/B/C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color w:val="2D3748"/>
                <w:sz w:val="18"/>
              </w:rPr>
              <w:t>Escenario sintético de Quito: 40 puntos; el ensayo usa 4 pedidos y 6 entregas críticas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b/>
                <w:color w:val="2D3748"/>
                <w:sz w:val="18"/>
              </w:rPr>
              <w:t>Simulación de 90 días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color w:val="2D3748"/>
                <w:sz w:val="18"/>
              </w:rPr>
              <w:t>El mismo escenario: 40 puntos, 3 bodegas, 10 vehículos y 12 productos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b/>
                <w:color w:val="2D3748"/>
                <w:sz w:val="18"/>
              </w:rPr>
              <w:t>Demostración en vivo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color w:val="2D3748"/>
                <w:sz w:val="18"/>
              </w:rPr>
              <w:t>Región de demostración: unos 15 puntos y 2 vehículos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20"/>
      </w:pPr>
      <w:r>
        <w:rPr>
          <w:b w:val="0"/>
          <w:i w:val="0"/>
          <w:color w:val="2D3748"/>
          <w:sz w:val="21"/>
        </w:rPr>
        <w:t>Se comparó el escenario sintético de Quito importado en la base de datos (12 de los 40 puntos usan referencias de establecimientos públicos), sobre 90 días. Semillas base 42, 101 y 2024; escenario adverso 9999, con un vehículo retirado (VEH-0001). Corrida del 17-oct, commit ceeaf03; cifras en mediana de las semillas base.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3061"/>
        <w:gridCol w:w="2041"/>
        <w:gridCol w:w="1474"/>
        <w:gridCol w:w="1361"/>
        <w:gridCol w:w="1474"/>
      </w:tblGrid>
      <w:tr>
        <w:trPr>
          <w:tblHeader/>
          <w:cantSplit/>
        </w:trPr>
        <w:tc>
          <w:tcPr>
            <w:tcW w:type="dxa" w:w="306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type="dxa" w:w="204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 de transporte</w:t>
            </w:r>
          </w:p>
        </w:tc>
        <w:tc>
          <w:tcPr>
            <w:tcW w:type="dxa" w:w="1474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Km totales</w:t>
            </w:r>
          </w:p>
        </w:tc>
        <w:tc>
          <w:tcPr>
            <w:tcW w:type="dxa" w:w="136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Entregas</w:t>
            </w:r>
          </w:p>
        </w:tc>
        <w:tc>
          <w:tcPr>
            <w:tcW w:type="dxa" w:w="1474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Quiebres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Reactiva: repone cuando ya falta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9"/>
              </w:rPr>
              <w:t>USD 8 507,86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D3748"/>
                <w:sz w:val="19"/>
              </w:rPr>
              <w:t>9 699,4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color w:val="2D3748"/>
                <w:sz w:val="19"/>
              </w:rPr>
              <w:t>1 966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D3748"/>
                <w:sz w:val="19"/>
              </w:rPr>
              <w:t>16 608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Calendario fijo semanal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9"/>
              </w:rPr>
              <w:t>USD 4 889,23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D3748"/>
                <w:sz w:val="19"/>
              </w:rPr>
              <w:t>5 589,1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color w:val="2D3748"/>
                <w:sz w:val="19"/>
              </w:rPr>
              <w:t>1 611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D3748"/>
                <w:sz w:val="19"/>
              </w:rPr>
              <w:t>16 117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IstpetDev: preventiva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9"/>
              </w:rPr>
              <w:t>USD 6 077,22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D3748"/>
                <w:sz w:val="19"/>
              </w:rPr>
              <w:t>6 571,2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color w:val="2D3748"/>
                <w:sz w:val="19"/>
              </w:rPr>
              <w:t>939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D3748"/>
                <w:sz w:val="19"/>
              </w:rPr>
              <w:t>16 589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Frente al calendario fijo semanal: </w:t>
      </w:r>
      <w:r>
        <w:rPr>
          <w:b w:val="0"/>
          <w:color w:val="2D3748"/>
          <w:sz w:val="21"/>
        </w:rPr>
        <w:t>no hay ahorro. IstpetDev cuesta más (USD 6 077,22 frente a USD 4 889,23), recorre más km y tiene más quiebres netos en las semillas base. En el escenario adverso la diferencia neta de quiebres se invierte (+168 a favor de IstpetDev).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Frente a la política reactiva: </w:t>
      </w:r>
      <w:r>
        <w:rPr>
          <w:b w:val="0"/>
          <w:color w:val="2D3748"/>
          <w:sz w:val="21"/>
        </w:rPr>
        <w:t>IstpetDev gasta menos en transporte, pero también entrega menos veces (939 frente a 1 966) y su diferencia neta de quiebres no mejora (−20 en la mediana).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Puntualidad: </w:t>
      </w:r>
      <w:r>
        <w:rPr>
          <w:b w:val="0"/>
          <w:color w:val="2D3748"/>
          <w:sz w:val="21"/>
        </w:rPr>
        <w:t>similar entre políticas (38,6 % en IstpetDev y reactiva, 40,4 % en el calendario fijo).</w:t>
      </w:r>
    </w:p>
    <w:p>
      <w:pPr>
        <w:spacing w:after="160"/>
        <w:pBdr>
          <w:left w:val="single" w:sz="30" w:space="8" w:color="EA601F"/>
        </w:pBdr>
      </w:pPr>
      <w:r>
        <w:rPr>
          <w:b/>
          <w:color w:val="2D3748"/>
          <w:sz w:val="20"/>
        </w:rPr>
        <w:t xml:space="preserve">Cómo leer estas cifras: </w:t>
      </w:r>
      <w:r>
        <w:rPr>
          <w:b w:val="0"/>
          <w:color w:val="2D3748"/>
          <w:sz w:val="20"/>
        </w:rPr>
        <w:t>es una simulación con datos sintéticos, no un ahorro observado. No sostiene que IstpetDev reduzca el costo frente a un calendario fijo: ese efecto, y su relación con los quiebres, se medirá con datos de una empresa en el piloto. Una versión anterior de este entregable citaba un 9,8 % de ahorro calculado sobre otro conjunto de datos; se retira.</w:t>
      </w:r>
    </w:p>
    <w:p>
      <w:pPr>
        <w:spacing w:after="80"/>
      </w:pPr>
      <w:r>
        <w:rPr>
          <w:b w:val="0"/>
          <w:i w:val="0"/>
          <w:color w:val="64748B"/>
          <w:sz w:val="19"/>
        </w:rPr>
        <w:t>Las corridas se reproducen con las semillas fijadas y el dataset `demo-quito-planificacion`; el resumen queda en `docs/evidence/simulation-quito/` y las cifras comentadas en la nota «Cifras del simulador 90 días».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3  </w:t>
      </w:r>
      <w:r>
        <w:rPr>
          <w:b/>
          <w:color w:val="2D3748"/>
          <w:sz w:val="34"/>
        </w:rPr>
        <w:t>¿Con quién probamos?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Con el sector, en la charla: </w:t>
      </w:r>
      <w:r>
        <w:rPr>
          <w:b w:val="0"/>
          <w:color w:val="2D3748"/>
          <w:sz w:val="21"/>
        </w:rPr>
        <w:t>escuchamos el testimonio de un prestador de servicios de limpieza (16-oct). Es contexto del problema, no una prueba del producto.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Con mentores: </w:t>
      </w:r>
      <w:r>
        <w:rPr>
          <w:b w:val="0"/>
          <w:color w:val="2D3748"/>
          <w:sz w:val="21"/>
        </w:rPr>
        <w:t>la sesión «Pitch que convence» del 17-oct orientó la estructura de la presentación. No hay una mentoría documentada en la que el mentor haya probado el prototipo.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Con usuarios finales: </w:t>
      </w:r>
      <w:r>
        <w:rPr>
          <w:b w:val="0"/>
          <w:color w:val="2D3748"/>
          <w:sz w:val="21"/>
        </w:rPr>
        <w:t>todavía no. No hay una sesión documentada con un planificador, un conductor o un receptor usando el sistema.</w:t>
      </w:r>
    </w:p>
    <w:p>
      <w:pPr>
        <w:spacing w:after="160"/>
        <w:pBdr>
          <w:left w:val="single" w:sz="30" w:space="8" w:color="EA601F"/>
        </w:pBdr>
      </w:pPr>
      <w:r>
        <w:rPr>
          <w:b/>
          <w:color w:val="2D3748"/>
          <w:sz w:val="20"/>
        </w:rPr>
        <w:t xml:space="preserve">Importante: </w:t>
      </w:r>
      <w:r>
        <w:rPr>
          <w:b w:val="0"/>
          <w:color w:val="2D3748"/>
          <w:sz w:val="20"/>
        </w:rPr>
        <w:t>una conversación con un mentor no equivale a un piloto con una empresa, y las entrevistas de la feria no demuestran frecuencia del problema ni disposición de pago.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4  </w:t>
      </w:r>
      <w:r>
        <w:rPr>
          <w:b/>
          <w:color w:val="2D3748"/>
          <w:sz w:val="34"/>
        </w:rPr>
        <w:t>¿Qué modificamos a partir de las pruebas?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Retiramos la cifra de 9,8 % de ahorro: venía de otro conjunto de datos y no se sostiene con la corrida del 17-oct sobre el escenario de Quito.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Retiramos del discurso el desglose por componente de la comparación A/B/C, porque en esa corrida no suma el total.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Pasamos de rutas con cifras fijas en pantalla a rutas y paradas calculadas por la API real.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Pasamos de un solo almacén a abastecimiento multialmacén con vigencia de lote (FEFO), validación de peso y volumen del vehículo y rebalanceo.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Reforzamos el acceso público por QR: vista limitada a los hitos de custodia y límite de consultas por IP.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Replanteamos la presentación: de «comparar costos» a un ciclo detectar → decidir → entregar → probar, con la IA como explicadora.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5  </w:t>
      </w:r>
      <w:r>
        <w:rPr>
          <w:b/>
          <w:color w:val="2D3748"/>
          <w:sz w:val="34"/>
        </w:rPr>
        <w:t>Lo que falta validar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4989"/>
        <w:gridCol w:w="4422"/>
      </w:tblGrid>
      <w:tr>
        <w:trPr>
          <w:tblHeader/>
          <w:cantSplit/>
        </w:trPr>
        <w:tc>
          <w:tcPr>
            <w:tcW w:type="dxa" w:w="4989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Prueba pendiente</w:t>
            </w:r>
          </w:p>
        </w:tc>
        <w:tc>
          <w:tcPr>
            <w:tcW w:type="dxa" w:w="4422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rPr>
          <w:cantSplit/>
        </w:trPr>
        <w:tc>
          <w:tcPr>
            <w:tcW w:type="dxa" w:w="4989"/>
          </w:tcPr>
          <w:p>
            <w:r/>
            <w:r>
              <w:rPr>
                <w:b/>
                <w:color w:val="2D3748"/>
                <w:sz w:val="19"/>
              </w:rPr>
              <w:t>Recorrido sin señal en un teléfono real, con reinicio y sincronización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9"/>
              </w:rPr>
              <w:t>Confirmar que el conductor cierra una recepción sin ayuda (H-P4)</w:t>
            </w:r>
          </w:p>
        </w:tc>
      </w:tr>
      <w:tr>
        <w:trPr>
          <w:cantSplit/>
        </w:trPr>
        <w:tc>
          <w:tcPr>
            <w:tcW w:type="dxa" w:w="4989"/>
          </w:tcPr>
          <w:p>
            <w:r/>
            <w:r>
              <w:rPr>
                <w:b/>
                <w:color w:val="2D3748"/>
                <w:sz w:val="19"/>
              </w:rPr>
              <w:t>Sesión con una persona del sector usando alertas, rutas y recepción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9"/>
              </w:rPr>
              <w:t>Comprobar que entiende el sistema (V-20)</w:t>
            </w:r>
          </w:p>
        </w:tc>
      </w:tr>
      <w:tr>
        <w:trPr>
          <w:cantSplit/>
        </w:trPr>
        <w:tc>
          <w:tcPr>
            <w:tcW w:type="dxa" w:w="4989"/>
          </w:tcPr>
          <w:p>
            <w:r/>
            <w:r>
              <w:rPr>
                <w:b/>
                <w:color w:val="2D3748"/>
                <w:sz w:val="19"/>
              </w:rPr>
              <w:t>Comparación con datos de una empresa real y una línea base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9"/>
              </w:rPr>
              <w:t>Convertir la simulación en ahorro observado</w:t>
            </w:r>
          </w:p>
        </w:tc>
      </w:tr>
      <w:tr>
        <w:trPr>
          <w:cantSplit/>
        </w:trPr>
        <w:tc>
          <w:tcPr>
            <w:tcW w:type="dxa" w:w="4989"/>
          </w:tcPr>
          <w:p>
            <w:r/>
            <w:r>
              <w:rPr>
                <w:b/>
                <w:color w:val="2D3748"/>
                <w:sz w:val="19"/>
              </w:rPr>
              <w:t>Medición de carga, tiempos de respuesta y recuperación ante fallos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9"/>
              </w:rPr>
              <w:t>Sostener cualquier afirmación de rendimiento o disponibilidad</w:t>
            </w:r>
          </w:p>
        </w:tc>
      </w:tr>
      <w:tr>
        <w:trPr>
          <w:cantSplit/>
        </w:trPr>
        <w:tc>
          <w:tcPr>
            <w:tcW w:type="dxa" w:w="4989"/>
          </w:tcPr>
          <w:p>
            <w:r/>
            <w:r>
              <w:rPr>
                <w:b/>
                <w:color w:val="2D3748"/>
                <w:sz w:val="19"/>
              </w:rPr>
              <w:t>Aceptación del agente: tres escenarios × diez ejecuciones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9"/>
              </w:rPr>
              <w:t>Confirmar latencia y fidelidad de las explicaciones de la IA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64748B"/>
          <w:sz w:val="19"/>
        </w:rPr>
        <w:t>El plan completo define 43 casos de validación (V-01 a V-43). Se ejecutan por prioridad: invariantes de inventario, autorización, trabajo sin señal y comparación justa primero. Los casos no ejecutados se consideran pendientes; no se dan por aprobados por inspección de documentos.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IstpetDev · Hackathon Expo Clean Ecuador 2026 · Reto 1 · Entregable 4 — Validación · pág.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