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3960000" cy="9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0"/>
      </w:pPr>
    </w:p>
    <w:p>
      <w:pPr>
        <w:spacing w:after="40"/>
      </w:pPr>
      <w:r>
        <w:rPr>
          <w:b/>
          <w:i w:val="0"/>
          <w:color w:val="00A7C4"/>
          <w:sz w:val="22"/>
        </w:rPr>
        <w:t>HACKATHON EXPO CLEAN ECUADOR 2026</w:t>
      </w:r>
    </w:p>
    <w:p>
      <w:pPr>
        <w:spacing w:after="520"/>
      </w:pPr>
      <w:r>
        <w:rPr>
          <w:b w:val="0"/>
          <w:i w:val="0"/>
          <w:color w:val="64748B"/>
          <w:sz w:val="22"/>
        </w:rPr>
        <w:t>Reto 1 — Optimización y trazabilidad logística del abastecimiento de insumos</w:t>
      </w:r>
    </w:p>
    <w:p>
      <w:pPr>
        <w:spacing w:after="0"/>
      </w:pPr>
      <w:r>
        <w:rPr>
          <w:b/>
          <w:i w:val="0"/>
          <w:color w:val="2D3748"/>
          <w:sz w:val="60"/>
        </w:rPr>
        <w:t>Modelo de negocio</w:t>
      </w:r>
    </w:p>
    <w:p>
      <w:pPr>
        <w:spacing w:after="280"/>
      </w:pPr>
      <w:r>
        <w:rPr>
          <w:b/>
          <w:i w:val="0"/>
          <w:color w:val="00A7C4"/>
          <w:sz w:val="60"/>
        </w:rPr>
        <w:t>y piloto</w:t>
      </w:r>
    </w:p>
    <w:p>
      <w:pPr>
        <w:spacing w:after="1200"/>
        <w:pBdr>
          <w:left w:val="single" w:sz="24" w:space="8" w:color="EA601F"/>
        </w:pBdr>
      </w:pPr>
      <w:r>
        <w:rPr>
          <w:b w:val="0"/>
          <w:i w:val="0"/>
          <w:color w:val="2D3748"/>
          <w:sz w:val="24"/>
        </w:rPr>
        <w:t>Entregable 6 · Modelo de negocio (Manual §9 y Anexo 5.6)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EQUIPO</w:t>
            </w:r>
          </w:p>
          <w:p>
            <w:pPr>
              <w:spacing w:after="160"/>
            </w:pPr>
            <w:r>
              <w:rPr>
                <w:b/>
                <w:i w:val="0"/>
                <w:color w:val="2D3748"/>
                <w:sz w:val="26"/>
              </w:rPr>
              <w:t>IstpetDev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Bryan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Jorge Doicela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Joseph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Anthony Pilatasig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Alexander Martínez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FECHA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17 de octubre de 2026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LUGAR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Quito, Ecuador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VERSIÓN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Versión para la entrega del 17 de octubre de 2026</w:t>
            </w:r>
          </w:p>
        </w:tc>
      </w:tr>
    </w:tbl>
    <w:p>
      <w:pPr>
        <w:sectPr>
          <w:footerReference w:type="default" r:id="rId10"/>
          <w:pgSz w:w="11906" w:h="16838"/>
          <w:pgMar w:top="1134" w:right="1247" w:bottom="1134" w:left="1247" w:header="720" w:footer="720" w:gutter="0"/>
          <w:cols w:space="720"/>
          <w:titlePg/>
          <w:docGrid w:linePitch="360"/>
        </w:sectPr>
      </w:pPr>
    </w:p>
    <w:p>
      <w:pPr>
        <w:spacing w:after="160"/>
        <w:pBdr>
          <w:left w:val="single" w:sz="30" w:space="8" w:color="00A7C4"/>
        </w:pBdr>
      </w:pPr>
      <w:r>
        <w:rPr>
          <w:b/>
          <w:color w:val="2D3748"/>
          <w:sz w:val="20"/>
        </w:rPr>
        <w:t xml:space="preserve">Estado: </w:t>
      </w:r>
      <w:r>
        <w:rPr>
          <w:b w:val="0"/>
          <w:color w:val="2D3748"/>
          <w:sz w:val="20"/>
        </w:rPr>
        <w:t>hipótesis para validar con usuarios y mentores. No hay cliente comprometido, venta, acuerdo comercial ni precio definido; lo pendiente está marcado.</w:t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1  </w:t>
      </w:r>
      <w:r>
        <w:rPr>
          <w:b/>
          <w:color w:val="2D3748"/>
          <w:sz w:val="34"/>
        </w:rPr>
        <w:t>¿Quién es el cliente o beneficiario?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2041"/>
        <w:gridCol w:w="7370"/>
      </w:tblGrid>
      <w:tr>
        <w:trPr>
          <w:tblHeader/>
          <w:cantSplit/>
        </w:trPr>
        <w:tc>
          <w:tcPr>
            <w:tcW w:type="dxa" w:w="2041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370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b/>
                <w:color w:val="2D3748"/>
                <w:sz w:val="19"/>
              </w:rPr>
              <w:t>Cliente propuesto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color w:val="2D3748"/>
                <w:sz w:val="19"/>
              </w:rPr>
              <w:t>Empresa de servicios de limpieza con operación distribuida, que abastece a muchos puntos (hospitales, clínicas, oficinas, comercios).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b/>
                <w:color w:val="2D3748"/>
                <w:sz w:val="19"/>
              </w:rPr>
              <w:t>Decisor posible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color w:val="2D3748"/>
                <w:sz w:val="19"/>
              </w:rPr>
              <w:t>Operaciones o gerencia.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b/>
                <w:color w:val="2D3748"/>
                <w:sz w:val="19"/>
              </w:rPr>
              <w:t>Usuarios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color w:val="2D3748"/>
                <w:sz w:val="19"/>
              </w:rPr>
              <w:t>Planificación, bodega, conductores y receptores.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b/>
                <w:color w:val="2D3748"/>
                <w:sz w:val="19"/>
              </w:rPr>
              <w:t>Beneficiarios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color w:val="2D3748"/>
                <w:sz w:val="19"/>
              </w:rPr>
              <w:t>Los puntos que mantienen su servicio y los equipos que evitan urgencias.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b/>
                <w:color w:val="2D3748"/>
                <w:sz w:val="19"/>
              </w:rPr>
              <w:t>Estado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color w:val="2D3748"/>
                <w:sz w:val="19"/>
              </w:rPr>
              <w:t>Hipótesis, sin cliente comprometido. El decisor, la necesidad y el presupuesto se verifican con una contraparte de piloto.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2  </w:t>
      </w:r>
      <w:r>
        <w:rPr>
          <w:b/>
          <w:color w:val="2D3748"/>
          <w:sz w:val="34"/>
        </w:rPr>
        <w:t>¿Cuál es la propuesta de valor?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00A7C4"/>
          <w:left w:val="single" w:sz="8" w:color="00A7C4"/>
          <w:bottom w:val="single" w:sz="8" w:color="00A7C4"/>
          <w:right w:val="single" w:sz="8" w:color="00A7C4"/>
          <w:insideH w:val="single" w:sz="8" w:color="00A7C4"/>
          <w:insideV w:val="single" w:sz="8" w:color="00A7C4"/>
        </w:tblBorders>
        <w:tblLayout w:type="fixed"/>
      </w:tblPr>
      <w:tblGrid>
        <w:gridCol w:w="9411"/>
      </w:tblGrid>
      <w:tr>
        <w:trPr>
          <w:cantSplit/>
        </w:trPr>
        <w:tc>
          <w:tcPr>
            <w:tcW w:type="dxa" w:w="9411"/>
            <w:shd w:val="clear" w:color="auto" w:fill="E0F7FB"/>
          </w:tcPr>
          <w:p>
            <w:pPr>
              <w:spacing w:before="120" w:after="120"/>
            </w:pPr>
            <w:r/>
            <w:r>
              <w:rPr>
                <w:b/>
                <w:color w:val="2D3748"/>
                <w:sz w:val="22"/>
              </w:rPr>
              <w:t xml:space="preserve">Detectamos el faltante antes de que el cliente llame, </w:t>
            </w:r>
            <w:r>
              <w:rPr>
                <w:b/>
                <w:color w:val="2D3748"/>
                <w:sz w:val="22"/>
              </w:rPr>
              <w:t xml:space="preserve">proponemos cómo atenderlo al costo real y dejamos prueba de cada entrega. </w:t>
            </w:r>
            <w:r>
              <w:rPr>
                <w:b w:val="0"/>
                <w:color w:val="2D3748"/>
                <w:sz w:val="22"/>
              </w:rPr>
              <w:t>El motor calcula, la IA explica y la persona decide.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4535"/>
        <w:gridCol w:w="4876"/>
      </w:tblGrid>
      <w:tr>
        <w:trPr>
          <w:tblHeader/>
          <w:cantSplit/>
        </w:trPr>
        <w:tc>
          <w:tcPr>
            <w:tcW w:type="dxa" w:w="4535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Hoy</w:t>
            </w:r>
          </w:p>
        </w:tc>
        <w:tc>
          <w:tcPr>
            <w:tcW w:type="dxa" w:w="4876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 IstpetDev</w:t>
            </w:r>
          </w:p>
        </w:tc>
      </w:tr>
      <w:tr>
        <w:trPr>
          <w:cantSplit/>
        </w:trPr>
        <w:tc>
          <w:tcPr>
            <w:tcW w:type="dxa" w:w="4535"/>
          </w:tcPr>
          <w:p>
            <w:r/>
            <w:r>
              <w:rPr>
                <w:b w:val="0"/>
                <w:color w:val="2D3748"/>
                <w:sz w:val="19"/>
              </w:rPr>
              <w:t>Se entera del faltante cuando el cliente llama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color w:val="2D3748"/>
                <w:sz w:val="19"/>
              </w:rPr>
              <w:t>Anticipa el riesgo con días de cobertura y la causa</w:t>
            </w:r>
          </w:p>
        </w:tc>
      </w:tr>
      <w:tr>
        <w:trPr>
          <w:cantSplit/>
        </w:trPr>
        <w:tc>
          <w:tcPr>
            <w:tcW w:type="dxa" w:w="4535"/>
          </w:tcPr>
          <w:p>
            <w:r/>
            <w:r>
              <w:rPr>
                <w:b w:val="0"/>
                <w:color w:val="2D3748"/>
                <w:sz w:val="19"/>
              </w:rPr>
              <w:t>Repone con calendarios fijos o por urgencia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color w:val="2D3748"/>
                <w:sz w:val="19"/>
              </w:rPr>
              <w:t>Prioriza por criticidad y restricciones, con ruta justificada</w:t>
            </w:r>
          </w:p>
        </w:tc>
      </w:tr>
      <w:tr>
        <w:trPr>
          <w:cantSplit/>
        </w:trPr>
        <w:tc>
          <w:tcPr>
            <w:tcW w:type="dxa" w:w="4535"/>
          </w:tcPr>
          <w:p>
            <w:r/>
            <w:r>
              <w:rPr>
                <w:b w:val="0"/>
                <w:color w:val="2D3748"/>
                <w:sz w:val="19"/>
              </w:rPr>
              <w:t>Decide mirando kilómetros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color w:val="2D3748"/>
                <w:sz w:val="19"/>
              </w:rPr>
              <w:t>Compara flota propia y contratada con el costo total estimado de servir</w:t>
            </w:r>
          </w:p>
        </w:tc>
      </w:tr>
      <w:tr>
        <w:trPr>
          <w:cantSplit/>
        </w:trPr>
        <w:tc>
          <w:tcPr>
            <w:tcW w:type="dxa" w:w="4535"/>
          </w:tcPr>
          <w:p>
            <w:r/>
            <w:r>
              <w:rPr>
                <w:b w:val="0"/>
                <w:color w:val="2D3748"/>
                <w:sz w:val="19"/>
              </w:rPr>
              <w:t>No puede comprobar qué se entregó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color w:val="2D3748"/>
                <w:sz w:val="19"/>
              </w:rPr>
              <w:t>Custodia con QR, foto y firma, con o sin señal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color w:val="2D3748"/>
          <w:sz w:val="21"/>
        </w:rPr>
        <w:t>Diferencia: no es solo un inventario con alertas ni solo un ruteador; la alerta termina en una decisión con costo y en una entrega comprobable.</w:t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3  </w:t>
      </w:r>
      <w:r>
        <w:rPr>
          <w:b/>
          <w:color w:val="2D3748"/>
          <w:sz w:val="34"/>
        </w:rPr>
        <w:t>¿Cómo genera ingresos o sostenibilidad?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Implementación inicial: </w:t>
      </w:r>
      <w:r>
        <w:rPr>
          <w:b w:val="0"/>
          <w:color w:val="2D3748"/>
          <w:sz w:val="21"/>
        </w:rPr>
        <w:t>integración con los datos de la empresa, configuración y capacitación por rol.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Suscripción: </w:t>
      </w:r>
      <w:r>
        <w:rPr>
          <w:b w:val="0"/>
          <w:color w:val="2D3748"/>
          <w:sz w:val="21"/>
        </w:rPr>
        <w:t>por operación o por puntos activos.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Entrada: </w:t>
      </w:r>
      <w:r>
        <w:rPr>
          <w:b w:val="0"/>
          <w:color w:val="2D3748"/>
          <w:sz w:val="21"/>
        </w:rPr>
        <w:t>piloto de cuatro semanas sobre una bodega y un grupo de puntos, para medir antes de ampliar.</w:t>
      </w:r>
    </w:p>
    <w:p>
      <w:pPr>
        <w:spacing w:after="160"/>
        <w:pBdr>
          <w:left w:val="single" w:sz="30" w:space="8" w:color="EA601F"/>
        </w:pBdr>
      </w:pPr>
      <w:r>
        <w:rPr>
          <w:b/>
          <w:color w:val="2D3748"/>
          <w:sz w:val="20"/>
        </w:rPr>
        <w:t xml:space="preserve">Precio: PENDIENTE. </w:t>
      </w:r>
      <w:r>
        <w:rPr>
          <w:b w:val="0"/>
          <w:color w:val="2D3748"/>
          <w:sz w:val="20"/>
        </w:rPr>
        <w:t>Se decide después de validar el ahorro, la disposición de pago y el costo real de soporte. No asignamos un precio ficticio como si fuera un dato.</w:t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4  </w:t>
      </w:r>
      <w:r>
        <w:rPr>
          <w:b/>
          <w:color w:val="2D3748"/>
          <w:sz w:val="34"/>
        </w:rPr>
        <w:t>¿Cuáles son los costos principales?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3628"/>
        <w:gridCol w:w="5783"/>
      </w:tblGrid>
      <w:tr>
        <w:trPr>
          <w:tblHeader/>
          <w:cantSplit/>
        </w:trPr>
        <w:tc>
          <w:tcPr>
            <w:tcW w:type="dxa" w:w="3628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783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Estado de la cifra</w:t>
            </w:r>
          </w:p>
        </w:tc>
      </w:tr>
      <w:tr>
        <w:trPr>
          <w:cantSplit/>
        </w:trPr>
        <w:tc>
          <w:tcPr>
            <w:tcW w:type="dxa" w:w="3628"/>
          </w:tcPr>
          <w:p>
            <w:r/>
            <w:r>
              <w:rPr>
                <w:b/>
                <w:color w:val="2D3748"/>
                <w:sz w:val="19"/>
              </w:rPr>
              <w:t>Servidor de la aplicación (perfil A)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color w:val="2D3748"/>
                <w:sz w:val="19"/>
              </w:rPr>
              <w:t>≈ USD 37 al mes solo en cómputo, disco e IP pública (AWS, verificado el 7-oct-2026). Parcial: no incluye la base RDS.</w:t>
            </w:r>
          </w:p>
        </w:tc>
      </w:tr>
      <w:tr>
        <w:trPr>
          <w:cantSplit/>
        </w:trPr>
        <w:tc>
          <w:tcPr>
            <w:tcW w:type="dxa" w:w="3628"/>
          </w:tcPr>
          <w:p>
            <w:r/>
            <w:r>
              <w:rPr>
                <w:b/>
                <w:color w:val="2D3748"/>
                <w:sz w:val="19"/>
              </w:rPr>
              <w:t>Base de datos RDS y almacenamiento de evidencias (S3)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color w:val="2D3748"/>
                <w:sz w:val="19"/>
              </w:rPr>
              <w:t>PENDIENTE: depende del tamaño y la retención del piloto</w:t>
            </w:r>
          </w:p>
        </w:tc>
      </w:tr>
      <w:tr>
        <w:trPr>
          <w:cantSplit/>
        </w:trPr>
        <w:tc>
          <w:tcPr>
            <w:tcW w:type="dxa" w:w="3628"/>
          </w:tcPr>
          <w:p>
            <w:r/>
            <w:r>
              <w:rPr>
                <w:b/>
                <w:color w:val="2D3748"/>
                <w:sz w:val="19"/>
              </w:rPr>
              <w:t>Mapas y distancias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color w:val="2D3748"/>
                <w:sz w:val="19"/>
              </w:rPr>
              <w:t>Sin costo de licencia (OpenStreetMap). Distancias propias o de proveedor: PENDIENTE</w:t>
            </w:r>
          </w:p>
        </w:tc>
      </w:tr>
      <w:tr>
        <w:trPr>
          <w:cantSplit/>
        </w:trPr>
        <w:tc>
          <w:tcPr>
            <w:tcW w:type="dxa" w:w="3628"/>
          </w:tcPr>
          <w:p>
            <w:r/>
            <w:r>
              <w:rPr>
                <w:b/>
                <w:color w:val="2D3748"/>
                <w:sz w:val="19"/>
              </w:rPr>
              <w:t>Modelo de IA (DeepSeek)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color w:val="2D3748"/>
                <w:sz w:val="19"/>
              </w:rPr>
              <w:t>PENDIENTE: tokens y frecuencia de uso</w:t>
            </w:r>
          </w:p>
        </w:tc>
      </w:tr>
      <w:tr>
        <w:trPr>
          <w:cantSplit/>
        </w:trPr>
        <w:tc>
          <w:tcPr>
            <w:tcW w:type="dxa" w:w="3628"/>
          </w:tcPr>
          <w:p>
            <w:r/>
            <w:r>
              <w:rPr>
                <w:b/>
                <w:color w:val="2D3748"/>
                <w:sz w:val="19"/>
              </w:rPr>
              <w:t>Desarrollo, integración y soporte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color w:val="2D3748"/>
                <w:sz w:val="19"/>
              </w:rPr>
              <w:t>PENDIENTE: horas con la empresa contraparte</w:t>
            </w:r>
          </w:p>
        </w:tc>
      </w:tr>
      <w:tr>
        <w:trPr>
          <w:cantSplit/>
        </w:trPr>
        <w:tc>
          <w:tcPr>
            <w:tcW w:type="dxa" w:w="3628"/>
          </w:tcPr>
          <w:p>
            <w:r/>
            <w:r>
              <w:rPr>
                <w:b/>
                <w:color w:val="2D3748"/>
                <w:sz w:val="19"/>
              </w:rPr>
              <w:t>Operación logística del cliente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color w:val="2D3748"/>
                <w:sz w:val="19"/>
              </w:rPr>
              <w:t>PENDIENTE: costo por kilómetro, conductor y urgencias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5  </w:t>
      </w:r>
      <w:r>
        <w:rPr>
          <w:b/>
          <w:color w:val="2D3748"/>
          <w:sz w:val="34"/>
        </w:rPr>
        <w:t>Cómo mediremos el valor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Ahorro operativo </w:t>
      </w:r>
      <w:r>
        <w:rPr>
          <w:b w:val="0"/>
          <w:color w:val="2D3748"/>
          <w:sz w:val="21"/>
        </w:rPr>
        <w:t>= costo tradicional − costo con la plataforma, para un nivel comparable de servicio.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Beneficio neto </w:t>
      </w:r>
      <w:r>
        <w:rPr>
          <w:b w:val="0"/>
          <w:color w:val="2D3748"/>
          <w:sz w:val="21"/>
        </w:rPr>
        <w:t>= ahorro operativo − costo incremental del sistema y su operación.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ROI </w:t>
      </w:r>
      <w:r>
        <w:rPr>
          <w:b w:val="0"/>
          <w:color w:val="2D3748"/>
          <w:sz w:val="21"/>
        </w:rPr>
        <w:t>= beneficio neto / inversión relevante, indicando el período y lo que integra la inversión.</w:t>
      </w:r>
    </w:p>
    <w:p>
      <w:pPr>
        <w:spacing w:after="120"/>
      </w:pPr>
      <w:r>
        <w:rPr>
          <w:b w:val="0"/>
          <w:i w:val="0"/>
          <w:color w:val="2D3748"/>
          <w:sz w:val="21"/>
        </w:rPr>
        <w:t>Separamos el ahorro simulado del observado. Una ruta más corta puede empeorar la puntualidad; no vendemos ahorro si solo traslada el costo a faltantes o a más horas de trabajo. Indicadores del piloto: quiebres evitados y nuevos, demanda no atendida, costo de transporte y puntualidad, cada uno con unidad, período y denominador.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5783"/>
        <w:gridCol w:w="3628"/>
      </w:tblGrid>
      <w:tr>
        <w:trPr>
          <w:tblHeader/>
          <w:cantSplit/>
        </w:trPr>
        <w:tc>
          <w:tcPr>
            <w:tcW w:type="dxa" w:w="5783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Evidencia disponible hoy</w:t>
            </w:r>
          </w:p>
        </w:tc>
        <w:tc>
          <w:tcPr>
            <w:tcW w:type="dxa" w:w="3628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Alcance</w:t>
            </w:r>
          </w:p>
        </w:tc>
      </w:tr>
      <w:tr>
        <w:trPr>
          <w:cantSplit/>
        </w:trPr>
        <w:tc>
          <w:tcPr>
            <w:tcW w:type="dxa" w:w="5783"/>
          </w:tcPr>
          <w:p>
            <w:r/>
            <w:r>
              <w:rPr>
                <w:b w:val="0"/>
                <w:color w:val="2D3748"/>
                <w:sz w:val="19"/>
              </w:rPr>
              <w:t>Simulación de 90 días en Quito: IstpetDev gasta menos que la política reactiva y más que el calendario fijo semanal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color w:val="2D3748"/>
                <w:sz w:val="19"/>
              </w:rPr>
              <w:t>Sintética; no demuestra ahorro. El efecto sobre quiebres se mide en el piloto</w:t>
            </w:r>
          </w:p>
        </w:tc>
      </w:tr>
      <w:tr>
        <w:trPr>
          <w:cantSplit/>
        </w:trPr>
        <w:tc>
          <w:tcPr>
            <w:tcW w:type="dxa" w:w="5783"/>
          </w:tcPr>
          <w:p>
            <w:r/>
            <w:r>
              <w:rPr>
                <w:b w:val="0"/>
                <w:color w:val="2D3748"/>
                <w:sz w:val="19"/>
              </w:rPr>
              <w:t>Comparación A/B/C: la opción recomendada cuesta 4,3 % menos que la propia con críticos primero (USD 2,99)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color w:val="2D3748"/>
                <w:sz w:val="19"/>
              </w:rPr>
              <w:t>Una sola corrida técnica sobre un escenario sintético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6  </w:t>
      </w:r>
      <w:r>
        <w:rPr>
          <w:b/>
          <w:color w:val="2D3748"/>
          <w:sz w:val="34"/>
        </w:rPr>
        <w:t>Próximo paso</w:t>
      </w:r>
    </w:p>
    <w:p>
      <w:pPr>
        <w:spacing w:after="120"/>
      </w:pPr>
      <w:r>
        <w:rPr>
          <w:b w:val="0"/>
          <w:i w:val="0"/>
          <w:color w:val="2D3748"/>
          <w:sz w:val="21"/>
        </w:rPr>
        <w:t>Buscamos una empresa de limpieza como aliado para el piloto: acordar alcance, línea base e indicadores, y un umbral de avance que incluya la tolerancia a nuevos quiebres y a la carga operativa adicional. Solo después de esa medición hablaremos de resultados de la empresa y fijaremos el precio.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IstpetDev · Hackathon Expo Clean Ecuador 2026 · Reto 1 · Entregable 6 — Modelo de negocio · pág.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