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</w:pP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3960000" cy="9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0"/>
      </w:pPr>
    </w:p>
    <w:p>
      <w:pPr>
        <w:spacing w:after="40"/>
      </w:pPr>
      <w:r>
        <w:rPr>
          <w:b/>
          <w:i w:val="0"/>
          <w:color w:val="00A7C4"/>
          <w:sz w:val="22"/>
        </w:rPr>
        <w:t>HACKATHON EXPO CLEAN ECUADOR 2026</w:t>
      </w:r>
    </w:p>
    <w:p>
      <w:pPr>
        <w:spacing w:after="520"/>
      </w:pPr>
      <w:r>
        <w:rPr>
          <w:b w:val="0"/>
          <w:i w:val="0"/>
          <w:color w:val="64748B"/>
          <w:sz w:val="22"/>
        </w:rPr>
        <w:t>Reto 1 — Optimización y trazabilidad logística del abastecimiento de insumos</w:t>
      </w:r>
    </w:p>
    <w:p>
      <w:pPr>
        <w:spacing w:after="0"/>
      </w:pPr>
      <w:r>
        <w:rPr>
          <w:b/>
          <w:i w:val="0"/>
          <w:color w:val="2D3748"/>
          <w:sz w:val="60"/>
        </w:rPr>
        <w:t>Qué probamos,</w:t>
      </w:r>
    </w:p>
    <w:p>
      <w:pPr>
        <w:spacing w:after="280"/>
      </w:pPr>
      <w:r>
        <w:rPr>
          <w:b/>
          <w:i w:val="0"/>
          <w:color w:val="00A7C4"/>
          <w:sz w:val="60"/>
        </w:rPr>
        <w:t>con qué y qué falta</w:t>
      </w:r>
    </w:p>
    <w:p>
      <w:pPr>
        <w:spacing w:after="1200"/>
        <w:pBdr>
          <w:left w:val="single" w:sz="24" w:space="8" w:color="EA601F"/>
        </w:pBdr>
      </w:pPr>
      <w:r>
        <w:rPr>
          <w:b w:val="0"/>
          <w:i w:val="0"/>
          <w:color w:val="2D3748"/>
          <w:sz w:val="24"/>
        </w:rPr>
        <w:t>Entregable 4 · Validación (Manual §9 y Anexo 5.4)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EQUIPO</w:t>
            </w:r>
          </w:p>
          <w:p>
            <w:pPr>
              <w:spacing w:after="160"/>
            </w:pPr>
            <w:r>
              <w:rPr>
                <w:b/>
                <w:i w:val="0"/>
                <w:color w:val="2D3748"/>
                <w:sz w:val="26"/>
              </w:rPr>
              <w:t>IstpetDev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Bryan Baño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Jorge Doicela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Joseph Baño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Anthony Pilatasig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Alexander Martínez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FECHA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17 de octubre de 2026</w:t>
            </w:r>
          </w:p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LUGAR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Quito, Ecuador</w:t>
            </w:r>
          </w:p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VERSIÓN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Versión para la entrega del 17 de octubre de 2026</w:t>
            </w:r>
          </w:p>
        </w:tc>
      </w:tr>
    </w:tbl>
    <w:p>
      <w:pPr>
        <w:sectPr>
          <w:footerReference w:type="default" r:id="rId10"/>
          <w:pgSz w:w="11906" w:h="16838"/>
          <w:pgMar w:top="1134" w:right="1247" w:bottom="1134" w:left="124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1  </w:t>
      </w:r>
      <w:r>
        <w:rPr>
          <w:b/>
          <w:color w:val="2D3748"/>
          <w:sz w:val="34"/>
        </w:rPr>
        <w:t>¿Qué probamos?</w:t>
      </w:r>
    </w:p>
    <w:p>
      <w:pPr>
        <w:spacing w:after="120"/>
      </w:pPr>
      <w:r>
        <w:rPr>
          <w:b w:val="0"/>
          <w:i w:val="0"/>
          <w:color w:val="2D3748"/>
          <w:sz w:val="21"/>
        </w:rPr>
        <w:t>Probamos el prototipo en cuatro frentes. Cada resultado se presenta con su escenario y su límite; lo que no se ejecutó se dice como pendiente.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Layout w:type="fixed"/>
      </w:tblPr>
      <w:tblGrid>
        <w:gridCol w:w="1928"/>
        <w:gridCol w:w="3175"/>
        <w:gridCol w:w="2154"/>
        <w:gridCol w:w="2154"/>
      </w:tblGrid>
      <w:tr>
        <w:trPr>
          <w:tblHeader/>
          <w:cantSplit/>
        </w:trPr>
        <w:tc>
          <w:tcPr>
            <w:tcW w:type="dxa" w:w="1928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Frente</w:t>
            </w:r>
          </w:p>
        </w:tc>
        <w:tc>
          <w:tcPr>
            <w:tcW w:type="dxa" w:w="3175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se hizo</w:t>
            </w:r>
          </w:p>
        </w:tc>
        <w:tc>
          <w:tcPr>
            <w:tcW w:type="dxa" w:w="2154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2154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Límite</w:t>
            </w:r>
          </w:p>
        </w:tc>
      </w:tr>
      <w:tr>
        <w:trPr>
          <w:cantSplit/>
        </w:trPr>
        <w:tc>
          <w:tcPr>
            <w:tcW w:type="dxa" w:w="1928"/>
          </w:tcPr>
          <w:p>
            <w:r/>
            <w:r>
              <w:rPr>
                <w:b/>
                <w:color w:val="2D3748"/>
                <w:sz w:val="18"/>
              </w:rPr>
              <w:t>Simulación de 90 días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color w:val="2D3748"/>
                <w:sz w:val="18"/>
              </w:rPr>
              <w:t>12 corridas: 3 políticas × 4 escenarios (3 semillas base y 1 adversa)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color w:val="2D3748"/>
                <w:sz w:val="18"/>
              </w:rPr>
              <w:t>Reproducible por semilla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color w:val="2D3748"/>
                <w:sz w:val="18"/>
              </w:rPr>
              <w:t>Datos sintéticos</w:t>
            </w:r>
          </w:p>
        </w:tc>
      </w:tr>
      <w:tr>
        <w:trPr>
          <w:cantSplit/>
        </w:trPr>
        <w:tc>
          <w:tcPr>
            <w:tcW w:type="dxa" w:w="1928"/>
          </w:tcPr>
          <w:p>
            <w:r/>
            <w:r>
              <w:rPr>
                <w:b/>
                <w:color w:val="2D3748"/>
                <w:sz w:val="18"/>
              </w:rPr>
              <w:t>Comparación A/B/C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color w:val="2D3748"/>
                <w:sz w:val="18"/>
              </w:rPr>
              <w:t>Ensayo técnico del motor en el escenario de Quito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color w:val="2D3748"/>
                <w:sz w:val="18"/>
              </w:rPr>
              <w:t>Recomienda la opción C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color w:val="2D3748"/>
                <w:sz w:val="18"/>
              </w:rPr>
              <w:t>Local; no en producción</w:t>
            </w:r>
          </w:p>
        </w:tc>
      </w:tr>
      <w:tr>
        <w:trPr>
          <w:cantSplit/>
        </w:trPr>
        <w:tc>
          <w:tcPr>
            <w:tcW w:type="dxa" w:w="1928"/>
          </w:tcPr>
          <w:p>
            <w:r/>
            <w:r>
              <w:rPr>
                <w:b/>
                <w:color w:val="2D3748"/>
                <w:sz w:val="18"/>
              </w:rPr>
              <w:t>Agente de IA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color w:val="2D3748"/>
                <w:sz w:val="18"/>
              </w:rPr>
              <w:t>Corrida registrada: riesgos, abastecimiento y rutas con explicación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color w:val="2D3748"/>
                <w:sz w:val="18"/>
              </w:rPr>
              <w:t>Completó, con caída al respaldo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color w:val="2D3748"/>
                <w:sz w:val="18"/>
              </w:rPr>
              <w:t>Una corrida registrada</w:t>
            </w:r>
          </w:p>
        </w:tc>
      </w:tr>
      <w:tr>
        <w:trPr>
          <w:cantSplit/>
        </w:trPr>
        <w:tc>
          <w:tcPr>
            <w:tcW w:type="dxa" w:w="1928"/>
          </w:tcPr>
          <w:p>
            <w:r/>
            <w:r>
              <w:rPr>
                <w:b/>
                <w:color w:val="2D3748"/>
                <w:sz w:val="18"/>
              </w:rPr>
              <w:t>Despliegue en producción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color w:val="2D3748"/>
                <w:sz w:val="18"/>
              </w:rPr>
              <w:t>Verificación de salud el 17-oct a las 08:28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color w:val="2D3748"/>
                <w:sz w:val="18"/>
              </w:rPr>
              <w:t>Todo en HTTP 200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color w:val="2D3748"/>
                <w:sz w:val="18"/>
              </w:rPr>
              <w:t>Salud técnica, no uso por usuarios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2  </w:t>
      </w:r>
      <w:r>
        <w:rPr>
          <w:b/>
          <w:color w:val="2D3748"/>
          <w:sz w:val="34"/>
        </w:rPr>
        <w:t>Simulación de 90 días</w:t>
      </w:r>
    </w:p>
    <w:p>
      <w:pPr>
        <w:spacing w:after="120"/>
      </w:pPr>
      <w:r>
        <w:rPr>
          <w:b w:val="0"/>
          <w:i w:val="0"/>
          <w:color w:val="2D3748"/>
          <w:sz w:val="21"/>
        </w:rPr>
        <w:t>Se comparó el fixture nacional canónico: 80 puntos de servicio, 6 bodegas, 12 vehículos y 2 productos (desinfectante y papel toalla), sobre 90 días desde el 12-oct-2026. Semillas base 42, 101 y 2024; escenario adverso 9999 (demanda +20 % y un vehículo retirado).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Layout w:type="fixed"/>
      </w:tblPr>
      <w:tblGrid>
        <w:gridCol w:w="3515"/>
        <w:gridCol w:w="2041"/>
        <w:gridCol w:w="2154"/>
        <w:gridCol w:w="1701"/>
      </w:tblGrid>
      <w:tr>
        <w:trPr>
          <w:tblHeader/>
          <w:cantSplit/>
        </w:trPr>
        <w:tc>
          <w:tcPr>
            <w:tcW w:type="dxa" w:w="3515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Política</w:t>
            </w:r>
          </w:p>
        </w:tc>
        <w:tc>
          <w:tcPr>
            <w:tcW w:type="dxa" w:w="2041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Km totales (mediana)</w:t>
            </w:r>
          </w:p>
        </w:tc>
        <w:tc>
          <w:tcPr>
            <w:tcW w:type="dxa" w:w="2154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Costo de transporte</w:t>
            </w:r>
          </w:p>
        </w:tc>
        <w:tc>
          <w:tcPr>
            <w:tcW w:type="dxa" w:w="1701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Entregas</w:t>
            </w:r>
          </w:p>
        </w:tc>
      </w:tr>
      <w:tr>
        <w:trPr>
          <w:cantSplit/>
        </w:trPr>
        <w:tc>
          <w:tcPr>
            <w:tcW w:type="dxa" w:w="3515"/>
          </w:tcPr>
          <w:p>
            <w:r/>
            <w:r>
              <w:rPr>
                <w:b/>
                <w:color w:val="2D3748"/>
                <w:sz w:val="19"/>
              </w:rPr>
              <w:t>Reactiva: repone cuando ya falta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2D3748"/>
                <w:sz w:val="19"/>
              </w:rPr>
              <w:t>4 562,5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color w:val="2D3748"/>
                <w:sz w:val="19"/>
              </w:rPr>
              <w:t>USD 7 984,38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color w:val="2D3748"/>
                <w:sz w:val="19"/>
              </w:rPr>
              <w:t>365</w:t>
            </w:r>
          </w:p>
        </w:tc>
      </w:tr>
      <w:tr>
        <w:trPr>
          <w:cantSplit/>
        </w:trPr>
        <w:tc>
          <w:tcPr>
            <w:tcW w:type="dxa" w:w="3515"/>
          </w:tcPr>
          <w:p>
            <w:r/>
            <w:r>
              <w:rPr>
                <w:b/>
                <w:color w:val="2D3748"/>
                <w:sz w:val="19"/>
              </w:rPr>
              <w:t>Calendario fijo semanal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2D3748"/>
                <w:sz w:val="19"/>
              </w:rPr>
              <w:t>7 800,0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color w:val="2D3748"/>
                <w:sz w:val="19"/>
              </w:rPr>
              <w:t>USD 13 650,00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color w:val="2D3748"/>
                <w:sz w:val="19"/>
              </w:rPr>
              <w:t>624</w:t>
            </w:r>
          </w:p>
        </w:tc>
      </w:tr>
      <w:tr>
        <w:trPr>
          <w:cantSplit/>
        </w:trPr>
        <w:tc>
          <w:tcPr>
            <w:tcW w:type="dxa" w:w="3515"/>
          </w:tcPr>
          <w:p>
            <w:r/>
            <w:r>
              <w:rPr>
                <w:b/>
                <w:color w:val="2D3748"/>
                <w:sz w:val="19"/>
              </w:rPr>
              <w:t>IstpetDev: preventiva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2D3748"/>
                <w:sz w:val="19"/>
              </w:rPr>
              <w:t>7 037,5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color w:val="2D3748"/>
                <w:sz w:val="19"/>
              </w:rPr>
              <w:t>USD 12 315,63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color w:val="2D3748"/>
                <w:sz w:val="19"/>
              </w:rPr>
              <w:t>563</w:t>
            </w:r>
          </w:p>
        </w:tc>
      </w:tr>
      <w:tr>
        <w:trPr>
          <w:cantSplit/>
        </w:trPr>
        <w:tc>
          <w:tcPr>
            <w:tcW w:type="dxa" w:w="3515"/>
          </w:tcPr>
          <w:p>
            <w:r/>
            <w:r>
              <w:rPr>
                <w:b/>
                <w:color w:val="2D3748"/>
                <w:sz w:val="19"/>
              </w:rPr>
              <w:t>IstpetDev, escenario adverso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2D3748"/>
                <w:sz w:val="19"/>
              </w:rPr>
              <w:t>6 962,5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color w:val="2D3748"/>
                <w:sz w:val="19"/>
              </w:rPr>
              <w:t>USD 12 184,38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color w:val="2D3748"/>
                <w:sz w:val="19"/>
              </w:rPr>
              <w:t>557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Frente al calendario fijo: </w:t>
      </w:r>
      <w:r>
        <w:rPr>
          <w:b w:val="0"/>
          <w:color w:val="2D3748"/>
          <w:sz w:val="21"/>
        </w:rPr>
        <w:t>IstpetDev recorre 7 037,5 km en lugar de 7 800 y su costo de transporte es 9,8 % menor (USD 12 315,63 frente a USD 13 650,00).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Frente a la política reactiva: </w:t>
      </w:r>
      <w:r>
        <w:rPr>
          <w:b w:val="0"/>
          <w:color w:val="2D3748"/>
          <w:sz w:val="21"/>
        </w:rPr>
        <w:t>la reactiva hace menos entregas, pero tarde, cuando el punto ya está desabastecido. IstpetDev adelanta la reposición.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Ante la disrupción: </w:t>
      </w:r>
      <w:r>
        <w:rPr>
          <w:b w:val="0"/>
          <w:color w:val="2D3748"/>
          <w:sz w:val="21"/>
        </w:rPr>
        <w:t>con demanda +20 % y un vehículo menos, completa 557 entregas sin colapsar.</w:t>
      </w:r>
    </w:p>
    <w:p>
      <w:pPr>
        <w:spacing w:after="160"/>
        <w:pBdr>
          <w:left w:val="single" w:sz="30" w:space="8" w:color="EA601F"/>
        </w:pBdr>
      </w:pPr>
      <w:r>
        <w:rPr>
          <w:b/>
          <w:color w:val="2D3748"/>
          <w:sz w:val="20"/>
        </w:rPr>
        <w:t xml:space="preserve">Cómo leer el 9,8 %: </w:t>
      </w:r>
      <w:r>
        <w:rPr>
          <w:b w:val="0"/>
          <w:color w:val="2D3748"/>
          <w:sz w:val="20"/>
        </w:rPr>
        <w:t>el costo por entrega es igual en las tres políticas (USD 21,88); el ahorro viene de eliminar visitas innecesarias a puntos con stock suficiente. Es una simulación con datos sintéticos, no un ahorro observado en una empresa, y esta comparación no mide quiebres de stock.</w:t>
      </w:r>
    </w:p>
    <w:p>
      <w:pPr>
        <w:spacing w:after="80"/>
      </w:pPr>
      <w:r>
        <w:rPr>
          <w:b w:val="0"/>
          <w:i w:val="0"/>
          <w:color w:val="64748B"/>
          <w:sz w:val="19"/>
        </w:rPr>
        <w:t>Las corridas se reproducen con las semillas fijadas y el fixture `national-v1`; el resumen y el paquete exportado quedan en el repositorio, y una prueba automatizada los genera y verifica.</w:t>
      </w: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3  </w:t>
      </w:r>
      <w:r>
        <w:rPr>
          <w:b/>
          <w:color w:val="2D3748"/>
          <w:sz w:val="34"/>
        </w:rPr>
        <w:t>¿Con quién probamos?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Con el sector, en la charla: </w:t>
      </w:r>
      <w:r>
        <w:rPr>
          <w:b w:val="0"/>
          <w:color w:val="2D3748"/>
          <w:sz w:val="21"/>
        </w:rPr>
        <w:t>escuchamos el testimonio de un prestador de servicios de limpieza (16-oct). Es contexto del problema, no una prueba del producto.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Con mentores: </w:t>
      </w:r>
      <w:r>
        <w:rPr>
          <w:b w:val="0"/>
          <w:color w:val="2D3748"/>
          <w:sz w:val="21"/>
        </w:rPr>
        <w:t>la sesión «Pitch que convence» del 17-oct orientó la estructura de la presentación. No hay una mentoría documentada en la que el mentor haya probado el prototipo.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Con usuarios finales: </w:t>
      </w:r>
      <w:r>
        <w:rPr>
          <w:b w:val="0"/>
          <w:color w:val="2D3748"/>
          <w:sz w:val="21"/>
        </w:rPr>
        <w:t>todavía no. No hay una sesión documentada con un planificador, un conductor o un receptor usando el sistema.</w:t>
      </w:r>
    </w:p>
    <w:p>
      <w:pPr>
        <w:spacing w:after="160"/>
        <w:pBdr>
          <w:left w:val="single" w:sz="30" w:space="8" w:color="EA601F"/>
        </w:pBdr>
      </w:pPr>
      <w:r>
        <w:rPr>
          <w:b/>
          <w:color w:val="2D3748"/>
          <w:sz w:val="20"/>
        </w:rPr>
        <w:t xml:space="preserve">Importante: </w:t>
      </w:r>
      <w:r>
        <w:rPr>
          <w:b w:val="0"/>
          <w:color w:val="2D3748"/>
          <w:sz w:val="20"/>
        </w:rPr>
        <w:t>una conversación con un mentor no equivale a un piloto con una empresa, y las entrevistas de la feria no demuestran frecuencia del problema ni disposición de pago.</w:t>
      </w: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4  </w:t>
      </w:r>
      <w:r>
        <w:rPr>
          <w:b/>
          <w:color w:val="2D3748"/>
          <w:sz w:val="34"/>
        </w:rPr>
        <w:t>¿Qué modificamos a partir de las pruebas?</w:t>
      </w:r>
    </w:p>
    <w:p>
      <w:pPr>
        <w:pStyle w:val="ListBullet"/>
        <w:spacing w:after="60"/>
      </w:pPr>
      <w:r>
        <w:rPr>
          <w:b w:val="0"/>
          <w:color w:val="2D3748"/>
          <w:sz w:val="21"/>
        </w:rPr>
        <w:t>Retiramos del discurso el desglose por componente de la comparación A/B/C, porque en esa corrida no suma el total.</w:t>
      </w:r>
    </w:p>
    <w:p>
      <w:pPr>
        <w:pStyle w:val="ListBullet"/>
        <w:spacing w:after="60"/>
      </w:pPr>
      <w:r>
        <w:rPr>
          <w:b w:val="0"/>
          <w:color w:val="2D3748"/>
          <w:sz w:val="21"/>
        </w:rPr>
        <w:t>Pasamos de rutas con cifras fijas en pantalla a rutas y paradas calculadas por la API real.</w:t>
      </w:r>
    </w:p>
    <w:p>
      <w:pPr>
        <w:pStyle w:val="ListBullet"/>
        <w:spacing w:after="60"/>
      </w:pPr>
      <w:r>
        <w:rPr>
          <w:b w:val="0"/>
          <w:color w:val="2D3748"/>
          <w:sz w:val="21"/>
        </w:rPr>
        <w:t>Pasamos de un solo almacén a abastecimiento multialmacén con vigencia de lote (FEFO), validación de peso y volumen del vehículo y rebalanceo.</w:t>
      </w:r>
    </w:p>
    <w:p>
      <w:pPr>
        <w:pStyle w:val="ListBullet"/>
        <w:spacing w:after="60"/>
      </w:pPr>
      <w:r>
        <w:rPr>
          <w:b w:val="0"/>
          <w:color w:val="2D3748"/>
          <w:sz w:val="21"/>
        </w:rPr>
        <w:t>Reforzamos el acceso público por QR: vista limitada a los hitos de custodia y límite de consultas por IP.</w:t>
      </w:r>
    </w:p>
    <w:p>
      <w:pPr>
        <w:pStyle w:val="ListBullet"/>
        <w:spacing w:after="60"/>
      </w:pPr>
      <w:r>
        <w:rPr>
          <w:b w:val="0"/>
          <w:color w:val="2D3748"/>
          <w:sz w:val="21"/>
        </w:rPr>
        <w:t>Replanteamos la presentación: de «comparar costos» a un ciclo detectar → decidir → entregar → probar, con la IA como explicadora.</w:t>
      </w: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5  </w:t>
      </w:r>
      <w:r>
        <w:rPr>
          <w:b/>
          <w:color w:val="2D3748"/>
          <w:sz w:val="34"/>
        </w:rPr>
        <w:t>Lo que falta validar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Layout w:type="fixed"/>
      </w:tblPr>
      <w:tblGrid>
        <w:gridCol w:w="4989"/>
        <w:gridCol w:w="4422"/>
      </w:tblGrid>
      <w:tr>
        <w:trPr>
          <w:tblHeader/>
          <w:cantSplit/>
        </w:trPr>
        <w:tc>
          <w:tcPr>
            <w:tcW w:type="dxa" w:w="4989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Prueba pendiente</w:t>
            </w:r>
          </w:p>
        </w:tc>
        <w:tc>
          <w:tcPr>
            <w:tcW w:type="dxa" w:w="4422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 qué sirve</w:t>
            </w:r>
          </w:p>
        </w:tc>
      </w:tr>
      <w:tr>
        <w:trPr>
          <w:cantSplit/>
        </w:trPr>
        <w:tc>
          <w:tcPr>
            <w:tcW w:type="dxa" w:w="4989"/>
          </w:tcPr>
          <w:p>
            <w:r/>
            <w:r>
              <w:rPr>
                <w:b/>
                <w:color w:val="2D3748"/>
                <w:sz w:val="19"/>
              </w:rPr>
              <w:t>Recorrido sin señal en un teléfono real, con reinicio y sincronización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color w:val="2D3748"/>
                <w:sz w:val="19"/>
              </w:rPr>
              <w:t>Confirmar que el conductor cierra una recepción sin ayuda (H-P4)</w:t>
            </w:r>
          </w:p>
        </w:tc>
      </w:tr>
      <w:tr>
        <w:trPr>
          <w:cantSplit/>
        </w:trPr>
        <w:tc>
          <w:tcPr>
            <w:tcW w:type="dxa" w:w="4989"/>
          </w:tcPr>
          <w:p>
            <w:r/>
            <w:r>
              <w:rPr>
                <w:b/>
                <w:color w:val="2D3748"/>
                <w:sz w:val="19"/>
              </w:rPr>
              <w:t>Sesión con una persona del sector usando alertas, rutas y recepción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color w:val="2D3748"/>
                <w:sz w:val="19"/>
              </w:rPr>
              <w:t>Comprobar que entiende el sistema (V-20)</w:t>
            </w:r>
          </w:p>
        </w:tc>
      </w:tr>
      <w:tr>
        <w:trPr>
          <w:cantSplit/>
        </w:trPr>
        <w:tc>
          <w:tcPr>
            <w:tcW w:type="dxa" w:w="4989"/>
          </w:tcPr>
          <w:p>
            <w:r/>
            <w:r>
              <w:rPr>
                <w:b/>
                <w:color w:val="2D3748"/>
                <w:sz w:val="19"/>
              </w:rPr>
              <w:t>Comparación con datos de una empresa real y una línea base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color w:val="2D3748"/>
                <w:sz w:val="19"/>
              </w:rPr>
              <w:t>Convertir la simulación en ahorro observado</w:t>
            </w:r>
          </w:p>
        </w:tc>
      </w:tr>
      <w:tr>
        <w:trPr>
          <w:cantSplit/>
        </w:trPr>
        <w:tc>
          <w:tcPr>
            <w:tcW w:type="dxa" w:w="4989"/>
          </w:tcPr>
          <w:p>
            <w:r/>
            <w:r>
              <w:rPr>
                <w:b/>
                <w:color w:val="2D3748"/>
                <w:sz w:val="19"/>
              </w:rPr>
              <w:t>Medición de carga, tiempos de respuesta y recuperación ante fallos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color w:val="2D3748"/>
                <w:sz w:val="19"/>
              </w:rPr>
              <w:t>Sostener cualquier afirmación de rendimiento o disponibilidad</w:t>
            </w:r>
          </w:p>
        </w:tc>
      </w:tr>
      <w:tr>
        <w:trPr>
          <w:cantSplit/>
        </w:trPr>
        <w:tc>
          <w:tcPr>
            <w:tcW w:type="dxa" w:w="4989"/>
          </w:tcPr>
          <w:p>
            <w:r/>
            <w:r>
              <w:rPr>
                <w:b/>
                <w:color w:val="2D3748"/>
                <w:sz w:val="19"/>
              </w:rPr>
              <w:t>Aceptación del agente: tres escenarios × diez ejecuciones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color w:val="2D3748"/>
                <w:sz w:val="19"/>
              </w:rPr>
              <w:t>Confirmar latencia y fidelidad de las explicaciones de la IA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 w:val="0"/>
          <w:i w:val="0"/>
          <w:color w:val="64748B"/>
          <w:sz w:val="19"/>
        </w:rPr>
        <w:t>El plan completo define 43 casos de validación (V-01 a V-43). Se ejecutan por prioridad: invariantes de inventario, autorización, trabajo sin señal y comparación justa primero. Los casos no ejecutados se consideran pendientes; no se dan por aprobados por inspección de documentos.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IstpetDev · Hackathon Expo Clean Ecuador 2026 · Reto 1 · Entregable 4 — Validación · pág.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2D374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