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Modelo de negocio</w:t>
      </w:r>
    </w:p>
    <w:p>
      <w:pPr>
        <w:spacing w:after="280"/>
      </w:pPr>
      <w:r>
        <w:rPr>
          <w:b/>
          <w:i w:val="0"/>
          <w:color w:val="00A7C4"/>
          <w:sz w:val="60"/>
        </w:rPr>
        <w:t>y piloto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Entregable 6 · Modelo de negocio (Manual §9 y Anexo 5.6)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17 de octubre de 2026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VERSIÓN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Versión para la entrega del 17 de octubre de 2026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spacing w:after="160"/>
        <w:pBdr>
          <w:left w:val="single" w:sz="30" w:space="8" w:color="00A7C4"/>
        </w:pBdr>
      </w:pPr>
      <w:r>
        <w:rPr>
          <w:b/>
          <w:color w:val="2D3748"/>
          <w:sz w:val="20"/>
        </w:rPr>
        <w:t xml:space="preserve">Estado: </w:t>
      </w:r>
      <w:r>
        <w:rPr>
          <w:b w:val="0"/>
          <w:color w:val="2D3748"/>
          <w:sz w:val="20"/>
        </w:rPr>
        <w:t>hipótesis para validar con usuarios y mentores. No hay cliente comprometido, venta, acuerdo comercial ni precio definido; lo pendiente está marcado.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¿Quién es el cliente o beneficiario?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370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Cliente propuesto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color w:val="2D3748"/>
                <w:sz w:val="19"/>
              </w:rPr>
              <w:t>Empresa de servicios de limpieza con operación distribuida, que abastece a muchos puntos (hospitales, clínicas, oficinas, comercios).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Decisor posible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color w:val="2D3748"/>
                <w:sz w:val="19"/>
              </w:rPr>
              <w:t>Operaciones o gerencia.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Usuarios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color w:val="2D3748"/>
                <w:sz w:val="19"/>
              </w:rPr>
              <w:t>Planificación, bodega, conductores y receptores.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Beneficiarios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color w:val="2D3748"/>
                <w:sz w:val="19"/>
              </w:rPr>
              <w:t>Los puntos que mantienen su servicio y los equipos que evitan urgencias.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9"/>
              </w:rPr>
              <w:t>Estado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color w:val="2D3748"/>
                <w:sz w:val="19"/>
              </w:rPr>
              <w:t>Hipótesis, sin cliente comprometido. El decisor, la necesidad y el presupuesto se verifican con una contraparte de piloto.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¿Cuál es la propuesta de valor?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A7C4"/>
          <w:left w:val="single" w:sz="8" w:color="00A7C4"/>
          <w:bottom w:val="single" w:sz="8" w:color="00A7C4"/>
          <w:right w:val="single" w:sz="8" w:color="00A7C4"/>
          <w:insideH w:val="single" w:sz="8" w:color="00A7C4"/>
          <w:insideV w:val="single" w:sz="8" w:color="00A7C4"/>
        </w:tblBorders>
        <w:tblLayout w:type="fixed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0F7FB"/>
          </w:tcPr>
          <w:p>
            <w:pPr>
              <w:spacing w:before="120" w:after="120"/>
            </w:pPr>
            <w:r/>
            <w:r>
              <w:rPr>
                <w:b/>
                <w:color w:val="2D3748"/>
                <w:sz w:val="22"/>
              </w:rPr>
              <w:t xml:space="preserve">Detectamos el faltante antes de que el cliente llame, </w:t>
            </w:r>
            <w:r>
              <w:rPr>
                <w:b/>
                <w:color w:val="2D3748"/>
                <w:sz w:val="22"/>
              </w:rPr>
              <w:t xml:space="preserve">proponemos cómo atenderlo al costo real y dejamos prueba de cada entrega. </w:t>
            </w:r>
            <w:r>
              <w:rPr>
                <w:b w:val="0"/>
                <w:color w:val="2D3748"/>
                <w:sz w:val="22"/>
              </w:rPr>
              <w:t>El motor calcula, la IA explica y la persona decide.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4535"/>
        <w:gridCol w:w="4876"/>
      </w:tblGrid>
      <w:tr>
        <w:trPr>
          <w:tblHeader/>
          <w:cantSplit/>
        </w:trPr>
        <w:tc>
          <w:tcPr>
            <w:tcW w:type="dxa" w:w="453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Hoy</w:t>
            </w:r>
          </w:p>
        </w:tc>
        <w:tc>
          <w:tcPr>
            <w:tcW w:type="dxa" w:w="4876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 IstpetDev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Se entera del faltante cuando el cliente llama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color w:val="2D3748"/>
                <w:sz w:val="19"/>
              </w:rPr>
              <w:t>Anticipa el riesgo con días de cobertura y la causa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Repone con calendarios fijos o por urgencia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color w:val="2D3748"/>
                <w:sz w:val="19"/>
              </w:rPr>
              <w:t>Prioriza por criticidad y restricciones, con ruta justificada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Decide mirando kilómetros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color w:val="2D3748"/>
                <w:sz w:val="19"/>
              </w:rPr>
              <w:t>Compara flota propia y contratada con el costo total estimado de servir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No puede comprobar qué se entregó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color w:val="2D3748"/>
                <w:sz w:val="19"/>
              </w:rPr>
              <w:t>Custodia con QR, foto y firma, con o sin señal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2D3748"/>
          <w:sz w:val="21"/>
        </w:rPr>
        <w:t>Diferencia: no es solo un inventario con alertas ni solo un ruteador; la alerta termina en una decisión con costo y en una entrega comprobable.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¿Cómo genera ingresos o sostenibilidad?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Implementación inicial: </w:t>
      </w:r>
      <w:r>
        <w:rPr>
          <w:b w:val="0"/>
          <w:color w:val="2D3748"/>
          <w:sz w:val="21"/>
        </w:rPr>
        <w:t>integración con los datos de la empresa, configuración y capacitación por rol.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Suscripción: </w:t>
      </w:r>
      <w:r>
        <w:rPr>
          <w:b w:val="0"/>
          <w:color w:val="2D3748"/>
          <w:sz w:val="21"/>
        </w:rPr>
        <w:t>por operación o por puntos activos.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Entrada: </w:t>
      </w:r>
      <w:r>
        <w:rPr>
          <w:b w:val="0"/>
          <w:color w:val="2D3748"/>
          <w:sz w:val="21"/>
        </w:rPr>
        <w:t>piloto de cuatro semanas sobre una bodega y un grupo de puntos, para medir antes de ampliar.</w:t>
      </w:r>
    </w:p>
    <w:p>
      <w:pPr>
        <w:spacing w:after="160"/>
        <w:pBdr>
          <w:left w:val="single" w:sz="30" w:space="8" w:color="EA601F"/>
        </w:pBdr>
      </w:pPr>
      <w:r>
        <w:rPr>
          <w:b/>
          <w:color w:val="2D3748"/>
          <w:sz w:val="20"/>
        </w:rPr>
        <w:t xml:space="preserve">Precio: PENDIENTE. </w:t>
      </w:r>
      <w:r>
        <w:rPr>
          <w:b w:val="0"/>
          <w:color w:val="2D3748"/>
          <w:sz w:val="20"/>
        </w:rPr>
        <w:t>Se decide después de validar el ahorro, la disposición de pago y el costo real de soporte. No asignamos un precio ficticio como si fuera un dato.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¿Cuáles son los costos principales?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3628"/>
        <w:gridCol w:w="5783"/>
      </w:tblGrid>
      <w:tr>
        <w:trPr>
          <w:tblHeader/>
          <w:cantSplit/>
        </w:trPr>
        <w:tc>
          <w:tcPr>
            <w:tcW w:type="dxa" w:w="362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783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 de la cifra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Servidor de la aplicación (perfil A)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≈ USD 37 al mes solo en cómputo, disco e IP pública (AWS, verificado el 7-oct-2026). Parcial: no incluye la base RDS.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Base de datos RDS y almacenamiento de evidencias (S3)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PENDIENTE: depende del tamaño y la retención del piloto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Mapas y distancias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Sin costo de licencia (OpenStreetMap). Distancias propias o de proveedor: PENDIENTE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Modelo de IA (DeepSeek)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PENDIENTE: tokens y frecuencia de uso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Desarrollo, integración y soporte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PENDIENTE: horas con la empresa contraparte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b/>
                <w:color w:val="2D3748"/>
                <w:sz w:val="19"/>
              </w:rPr>
              <w:t>Operación logística del cliente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PENDIENTE: costo por kilómetro, conductor y urgencias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Cómo mediremos el valor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Ahorro operativo </w:t>
      </w:r>
      <w:r>
        <w:rPr>
          <w:b w:val="0"/>
          <w:color w:val="2D3748"/>
          <w:sz w:val="21"/>
        </w:rPr>
        <w:t>= costo tradicional − costo con la plataforma, para un nivel comparable de servicio.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Beneficio neto </w:t>
      </w:r>
      <w:r>
        <w:rPr>
          <w:b w:val="0"/>
          <w:color w:val="2D3748"/>
          <w:sz w:val="21"/>
        </w:rPr>
        <w:t>= ahorro operativo − costo incremental del sistema y su operación.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ROI </w:t>
      </w:r>
      <w:r>
        <w:rPr>
          <w:b w:val="0"/>
          <w:color w:val="2D3748"/>
          <w:sz w:val="21"/>
        </w:rPr>
        <w:t>= beneficio neto / inversión relevante, indicando el período y lo que integra la inversión.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Separamos el ahorro simulado del observado. Una ruta más corta puede empeorar la puntualidad; no vendemos ahorro si solo traslada el costo a faltantes o a más horas de trabajo. Indicadores del piloto: quiebres evitados y nuevos, demanda no atendida, costo de transporte y puntualidad, cada uno con unidad, período y denominador.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5783"/>
        <w:gridCol w:w="3628"/>
      </w:tblGrid>
      <w:tr>
        <w:trPr>
          <w:tblHeader/>
          <w:cantSplit/>
        </w:trPr>
        <w:tc>
          <w:tcPr>
            <w:tcW w:type="dxa" w:w="5783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Evidencia disponible hoy</w:t>
            </w:r>
          </w:p>
        </w:tc>
        <w:tc>
          <w:tcPr>
            <w:tcW w:type="dxa" w:w="362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rPr>
          <w:cantSplit/>
        </w:trPr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Simulación de 90 días: 9,8 % menos costo de transporte que el calendario fijo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color w:val="2D3748"/>
                <w:sz w:val="19"/>
              </w:rPr>
              <w:t>Sintética; no es ahorro observado ni ROI</w:t>
            </w:r>
          </w:p>
        </w:tc>
      </w:tr>
      <w:tr>
        <w:trPr>
          <w:cantSplit/>
        </w:trPr>
        <w:tc>
          <w:tcPr>
            <w:tcW w:type="dxa" w:w="5783"/>
          </w:tcPr>
          <w:p>
            <w:r/>
            <w:r>
              <w:rPr>
                <w:b w:val="0"/>
                <w:color w:val="2D3748"/>
                <w:sz w:val="19"/>
              </w:rPr>
              <w:t>Comparación A/B/C: la opción recomendada cuesta 4,3 % menos que la propia con críticos primero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color w:val="2D3748"/>
                <w:sz w:val="19"/>
              </w:rPr>
              <w:t>Ensayo técnico sobre un escenario sintético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6  </w:t>
      </w:r>
      <w:r>
        <w:rPr>
          <w:b/>
          <w:color w:val="2D3748"/>
          <w:sz w:val="34"/>
        </w:rPr>
        <w:t>Próximo paso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Buscamos una empresa de limpieza como aliado para el piloto: acordar alcance, línea base e indicadores, y un umbral de avance que incluya la tolerancia a nuevos quiebres y a la carga operativa adicional. Solo después de esa medición hablaremos de resultados de la empresa y fijaremos el precio.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Entregable 6 — Modelo de negocio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