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0"/>
      </w:pPr>
    </w:p>
    <w:p>
      <w:pPr>
        <w:jc w:val="left"/>
      </w:pPr>
      <w:r>
        <w:drawing>
          <wp:inline xmlns:a="http://schemas.openxmlformats.org/drawingml/2006/main" xmlns:pic="http://schemas.openxmlformats.org/drawingml/2006/picture">
            <wp:extent cx="3960000" cy="990000"/>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3960000" cy="990000"/>
                    </a:xfrm>
                    <a:prstGeom prst="rect"/>
                  </pic:spPr>
                </pic:pic>
              </a:graphicData>
            </a:graphic>
          </wp:inline>
        </w:drawing>
      </w:r>
    </w:p>
    <w:p>
      <w:pPr>
        <w:spacing w:after="1000"/>
      </w:pPr>
    </w:p>
    <w:p>
      <w:pPr>
        <w:spacing w:after="40"/>
      </w:pPr>
      <w:r>
        <w:rPr>
          <w:b/>
          <w:i w:val="0"/>
          <w:color w:val="00A7C4"/>
          <w:sz w:val="22"/>
        </w:rPr>
        <w:t>HACKATHON EXPO CLEAN ECUADOR 2026</w:t>
      </w:r>
    </w:p>
    <w:p>
      <w:pPr>
        <w:spacing w:after="520"/>
      </w:pPr>
      <w:r>
        <w:rPr>
          <w:b w:val="0"/>
          <w:i w:val="0"/>
          <w:color w:val="64748B"/>
          <w:sz w:val="22"/>
        </w:rPr>
        <w:t>Reto 1 — Optimización y trazabilidad logística del abastecimiento de insumos</w:t>
      </w:r>
    </w:p>
    <w:p>
      <w:pPr>
        <w:spacing w:after="0"/>
      </w:pPr>
      <w:r>
        <w:rPr>
          <w:b/>
          <w:i w:val="0"/>
          <w:color w:val="2D3748"/>
          <w:sz w:val="60"/>
        </w:rPr>
        <w:t>Problema, usuario</w:t>
      </w:r>
    </w:p>
    <w:p>
      <w:pPr>
        <w:spacing w:after="280"/>
      </w:pPr>
      <w:r>
        <w:rPr>
          <w:b/>
          <w:i w:val="0"/>
          <w:color w:val="00A7C4"/>
          <w:sz w:val="60"/>
        </w:rPr>
        <w:t>y contexto</w:t>
      </w:r>
    </w:p>
    <w:p>
      <w:pPr>
        <w:spacing w:after="1200"/>
        <w:pBdr>
          <w:left w:val="single" w:sz="24" w:space="8" w:color="EA601F"/>
        </w:pBdr>
      </w:pPr>
      <w:r>
        <w:rPr>
          <w:b w:val="0"/>
          <w:i w:val="0"/>
          <w:color w:val="2D3748"/>
          <w:sz w:val="24"/>
        </w:rPr>
        <w:t>Entregable 1 · Problema (Manual §9 y Anexo 5.1)</w:t>
      </w:r>
    </w:p>
    <w:tbl>
      <w:tblPr>
        <w:tblW w:type="auto" w:w="0"/>
        <w:jc w:val="left"/>
        <w:tblLook w:firstColumn="1" w:firstRow="1" w:lastColumn="0" w:lastRow="0" w:noHBand="0" w:noVBand="1" w:val="04A0"/>
        <w:tblBorders>
          <w:top w:val="nil" w:sz="0" w:color="FFFFFF"/>
          <w:left w:val="nil" w:sz="0" w:color="FFFFFF"/>
          <w:bottom w:val="nil" w:sz="0" w:color="FFFFFF"/>
          <w:right w:val="nil" w:sz="0" w:color="FFFFFF"/>
          <w:insideH w:val="nil" w:sz="0" w:color="FFFFFF"/>
          <w:insideV w:val="nil" w:sz="0" w:color="FFFFFF"/>
        </w:tblBorders>
      </w:tblPr>
      <w:tblGrid>
        <w:gridCol w:w="4706"/>
        <w:gridCol w:w="4706"/>
      </w:tblGrid>
      <w:tr>
        <w:tc>
          <w:tcPr>
            <w:tcW w:type="dxa" w:w="4706"/>
          </w:tcPr>
          <w:p>
            <w:pPr>
              <w:spacing w:after="40"/>
            </w:pPr>
            <w:r>
              <w:rPr>
                <w:b/>
                <w:i w:val="0"/>
                <w:color w:val="64748B"/>
                <w:sz w:val="18"/>
              </w:rPr>
              <w:t>EQUIPO</w:t>
            </w:r>
          </w:p>
          <w:p>
            <w:pPr>
              <w:spacing w:after="160"/>
            </w:pPr>
            <w:r>
              <w:rPr>
                <w:b/>
                <w:i w:val="0"/>
                <w:color w:val="2D3748"/>
                <w:sz w:val="26"/>
              </w:rPr>
              <w:t>IstpetDev</w:t>
            </w:r>
          </w:p>
          <w:p>
            <w:pPr>
              <w:spacing w:after="20"/>
            </w:pPr>
            <w:r>
              <w:rPr>
                <w:b w:val="0"/>
                <w:i w:val="0"/>
                <w:color w:val="2D3748"/>
                <w:sz w:val="21"/>
              </w:rPr>
              <w:t>Bryan Baño</w:t>
            </w:r>
          </w:p>
          <w:p>
            <w:pPr>
              <w:spacing w:after="20"/>
            </w:pPr>
            <w:r>
              <w:rPr>
                <w:b w:val="0"/>
                <w:i w:val="0"/>
                <w:color w:val="2D3748"/>
                <w:sz w:val="21"/>
              </w:rPr>
              <w:t>Jorge Doicela</w:t>
            </w:r>
          </w:p>
          <w:p>
            <w:pPr>
              <w:spacing w:after="20"/>
            </w:pPr>
            <w:r>
              <w:rPr>
                <w:b w:val="0"/>
                <w:i w:val="0"/>
                <w:color w:val="2D3748"/>
                <w:sz w:val="21"/>
              </w:rPr>
              <w:t>Joseph Baño</w:t>
            </w:r>
          </w:p>
          <w:p>
            <w:pPr>
              <w:spacing w:after="20"/>
            </w:pPr>
            <w:r>
              <w:rPr>
                <w:b w:val="0"/>
                <w:i w:val="0"/>
                <w:color w:val="2D3748"/>
                <w:sz w:val="21"/>
              </w:rPr>
              <w:t>Anthony Pilatasig</w:t>
            </w:r>
          </w:p>
          <w:p>
            <w:pPr>
              <w:spacing w:after="20"/>
            </w:pPr>
            <w:r>
              <w:rPr>
                <w:b w:val="0"/>
                <w:i w:val="0"/>
                <w:color w:val="2D3748"/>
                <w:sz w:val="21"/>
              </w:rPr>
              <w:t>Alexander Martínez</w:t>
            </w:r>
          </w:p>
        </w:tc>
        <w:tc>
          <w:tcPr>
            <w:tcW w:type="dxa" w:w="4706"/>
          </w:tcPr>
          <w:p>
            <w:pPr>
              <w:spacing w:after="40"/>
            </w:pPr>
            <w:r>
              <w:rPr>
                <w:b/>
                <w:i w:val="0"/>
                <w:color w:val="64748B"/>
                <w:sz w:val="18"/>
              </w:rPr>
              <w:t>FECHA</w:t>
            </w:r>
          </w:p>
          <w:p>
            <w:pPr>
              <w:spacing w:after="160"/>
            </w:pPr>
            <w:r>
              <w:rPr>
                <w:b w:val="0"/>
                <w:i w:val="0"/>
                <w:color w:val="2D3748"/>
                <w:sz w:val="22"/>
              </w:rPr>
              <w:t>17 de octubre de 2026</w:t>
            </w:r>
          </w:p>
          <w:p>
            <w:pPr>
              <w:spacing w:after="40"/>
            </w:pPr>
            <w:r>
              <w:rPr>
                <w:b/>
                <w:i w:val="0"/>
                <w:color w:val="64748B"/>
                <w:sz w:val="18"/>
              </w:rPr>
              <w:t>LUGAR</w:t>
            </w:r>
          </w:p>
          <w:p>
            <w:pPr>
              <w:spacing w:after="160"/>
            </w:pPr>
            <w:r>
              <w:rPr>
                <w:b w:val="0"/>
                <w:i w:val="0"/>
                <w:color w:val="2D3748"/>
                <w:sz w:val="22"/>
              </w:rPr>
              <w:t>Quito, Ecuador</w:t>
            </w:r>
          </w:p>
          <w:p>
            <w:pPr>
              <w:spacing w:after="40"/>
            </w:pPr>
            <w:r>
              <w:rPr>
                <w:b/>
                <w:i w:val="0"/>
                <w:color w:val="64748B"/>
                <w:sz w:val="18"/>
              </w:rPr>
              <w:t>VERSIÓN</w:t>
            </w:r>
          </w:p>
          <w:p>
            <w:pPr>
              <w:spacing w:after="160"/>
            </w:pPr>
            <w:r>
              <w:rPr>
                <w:b w:val="0"/>
                <w:i w:val="0"/>
                <w:color w:val="2D3748"/>
                <w:sz w:val="22"/>
              </w:rPr>
              <w:t>Versión para la entrega del 17 de octubre de 2026</w:t>
            </w:r>
          </w:p>
        </w:tc>
      </w:tr>
    </w:tbl>
    <w:p>
      <w:pPr>
        <w:sectPr>
          <w:footerReference w:type="default" r:id="rId10"/>
          <w:pgSz w:w="11906" w:h="16838"/>
          <w:pgMar w:top="1134" w:right="1247" w:bottom="1134" w:left="1247" w:header="720" w:footer="720" w:gutter="0"/>
          <w:cols w:space="720"/>
          <w:titlePg/>
          <w:docGrid w:linePitch="360"/>
        </w:sectPr>
      </w:pPr>
    </w:p>
    <w:p>
      <w:pPr>
        <w:pStyle w:val="Heading1"/>
        <w:keepNext/>
        <w:spacing w:before="280" w:after="120"/>
        <w:pBdr>
          <w:bottom w:val="single" w:sz="12" w:space="4" w:color="00A7C4"/>
        </w:pBdr>
      </w:pPr>
      <w:r>
        <w:rPr>
          <w:b/>
          <w:color w:val="00A7C4"/>
          <w:sz w:val="34"/>
        </w:rPr>
        <w:t xml:space="preserve">1  </w:t>
      </w:r>
      <w:r>
        <w:rPr>
          <w:b/>
          <w:color w:val="2D3748"/>
          <w:sz w:val="34"/>
        </w:rPr>
        <w:t>¿Qué problema estamos resolviendo?</w:t>
      </w:r>
    </w:p>
    <w:p>
      <w:pPr>
        <w:spacing w:after="120"/>
      </w:pPr>
      <w:r>
        <w:rPr>
          <w:b w:val="0"/>
          <w:i w:val="0"/>
          <w:color w:val="2D3748"/>
          <w:sz w:val="21"/>
        </w:rPr>
        <w:t>Una empresa de limpieza abastece de insumos a muchos puntos de servicio —hospitales, clínicas, oficinas, comercios— cada uno con consumo, acceso y horarios distintos. La información llega tarde y la cadena se rompe en cuatro lugares:</w:t>
      </w:r>
    </w:p>
    <w:tbl>
      <w:tblPr>
        <w:tblW w:type="auto" w:w="0"/>
        <w:tblLayout w:type="fixed"/>
        <w:tblLook w:firstColumn="1" w:firstRow="1" w:lastColumn="0" w:lastRow="0" w:noHBand="0" w:noVBand="1" w:val="04A0"/>
        <w:jc w:val="center"/>
        <w:tblBorders>
          <w:top w:val="single" w:sz="4" w:color="CBD5E1"/>
          <w:left w:val="single" w:sz="4" w:color="CBD5E1"/>
          <w:bottom w:val="single" w:sz="4" w:color="CBD5E1"/>
          <w:right w:val="single" w:sz="4" w:color="CBD5E1"/>
          <w:insideH w:val="single" w:sz="4" w:color="CBD5E1"/>
          <w:insideV w:val="single" w:sz="4" w:color="CBD5E1"/>
        </w:tblBorders>
        <w:tblLayout w:type="fixed"/>
      </w:tblPr>
      <w:tblGrid>
        <w:gridCol w:w="1928"/>
        <w:gridCol w:w="7483"/>
      </w:tblGrid>
      <w:tr>
        <w:trPr>
          <w:tblHeader/>
          <w:cantSplit/>
        </w:trPr>
        <w:tc>
          <w:tcPr>
            <w:tcW w:type="dxa" w:w="1928"/>
            <w:shd w:val="clear" w:color="auto" w:fill="2D3748"/>
          </w:tcPr>
          <w:p>
            <w:pPr>
              <w:jc w:val="center"/>
            </w:pPr>
            <w:r/>
            <w:r>
              <w:rPr>
                <w:b/>
                <w:color w:val="FFFFFF"/>
                <w:sz w:val="18"/>
              </w:rPr>
              <w:t>Quién</w:t>
            </w:r>
          </w:p>
        </w:tc>
        <w:tc>
          <w:tcPr>
            <w:tcW w:type="dxa" w:w="7483"/>
            <w:shd w:val="clear" w:color="auto" w:fill="2D3748"/>
          </w:tcPr>
          <w:p>
            <w:pPr>
              <w:jc w:val="center"/>
            </w:pPr>
            <w:r/>
            <w:r>
              <w:rPr>
                <w:b/>
                <w:color w:val="FFFFFF"/>
                <w:sz w:val="18"/>
              </w:rPr>
              <w:t>Qué le pasa hoy</w:t>
            </w:r>
          </w:p>
        </w:tc>
      </w:tr>
      <w:tr>
        <w:trPr>
          <w:cantSplit/>
        </w:trPr>
        <w:tc>
          <w:tcPr>
            <w:tcW w:type="dxa" w:w="1928"/>
          </w:tcPr>
          <w:p>
            <w:r/>
            <w:r>
              <w:rPr>
                <w:b/>
                <w:color w:val="2D3748"/>
                <w:sz w:val="19"/>
              </w:rPr>
              <w:t>Planificador</w:t>
            </w:r>
          </w:p>
        </w:tc>
        <w:tc>
          <w:tcPr>
            <w:tcW w:type="dxa" w:w="7483"/>
          </w:tcPr>
          <w:p>
            <w:r/>
            <w:r>
              <w:rPr>
                <w:b w:val="0"/>
                <w:color w:val="2D3748"/>
                <w:sz w:val="19"/>
              </w:rPr>
              <w:t>Repone por calendario fijo (semanal o quincenal) o por urgencia. Se entera del faltante cuando el cliente llama.</w:t>
            </w:r>
          </w:p>
        </w:tc>
      </w:tr>
      <w:tr>
        <w:trPr>
          <w:cantSplit/>
        </w:trPr>
        <w:tc>
          <w:tcPr>
            <w:tcW w:type="dxa" w:w="1928"/>
          </w:tcPr>
          <w:p>
            <w:r/>
            <w:r>
              <w:rPr>
                <w:b/>
                <w:color w:val="2D3748"/>
                <w:sz w:val="19"/>
              </w:rPr>
              <w:t>Bodega</w:t>
            </w:r>
          </w:p>
        </w:tc>
        <w:tc>
          <w:tcPr>
            <w:tcW w:type="dxa" w:w="7483"/>
          </w:tcPr>
          <w:p>
            <w:r/>
            <w:r>
              <w:rPr>
                <w:b w:val="0"/>
                <w:color w:val="2D3748"/>
                <w:sz w:val="19"/>
              </w:rPr>
              <w:t>Pierde visibilidad del insumo apenas sale: despachos sin conciliación de cantidad, lote ni responsable.</w:t>
            </w:r>
          </w:p>
        </w:tc>
      </w:tr>
      <w:tr>
        <w:trPr>
          <w:cantSplit/>
        </w:trPr>
        <w:tc>
          <w:tcPr>
            <w:tcW w:type="dxa" w:w="1928"/>
          </w:tcPr>
          <w:p>
            <w:r/>
            <w:r>
              <w:rPr>
                <w:b/>
                <w:color w:val="2D3748"/>
                <w:sz w:val="19"/>
              </w:rPr>
              <w:t>Conductor</w:t>
            </w:r>
          </w:p>
        </w:tc>
        <w:tc>
          <w:tcPr>
            <w:tcW w:type="dxa" w:w="7483"/>
          </w:tcPr>
          <w:p>
            <w:r/>
            <w:r>
              <w:rPr>
                <w:b w:val="0"/>
                <w:color w:val="2D3748"/>
                <w:sz w:val="19"/>
              </w:rPr>
              <w:t>Resuelve imprevistos —cierre vial, retraso, avería— por canales separados y sin registro; en el punto de entrega la señal suele fallar.</w:t>
            </w:r>
          </w:p>
        </w:tc>
      </w:tr>
      <w:tr>
        <w:trPr>
          <w:cantSplit/>
        </w:trPr>
        <w:tc>
          <w:tcPr>
            <w:tcW w:type="dxa" w:w="1928"/>
          </w:tcPr>
          <w:p>
            <w:r/>
            <w:r>
              <w:rPr>
                <w:b/>
                <w:color w:val="2D3748"/>
                <w:sz w:val="19"/>
              </w:rPr>
              <w:t>Cliente / receptor</w:t>
            </w:r>
          </w:p>
        </w:tc>
        <w:tc>
          <w:tcPr>
            <w:tcW w:type="dxa" w:w="7483"/>
          </w:tcPr>
          <w:p>
            <w:r/>
            <w:r>
              <w:rPr>
                <w:b w:val="0"/>
                <w:color w:val="2D3748"/>
                <w:sz w:val="19"/>
              </w:rPr>
              <w:t>Recibe sin una cadena de evidencia fácil de consultar: nadie puede probar qué se entregó, a quién y cuándo.</w:t>
            </w:r>
          </w:p>
        </w:tc>
      </w:tr>
    </w:tbl>
    <w:p>
      <w:pPr>
        <w:spacing w:after="80"/>
      </w:pPr>
    </w:p>
    <w:p>
      <w:pPr>
        <w:spacing w:after="160"/>
      </w:pPr>
      <w:r>
        <w:rPr>
          <w:b w:val="0"/>
          <w:i w:val="0"/>
          <w:color w:val="2D3748"/>
          <w:sz w:val="21"/>
        </w:rPr>
        <w:t>Además, cuando una entrega se apura, se decide mirando kilómetros y no el costo real de servir: personal, combustible, descarga y producto que puede dañarse. El que paga el error es el cliente final: un hospital o una clínica sin insumos de limpieza.</w:t>
      </w:r>
    </w:p>
    <w:p>
      <w:pPr>
        <w:pStyle w:val="Heading1"/>
        <w:keepNext/>
        <w:spacing w:before="280" w:after="120"/>
        <w:pBdr>
          <w:bottom w:val="single" w:sz="12" w:space="4" w:color="00A7C4"/>
        </w:pBdr>
      </w:pPr>
      <w:r>
        <w:rPr>
          <w:b/>
          <w:color w:val="00A7C4"/>
          <w:sz w:val="34"/>
        </w:rPr>
        <w:t xml:space="preserve">2  </w:t>
      </w:r>
      <w:r>
        <w:rPr>
          <w:b/>
          <w:color w:val="2D3748"/>
          <w:sz w:val="34"/>
        </w:rPr>
        <w:t>¿A quién afecta?</w:t>
      </w:r>
    </w:p>
    <w:tbl>
      <w:tblPr>
        <w:tblW w:type="auto" w:w="0"/>
        <w:tblLayout w:type="fixed"/>
        <w:tblLook w:firstColumn="1" w:firstRow="1" w:lastColumn="0" w:lastRow="0" w:noHBand="0" w:noVBand="1" w:val="04A0"/>
        <w:jc w:val="center"/>
        <w:tblBorders>
          <w:top w:val="single" w:sz="4" w:color="CBD5E1"/>
          <w:left w:val="single" w:sz="4" w:color="CBD5E1"/>
          <w:bottom w:val="single" w:sz="4" w:color="CBD5E1"/>
          <w:right w:val="single" w:sz="4" w:color="CBD5E1"/>
          <w:insideH w:val="single" w:sz="4" w:color="CBD5E1"/>
          <w:insideV w:val="single" w:sz="4" w:color="CBD5E1"/>
        </w:tblBorders>
        <w:tblLayout w:type="fixed"/>
      </w:tblPr>
      <w:tblGrid>
        <w:gridCol w:w="1814"/>
        <w:gridCol w:w="3628"/>
        <w:gridCol w:w="3969"/>
      </w:tblGrid>
      <w:tr>
        <w:trPr>
          <w:tblHeader/>
          <w:cantSplit/>
        </w:trPr>
        <w:tc>
          <w:tcPr>
            <w:tcW w:type="dxa" w:w="1814"/>
            <w:shd w:val="clear" w:color="auto" w:fill="2D3748"/>
          </w:tcPr>
          <w:p>
            <w:pPr>
              <w:jc w:val="center"/>
            </w:pPr>
            <w:r/>
            <w:r>
              <w:rPr>
                <w:b/>
                <w:color w:val="FFFFFF"/>
                <w:sz w:val="18"/>
              </w:rPr>
              <w:t>Usuario</w:t>
            </w:r>
          </w:p>
        </w:tc>
        <w:tc>
          <w:tcPr>
            <w:tcW w:type="dxa" w:w="3628"/>
            <w:shd w:val="clear" w:color="auto" w:fill="2D3748"/>
          </w:tcPr>
          <w:p>
            <w:pPr>
              <w:jc w:val="center"/>
            </w:pPr>
            <w:r/>
            <w:r>
              <w:rPr>
                <w:b/>
                <w:color w:val="FFFFFF"/>
                <w:sz w:val="18"/>
              </w:rPr>
              <w:t>Dolor</w:t>
            </w:r>
          </w:p>
        </w:tc>
        <w:tc>
          <w:tcPr>
            <w:tcW w:type="dxa" w:w="3969"/>
            <w:shd w:val="clear" w:color="auto" w:fill="2D3748"/>
          </w:tcPr>
          <w:p>
            <w:pPr>
              <w:jc w:val="center"/>
            </w:pPr>
            <w:r/>
            <w:r>
              <w:rPr>
                <w:b/>
                <w:color w:val="FFFFFF"/>
                <w:sz w:val="18"/>
              </w:rPr>
              <w:t>Resultado que necesita</w:t>
            </w:r>
          </w:p>
        </w:tc>
      </w:tr>
      <w:tr>
        <w:trPr>
          <w:cantSplit/>
        </w:trPr>
        <w:tc>
          <w:tcPr>
            <w:tcW w:type="dxa" w:w="1814"/>
          </w:tcPr>
          <w:p>
            <w:r/>
            <w:r>
              <w:rPr>
                <w:b/>
                <w:color w:val="2D3748"/>
                <w:sz w:val="19"/>
              </w:rPr>
              <w:t>Planificador</w:t>
            </w:r>
          </w:p>
        </w:tc>
        <w:tc>
          <w:tcPr>
            <w:tcW w:type="dxa" w:w="3628"/>
          </w:tcPr>
          <w:p>
            <w:r/>
            <w:r>
              <w:rPr>
                <w:b w:val="0"/>
                <w:color w:val="2D3748"/>
                <w:sz w:val="19"/>
              </w:rPr>
              <w:t>Rutas fijas y urgencias por llamada</w:t>
            </w:r>
          </w:p>
        </w:tc>
        <w:tc>
          <w:tcPr>
            <w:tcW w:type="dxa" w:w="3969"/>
          </w:tcPr>
          <w:p>
            <w:r/>
            <w:r>
              <w:rPr>
                <w:b w:val="0"/>
                <w:color w:val="2D3748"/>
                <w:sz w:val="19"/>
              </w:rPr>
              <w:t>Prioridad y ruta justificadas con datos</w:t>
            </w:r>
          </w:p>
        </w:tc>
      </w:tr>
      <w:tr>
        <w:trPr>
          <w:cantSplit/>
        </w:trPr>
        <w:tc>
          <w:tcPr>
            <w:tcW w:type="dxa" w:w="1814"/>
          </w:tcPr>
          <w:p>
            <w:r/>
            <w:r>
              <w:rPr>
                <w:b/>
                <w:color w:val="2D3748"/>
                <w:sz w:val="19"/>
              </w:rPr>
              <w:t>Bodega</w:t>
            </w:r>
          </w:p>
        </w:tc>
        <w:tc>
          <w:tcPr>
            <w:tcW w:type="dxa" w:w="3628"/>
          </w:tcPr>
          <w:p>
            <w:r/>
            <w:r>
              <w:rPr>
                <w:b w:val="0"/>
                <w:color w:val="2D3748"/>
                <w:sz w:val="19"/>
              </w:rPr>
              <w:t>Despachos sin conciliación</w:t>
            </w:r>
          </w:p>
        </w:tc>
        <w:tc>
          <w:tcPr>
            <w:tcW w:type="dxa" w:w="3969"/>
          </w:tcPr>
          <w:p>
            <w:r/>
            <w:r>
              <w:rPr>
                <w:b w:val="0"/>
                <w:color w:val="2D3748"/>
                <w:sz w:val="19"/>
              </w:rPr>
              <w:t>Cantidad, lote y responsable por caja</w:t>
            </w:r>
          </w:p>
        </w:tc>
      </w:tr>
      <w:tr>
        <w:trPr>
          <w:cantSplit/>
        </w:trPr>
        <w:tc>
          <w:tcPr>
            <w:tcW w:type="dxa" w:w="1814"/>
          </w:tcPr>
          <w:p>
            <w:r/>
            <w:r>
              <w:rPr>
                <w:b/>
                <w:color w:val="2D3748"/>
                <w:sz w:val="19"/>
              </w:rPr>
              <w:t>Conductor</w:t>
            </w:r>
          </w:p>
        </w:tc>
        <w:tc>
          <w:tcPr>
            <w:tcW w:type="dxa" w:w="3628"/>
          </w:tcPr>
          <w:p>
            <w:r/>
            <w:r>
              <w:rPr>
                <w:b w:val="0"/>
                <w:color w:val="2D3748"/>
                <w:sz w:val="19"/>
              </w:rPr>
              <w:t>Sin señal; incidentes sin registro</w:t>
            </w:r>
          </w:p>
        </w:tc>
        <w:tc>
          <w:tcPr>
            <w:tcW w:type="dxa" w:w="3969"/>
          </w:tcPr>
          <w:p>
            <w:r/>
            <w:r>
              <w:rPr>
                <w:b w:val="0"/>
                <w:color w:val="2D3748"/>
                <w:sz w:val="19"/>
              </w:rPr>
              <w:t>Trabajo sin conexión y replanificación</w:t>
            </w:r>
          </w:p>
        </w:tc>
      </w:tr>
      <w:tr>
        <w:trPr>
          <w:cantSplit/>
        </w:trPr>
        <w:tc>
          <w:tcPr>
            <w:tcW w:type="dxa" w:w="1814"/>
          </w:tcPr>
          <w:p>
            <w:r/>
            <w:r>
              <w:rPr>
                <w:b/>
                <w:color w:val="2D3748"/>
                <w:sz w:val="19"/>
              </w:rPr>
              <w:t>Receptor</w:t>
            </w:r>
          </w:p>
        </w:tc>
        <w:tc>
          <w:tcPr>
            <w:tcW w:type="dxa" w:w="3628"/>
          </w:tcPr>
          <w:p>
            <w:r/>
            <w:r>
              <w:rPr>
                <w:b w:val="0"/>
                <w:color w:val="2D3748"/>
                <w:sz w:val="19"/>
              </w:rPr>
              <w:t>Entrega difícil de verificar</w:t>
            </w:r>
          </w:p>
        </w:tc>
        <w:tc>
          <w:tcPr>
            <w:tcW w:type="dxa" w:w="3969"/>
          </w:tcPr>
          <w:p>
            <w:r/>
            <w:r>
              <w:rPr>
                <w:b w:val="0"/>
                <w:color w:val="2D3748"/>
                <w:sz w:val="19"/>
              </w:rPr>
              <w:t>Consulta y aceptación de lo recibido</w:t>
            </w:r>
          </w:p>
        </w:tc>
      </w:tr>
      <w:tr>
        <w:trPr>
          <w:cantSplit/>
        </w:trPr>
        <w:tc>
          <w:tcPr>
            <w:tcW w:type="dxa" w:w="1814"/>
          </w:tcPr>
          <w:p>
            <w:r/>
            <w:r>
              <w:rPr>
                <w:b/>
                <w:color w:val="2D3748"/>
                <w:sz w:val="19"/>
              </w:rPr>
              <w:t>Gerencia</w:t>
            </w:r>
          </w:p>
        </w:tc>
        <w:tc>
          <w:tcPr>
            <w:tcW w:type="dxa" w:w="3628"/>
          </w:tcPr>
          <w:p>
            <w:r/>
            <w:r>
              <w:rPr>
                <w:b w:val="0"/>
                <w:color w:val="2D3748"/>
                <w:sz w:val="19"/>
              </w:rPr>
              <w:t>Sobrecostos sin explicación</w:t>
            </w:r>
          </w:p>
        </w:tc>
        <w:tc>
          <w:tcPr>
            <w:tcW w:type="dxa" w:w="3969"/>
          </w:tcPr>
          <w:p>
            <w:r/>
            <w:r>
              <w:rPr>
                <w:b w:val="0"/>
                <w:color w:val="2D3748"/>
                <w:sz w:val="19"/>
              </w:rPr>
              <w:t>Indicadores con origen y comparación verificable</w:t>
            </w:r>
          </w:p>
        </w:tc>
      </w:tr>
    </w:tbl>
    <w:p>
      <w:pPr>
        <w:spacing w:after="80"/>
      </w:pPr>
    </w:p>
    <w:p>
      <w:pPr>
        <w:spacing w:after="160"/>
      </w:pPr>
      <w:r>
        <w:rPr>
          <w:b w:val="0"/>
          <w:i w:val="0"/>
          <w:color w:val="2D3748"/>
          <w:sz w:val="21"/>
        </w:rPr>
        <w:t>El comprador propuesto es una empresa de servicios de limpieza con operación distribuida; el decisor posible es operaciones o gerencia. Los beneficiarios finales son los puntos que mantienen su servicio de limpieza sin interrupciones.</w:t>
      </w:r>
    </w:p>
    <w:p>
      <w:pPr>
        <w:pStyle w:val="Heading1"/>
        <w:keepNext/>
        <w:spacing w:before="280" w:after="120"/>
        <w:pBdr>
          <w:bottom w:val="single" w:sz="12" w:space="4" w:color="00A7C4"/>
        </w:pBdr>
      </w:pPr>
      <w:r>
        <w:rPr>
          <w:b/>
          <w:color w:val="00A7C4"/>
          <w:sz w:val="34"/>
        </w:rPr>
        <w:t xml:space="preserve">3  </w:t>
      </w:r>
      <w:r>
        <w:rPr>
          <w:b/>
          <w:color w:val="2D3748"/>
          <w:sz w:val="34"/>
        </w:rPr>
        <w:t>Contexto: lo que dijo el sector</w:t>
      </w:r>
    </w:p>
    <w:p>
      <w:pPr>
        <w:spacing w:after="120"/>
      </w:pPr>
      <w:r>
        <w:rPr>
          <w:b w:val="0"/>
          <w:i w:val="0"/>
          <w:color w:val="2D3748"/>
          <w:sz w:val="21"/>
        </w:rPr>
        <w:t>La charla del sector de limpieza en Expo Clean (16-oct-2026) describió la operación desde la perspectiva del prestador del servicio. Tres testimonios sostienen el problema:</w:t>
      </w:r>
    </w:p>
    <w:p>
      <w:pPr>
        <w:spacing w:after="40"/>
        <w:pBdr>
          <w:left w:val="single" w:sz="36" w:space="8" w:color="00A7C4"/>
        </w:pBdr>
      </w:pPr>
      <w:r>
        <w:rPr>
          <w:i/>
          <w:color w:val="2D3748"/>
          <w:sz w:val="21"/>
        </w:rPr>
        <w:t>«No es lo mismo limpiar un quirófano, una sala de neonatos o una habitación.»</w:t>
      </w:r>
    </w:p>
    <w:p>
      <w:pPr>
        <w:spacing w:after="160"/>
      </w:pPr>
      <w:r>
        <w:rPr>
          <w:b w:val="0"/>
          <w:i w:val="0"/>
          <w:color w:val="64748B"/>
          <w:sz w:val="17"/>
        </w:rPr>
        <w:t>Prioridad por área crítica. Charla del sector, Expo Clean, 16-oct-2026.</w:t>
      </w:r>
    </w:p>
    <w:p>
      <w:pPr>
        <w:spacing w:after="40"/>
        <w:pBdr>
          <w:left w:val="single" w:sz="36" w:space="8" w:color="00A7C4"/>
        </w:pBdr>
      </w:pPr>
      <w:r>
        <w:rPr>
          <w:i/>
          <w:color w:val="2D3748"/>
          <w:sz w:val="21"/>
        </w:rPr>
        <w:t>«Muchas veces mis clientes no hacen compras programadas.»</w:t>
      </w:r>
    </w:p>
    <w:p>
      <w:pPr>
        <w:spacing w:after="160"/>
      </w:pPr>
      <w:r>
        <w:rPr>
          <w:b w:val="0"/>
          <w:i w:val="0"/>
          <w:color w:val="64748B"/>
          <w:sz w:val="17"/>
        </w:rPr>
        <w:t>Pedidos no programados que rompen las rutas. Charla del sector, Expo Clean, 16-oct-2026.</w:t>
      </w:r>
    </w:p>
    <w:p>
      <w:pPr>
        <w:keepNext/>
        <w:spacing w:after="80" w:before="160"/>
      </w:pPr>
      <w:r>
        <w:rPr>
          <w:b/>
          <w:i w:val="0"/>
          <w:color w:val="2D3748"/>
          <w:sz w:val="25"/>
        </w:rPr>
        <w:t>Los tres dolores, en síntesis</w:t>
      </w:r>
    </w:p>
    <w:tbl>
      <w:tblPr>
        <w:tblW w:type="auto" w:w="0"/>
        <w:tblLayout w:type="fixed"/>
        <w:tblLook w:firstColumn="1" w:firstRow="1" w:lastColumn="0" w:lastRow="0" w:noHBand="0" w:noVBand="1" w:val="04A0"/>
        <w:jc w:val="center"/>
        <w:tblBorders>
          <w:top w:val="single" w:sz="4" w:color="CBD5E1"/>
          <w:left w:val="single" w:sz="4" w:color="CBD5E1"/>
          <w:bottom w:val="single" w:sz="4" w:color="CBD5E1"/>
          <w:right w:val="single" w:sz="4" w:color="CBD5E1"/>
          <w:insideH w:val="single" w:sz="4" w:color="CBD5E1"/>
          <w:insideV w:val="single" w:sz="4" w:color="CBD5E1"/>
        </w:tblBorders>
        <w:tblLayout w:type="fixed"/>
      </w:tblPr>
      <w:tblGrid>
        <w:gridCol w:w="2041"/>
        <w:gridCol w:w="3402"/>
        <w:gridCol w:w="3969"/>
      </w:tblGrid>
      <w:tr>
        <w:trPr>
          <w:tblHeader/>
          <w:cantSplit/>
        </w:trPr>
        <w:tc>
          <w:tcPr>
            <w:tcW w:type="dxa" w:w="2041"/>
            <w:shd w:val="clear" w:color="auto" w:fill="2D3748"/>
          </w:tcPr>
          <w:p>
            <w:pPr>
              <w:jc w:val="center"/>
            </w:pPr>
            <w:r/>
            <w:r>
              <w:rPr>
                <w:b/>
                <w:color w:val="FFFFFF"/>
                <w:sz w:val="18"/>
              </w:rPr>
              <w:t>Dolor</w:t>
            </w:r>
          </w:p>
        </w:tc>
        <w:tc>
          <w:tcPr>
            <w:tcW w:type="dxa" w:w="3402"/>
            <w:shd w:val="clear" w:color="auto" w:fill="2D3748"/>
          </w:tcPr>
          <w:p>
            <w:pPr>
              <w:jc w:val="center"/>
            </w:pPr>
            <w:r/>
            <w:r>
              <w:rPr>
                <w:b/>
                <w:color w:val="FFFFFF"/>
                <w:sz w:val="18"/>
              </w:rPr>
              <w:t>Necesidad que expresa</w:t>
            </w:r>
          </w:p>
        </w:tc>
        <w:tc>
          <w:tcPr>
            <w:tcW w:type="dxa" w:w="3969"/>
            <w:shd w:val="clear" w:color="auto" w:fill="2D3748"/>
          </w:tcPr>
          <w:p>
            <w:pPr>
              <w:jc w:val="center"/>
            </w:pPr>
            <w:r/>
            <w:r>
              <w:rPr>
                <w:b/>
                <w:color w:val="FFFFFF"/>
                <w:sz w:val="18"/>
              </w:rPr>
              <w:t>Relación con IstpetDev</w:t>
            </w:r>
          </w:p>
        </w:tc>
      </w:tr>
      <w:tr>
        <w:trPr>
          <w:cantSplit/>
        </w:trPr>
        <w:tc>
          <w:tcPr>
            <w:tcW w:type="dxa" w:w="2041"/>
          </w:tcPr>
          <w:p>
            <w:r/>
            <w:r>
              <w:rPr>
                <w:b/>
                <w:color w:val="2D3748"/>
                <w:sz w:val="18"/>
              </w:rPr>
              <w:t>Aplicación correcta y verificable</w:t>
            </w:r>
          </w:p>
        </w:tc>
        <w:tc>
          <w:tcPr>
            <w:tcW w:type="dxa" w:w="3402"/>
          </w:tcPr>
          <w:p>
            <w:r/>
            <w:r>
              <w:rPr>
                <w:b w:val="0"/>
                <w:color w:val="2D3748"/>
                <w:sz w:val="18"/>
              </w:rPr>
              <w:t>Producto y dosificación según el área; la supervisión visual no comprueba qué se aplicó</w:t>
            </w:r>
          </w:p>
        </w:tc>
        <w:tc>
          <w:tcPr>
            <w:tcW w:type="dxa" w:w="3969"/>
          </w:tcPr>
          <w:p>
            <w:r/>
            <w:r>
              <w:rPr>
                <w:b w:val="0"/>
                <w:color w:val="2D3748"/>
                <w:sz w:val="18"/>
              </w:rPr>
              <w:t>La custodia hasta la recepción aporta evidencia logística. Verificar dosificación y eficacia queda fuera de este alcance.</w:t>
            </w:r>
          </w:p>
        </w:tc>
      </w:tr>
      <w:tr>
        <w:trPr>
          <w:cantSplit/>
        </w:trPr>
        <w:tc>
          <w:tcPr>
            <w:tcW w:type="dxa" w:w="2041"/>
          </w:tcPr>
          <w:p>
            <w:r/>
            <w:r>
              <w:rPr>
                <w:b/>
                <w:color w:val="2D3748"/>
                <w:sz w:val="18"/>
              </w:rPr>
              <w:t>Consumo y cantidades por área</w:t>
            </w:r>
          </w:p>
        </w:tc>
        <w:tc>
          <w:tcPr>
            <w:tcW w:type="dxa" w:w="3402"/>
          </w:tcPr>
          <w:p>
            <w:r/>
            <w:r>
              <w:rPr>
                <w:b w:val="0"/>
                <w:color w:val="2D3748"/>
                <w:sz w:val="18"/>
              </w:rPr>
              <w:t>Relacionar litros, dilución y m² para saber cuánto suministrar</w:t>
            </w:r>
          </w:p>
        </w:tc>
        <w:tc>
          <w:tcPr>
            <w:tcW w:type="dxa" w:w="3969"/>
          </w:tcPr>
          <w:p>
            <w:r/>
            <w:r>
              <w:rPr>
                <w:b w:val="0"/>
                <w:color w:val="2D3748"/>
                <w:sz w:val="18"/>
              </w:rPr>
              <w:t>Se contrastan consumos declarados con datos reales. El rendimiento por superficie requiere medición y ficha técnica.</w:t>
            </w:r>
          </w:p>
        </w:tc>
      </w:tr>
      <w:tr>
        <w:trPr>
          <w:cantSplit/>
        </w:trPr>
        <w:tc>
          <w:tcPr>
            <w:tcW w:type="dxa" w:w="2041"/>
          </w:tcPr>
          <w:p>
            <w:r/>
            <w:r>
              <w:rPr>
                <w:b/>
                <w:color w:val="2D3748"/>
                <w:sz w:val="18"/>
              </w:rPr>
              <w:t>Abastecimiento y transporte viables</w:t>
            </w:r>
          </w:p>
        </w:tc>
        <w:tc>
          <w:tcPr>
            <w:tcW w:type="dxa" w:w="3402"/>
          </w:tcPr>
          <w:p>
            <w:r/>
            <w:r>
              <w:rPr>
                <w:b w:val="0"/>
                <w:color w:val="2D3748"/>
                <w:sz w:val="18"/>
              </w:rPr>
              <w:t>Conciliar empaques, pedidos no programados y rutas consolidadas por zona</w:t>
            </w:r>
          </w:p>
        </w:tc>
        <w:tc>
          <w:tcPr>
            <w:tcW w:type="dxa" w:w="3969"/>
          </w:tcPr>
          <w:p>
            <w:r/>
            <w:r>
              <w:rPr>
                <w:b w:val="0"/>
                <w:color w:val="2D3748"/>
                <w:sz w:val="18"/>
              </w:rPr>
              <w:t>Es el vínculo directo con el Reto 1: inventario, reposición, capacidad, ventanas y trazabilidad.</w:t>
            </w:r>
          </w:p>
        </w:tc>
      </w:tr>
    </w:tbl>
    <w:p>
      <w:pPr>
        <w:spacing w:after="80"/>
      </w:pPr>
    </w:p>
    <w:p>
      <w:pPr>
        <w:pStyle w:val="Heading1"/>
        <w:keepNext/>
        <w:spacing w:before="280" w:after="120"/>
        <w:pBdr>
          <w:bottom w:val="single" w:sz="12" w:space="4" w:color="00A7C4"/>
        </w:pBdr>
      </w:pPr>
      <w:r>
        <w:rPr>
          <w:b/>
          <w:color w:val="00A7C4"/>
          <w:sz w:val="34"/>
        </w:rPr>
        <w:t xml:space="preserve">4  </w:t>
      </w:r>
      <w:r>
        <w:rPr>
          <w:b/>
          <w:color w:val="2D3748"/>
          <w:sz w:val="34"/>
        </w:rPr>
        <w:t>Qué evidencia tenemos y qué no</w:t>
      </w:r>
    </w:p>
    <w:p>
      <w:pPr>
        <w:spacing w:after="80"/>
      </w:pPr>
      <w:r>
        <w:rPr>
          <w:b w:val="0"/>
          <w:i w:val="0"/>
          <w:color w:val="2D3748"/>
          <w:sz w:val="21"/>
        </w:rPr>
        <w:t>Distinguimos lo que escuchamos de lo que medimos:</w:t>
      </w:r>
    </w:p>
    <w:p>
      <w:pPr>
        <w:pStyle w:val="ListBullet"/>
        <w:spacing w:after="60"/>
      </w:pPr>
      <w:r>
        <w:rPr>
          <w:b/>
          <w:color w:val="2D3748"/>
          <w:sz w:val="21"/>
        </w:rPr>
        <w:t xml:space="preserve">Tenemos: </w:t>
      </w:r>
      <w:r>
        <w:rPr>
          <w:b w:val="0"/>
          <w:color w:val="2D3748"/>
          <w:sz w:val="21"/>
        </w:rPr>
        <w:t>testimonios del sector recogidos en la charla del 16-oct y el escenario de referencia de 80 puntos planteado por el equipo (un hospital sin desinfectante cuando llama).</w:t>
      </w:r>
    </w:p>
    <w:p>
      <w:pPr>
        <w:pStyle w:val="ListBullet"/>
        <w:spacing w:after="60"/>
      </w:pPr>
      <w:r>
        <w:rPr>
          <w:b/>
          <w:color w:val="2D3748"/>
          <w:sz w:val="21"/>
        </w:rPr>
        <w:t xml:space="preserve">No tenemos: </w:t>
      </w:r>
      <w:r>
        <w:rPr>
          <w:b w:val="0"/>
          <w:color w:val="2D3748"/>
          <w:sz w:val="21"/>
        </w:rPr>
        <w:t>una entrevista con el comprador, un número de días de anticipación que el sector considere adecuado, ni cifras de pérdida por faltantes. El escenario de 80 puntos es una ilustración hasta que una empresa lo valide.</w:t>
      </w:r>
    </w:p>
    <w:p>
      <w:pPr>
        <w:pStyle w:val="ListBullet"/>
        <w:spacing w:after="60"/>
      </w:pPr>
      <w:r>
        <w:rPr>
          <w:b/>
          <w:color w:val="2D3748"/>
          <w:sz w:val="21"/>
        </w:rPr>
        <w:t xml:space="preserve">Ejemplos del expositor, no datos nuestros: </w:t>
      </w:r>
      <w:r>
        <w:rPr>
          <w:b w:val="0"/>
          <w:color w:val="2D3748"/>
          <w:sz w:val="21"/>
        </w:rPr>
        <w:t>las casi 400 referencias de producto, las promociones 6+1 y 12+2 y el mínimo de 15 entregas por camión son ejemplos del expositor, no límites del escenario.</w:t>
      </w:r>
    </w:p>
    <w:p>
      <w:pPr>
        <w:spacing w:after="160"/>
        <w:pBdr>
          <w:left w:val="single" w:sz="30" w:space="8" w:color="EA601F"/>
        </w:pBdr>
      </w:pPr>
      <w:r>
        <w:rPr>
          <w:b/>
          <w:color w:val="2D3748"/>
          <w:sz w:val="20"/>
        </w:rPr>
        <w:t xml:space="preserve">Límite: </w:t>
      </w:r>
      <w:r>
        <w:rPr>
          <w:b w:val="0"/>
          <w:color w:val="2D3748"/>
          <w:sz w:val="20"/>
        </w:rPr>
        <w:t>no se validaron los 80 puntos, el caso concreto del hospital, el ahorro, la disposición de pago ni la aceptación del producto. Por eso tratamos el problema como hipótesis fundada en testimonio, no como cifra.</w:t>
      </w:r>
    </w:p>
    <w:p>
      <w:pPr>
        <w:pStyle w:val="Heading1"/>
        <w:keepNext/>
        <w:spacing w:before="280" w:after="120"/>
        <w:pBdr>
          <w:bottom w:val="single" w:sz="12" w:space="4" w:color="00A7C4"/>
        </w:pBdr>
      </w:pPr>
      <w:r>
        <w:rPr>
          <w:b/>
          <w:color w:val="00A7C4"/>
          <w:sz w:val="34"/>
        </w:rPr>
        <w:t xml:space="preserve">5  </w:t>
      </w:r>
      <w:r>
        <w:rPr>
          <w:b/>
          <w:color w:val="2D3748"/>
          <w:sz w:val="34"/>
        </w:rPr>
        <w:t>Hipótesis que queremos validar</w:t>
      </w:r>
    </w:p>
    <w:p>
      <w:pPr>
        <w:spacing w:after="80"/>
      </w:pPr>
      <w:r>
        <w:rPr>
          <w:b w:val="0"/>
          <w:i w:val="0"/>
          <w:color w:val="64748B"/>
          <w:sz w:val="19"/>
        </w:rPr>
        <w:t>Ninguna está comprobada hoy; el entregable de Validación detalla qué sí se ejecutó.</w:t>
      </w:r>
    </w:p>
    <w:tbl>
      <w:tblPr>
        <w:tblW w:type="auto" w:w="0"/>
        <w:tblLayout w:type="fixed"/>
        <w:tblLook w:firstColumn="1" w:firstRow="1" w:lastColumn="0" w:lastRow="0" w:noHBand="0" w:noVBand="1" w:val="04A0"/>
        <w:jc w:val="center"/>
        <w:tblBorders>
          <w:top w:val="single" w:sz="4" w:color="CBD5E1"/>
          <w:left w:val="single" w:sz="4" w:color="CBD5E1"/>
          <w:bottom w:val="single" w:sz="4" w:color="CBD5E1"/>
          <w:right w:val="single" w:sz="4" w:color="CBD5E1"/>
          <w:insideH w:val="single" w:sz="4" w:color="CBD5E1"/>
          <w:insideV w:val="single" w:sz="4" w:color="CBD5E1"/>
        </w:tblBorders>
        <w:tblLayout w:type="fixed"/>
      </w:tblPr>
      <w:tblGrid>
        <w:gridCol w:w="907"/>
        <w:gridCol w:w="5102"/>
        <w:gridCol w:w="3402"/>
      </w:tblGrid>
      <w:tr>
        <w:trPr>
          <w:tblHeader/>
          <w:cantSplit/>
        </w:trPr>
        <w:tc>
          <w:tcPr>
            <w:tcW w:type="dxa" w:w="907"/>
            <w:shd w:val="clear" w:color="auto" w:fill="2D3748"/>
          </w:tcPr>
          <w:p>
            <w:pPr>
              <w:jc w:val="center"/>
            </w:pPr>
            <w:r/>
            <w:r>
              <w:rPr>
                <w:b/>
                <w:color w:val="FFFFFF"/>
                <w:sz w:val="18"/>
              </w:rPr>
              <w:t>ID</w:t>
            </w:r>
          </w:p>
        </w:tc>
        <w:tc>
          <w:tcPr>
            <w:tcW w:type="dxa" w:w="5102"/>
            <w:shd w:val="clear" w:color="auto" w:fill="2D3748"/>
          </w:tcPr>
          <w:p>
            <w:pPr>
              <w:jc w:val="center"/>
            </w:pPr>
            <w:r/>
            <w:r>
              <w:rPr>
                <w:b/>
                <w:color w:val="FFFFFF"/>
                <w:sz w:val="18"/>
              </w:rPr>
              <w:t>Hipótesis</w:t>
            </w:r>
          </w:p>
        </w:tc>
        <w:tc>
          <w:tcPr>
            <w:tcW w:type="dxa" w:w="3402"/>
            <w:shd w:val="clear" w:color="auto" w:fill="2D3748"/>
          </w:tcPr>
          <w:p>
            <w:pPr>
              <w:jc w:val="center"/>
            </w:pPr>
            <w:r/>
            <w:r>
              <w:rPr>
                <w:b/>
                <w:color w:val="FFFFFF"/>
                <w:sz w:val="18"/>
              </w:rPr>
              <w:t>Cómo se valida</w:t>
            </w:r>
          </w:p>
        </w:tc>
      </w:tr>
      <w:tr>
        <w:trPr>
          <w:cantSplit/>
        </w:trPr>
        <w:tc>
          <w:tcPr>
            <w:tcW w:type="dxa" w:w="907"/>
          </w:tcPr>
          <w:p>
            <w:r/>
            <w:r>
              <w:rPr>
                <w:b/>
                <w:color w:val="2D3748"/>
                <w:sz w:val="19"/>
              </w:rPr>
              <w:t>H-P1</w:t>
            </w:r>
          </w:p>
        </w:tc>
        <w:tc>
          <w:tcPr>
            <w:tcW w:type="dxa" w:w="5102"/>
          </w:tcPr>
          <w:p>
            <w:r/>
            <w:r>
              <w:rPr>
                <w:b w:val="0"/>
                <w:color w:val="2D3748"/>
                <w:sz w:val="19"/>
              </w:rPr>
              <w:t>Con inventario actualizado, la empresa planifica antes de que llame el cliente.</w:t>
            </w:r>
          </w:p>
        </w:tc>
        <w:tc>
          <w:tcPr>
            <w:tcW w:type="dxa" w:w="3402"/>
          </w:tcPr>
          <w:p>
            <w:r/>
            <w:r>
              <w:rPr>
                <w:b w:val="0"/>
                <w:color w:val="2D3748"/>
                <w:sz w:val="19"/>
              </w:rPr>
              <w:t>Piloto: comparar con la línea base de llamadas reactivas</w:t>
            </w:r>
          </w:p>
        </w:tc>
      </w:tr>
      <w:tr>
        <w:trPr>
          <w:cantSplit/>
        </w:trPr>
        <w:tc>
          <w:tcPr>
            <w:tcW w:type="dxa" w:w="907"/>
          </w:tcPr>
          <w:p>
            <w:r/>
            <w:r>
              <w:rPr>
                <w:b/>
                <w:color w:val="2D3748"/>
                <w:sz w:val="19"/>
              </w:rPr>
              <w:t>H-P2</w:t>
            </w:r>
          </w:p>
        </w:tc>
        <w:tc>
          <w:tcPr>
            <w:tcW w:type="dxa" w:w="5102"/>
          </w:tcPr>
          <w:p>
            <w:r/>
            <w:r>
              <w:rPr>
                <w:b w:val="0"/>
                <w:color w:val="2D3748"/>
                <w:sz w:val="19"/>
              </w:rPr>
              <w:t>Priorizar por cobertura y restricciones reduce urgencias sin empeorar el servicio.</w:t>
            </w:r>
          </w:p>
        </w:tc>
        <w:tc>
          <w:tcPr>
            <w:tcW w:type="dxa" w:w="3402"/>
          </w:tcPr>
          <w:p>
            <w:r/>
            <w:r>
              <w:rPr>
                <w:b w:val="0"/>
                <w:color w:val="2D3748"/>
                <w:sz w:val="19"/>
              </w:rPr>
              <w:t>Simulación (hecha, sintética) y piloto</w:t>
            </w:r>
          </w:p>
        </w:tc>
      </w:tr>
      <w:tr>
        <w:trPr>
          <w:cantSplit/>
        </w:trPr>
        <w:tc>
          <w:tcPr>
            <w:tcW w:type="dxa" w:w="907"/>
          </w:tcPr>
          <w:p>
            <w:r/>
            <w:r>
              <w:rPr>
                <w:b/>
                <w:color w:val="2D3748"/>
                <w:sz w:val="19"/>
              </w:rPr>
              <w:t>H-P3</w:t>
            </w:r>
          </w:p>
        </w:tc>
        <w:tc>
          <w:tcPr>
            <w:tcW w:type="dxa" w:w="5102"/>
          </w:tcPr>
          <w:p>
            <w:r/>
            <w:r>
              <w:rPr>
                <w:b w:val="0"/>
                <w:color w:val="2D3748"/>
                <w:sz w:val="19"/>
              </w:rPr>
              <w:t>Registrar cantidades y recepción reduce el tiempo de conciliar.</w:t>
            </w:r>
          </w:p>
        </w:tc>
        <w:tc>
          <w:tcPr>
            <w:tcW w:type="dxa" w:w="3402"/>
          </w:tcPr>
          <w:p>
            <w:r/>
            <w:r>
              <w:rPr>
                <w:b w:val="0"/>
                <w:color w:val="2D3748"/>
                <w:sz w:val="19"/>
              </w:rPr>
              <w:t>Piloto: tiempo de conciliación antes y después</w:t>
            </w:r>
          </w:p>
        </w:tc>
      </w:tr>
      <w:tr>
        <w:trPr>
          <w:cantSplit/>
        </w:trPr>
        <w:tc>
          <w:tcPr>
            <w:tcW w:type="dxa" w:w="907"/>
          </w:tcPr>
          <w:p>
            <w:r/>
            <w:r>
              <w:rPr>
                <w:b/>
                <w:color w:val="2D3748"/>
                <w:sz w:val="19"/>
              </w:rPr>
              <w:t>H-P4</w:t>
            </w:r>
          </w:p>
        </w:tc>
        <w:tc>
          <w:tcPr>
            <w:tcW w:type="dxa" w:w="5102"/>
          </w:tcPr>
          <w:p>
            <w:r/>
            <w:r>
              <w:rPr>
                <w:b w:val="0"/>
                <w:color w:val="2D3748"/>
                <w:sz w:val="19"/>
              </w:rPr>
              <w:t>El conductor puede cerrar una recepción sin señal sin ayuda.</w:t>
            </w:r>
          </w:p>
        </w:tc>
        <w:tc>
          <w:tcPr>
            <w:tcW w:type="dxa" w:w="3402"/>
          </w:tcPr>
          <w:p>
            <w:r/>
            <w:r>
              <w:rPr>
                <w:b w:val="0"/>
                <w:color w:val="2D3748"/>
                <w:sz w:val="19"/>
              </w:rPr>
              <w:t>Prueba en teléfono real (pendiente)</w:t>
            </w:r>
          </w:p>
        </w:tc>
      </w:tr>
      <w:tr>
        <w:trPr>
          <w:cantSplit/>
        </w:trPr>
        <w:tc>
          <w:tcPr>
            <w:tcW w:type="dxa" w:w="907"/>
          </w:tcPr>
          <w:p>
            <w:r/>
            <w:r>
              <w:rPr>
                <w:b/>
                <w:color w:val="2D3748"/>
                <w:sz w:val="19"/>
              </w:rPr>
              <w:t>H-P5</w:t>
            </w:r>
          </w:p>
        </w:tc>
        <w:tc>
          <w:tcPr>
            <w:tcW w:type="dxa" w:w="5102"/>
          </w:tcPr>
          <w:p>
            <w:r/>
            <w:r>
              <w:rPr>
                <w:b w:val="0"/>
                <w:color w:val="2D3748"/>
                <w:sz w:val="19"/>
              </w:rPr>
              <w:t>La empresa pagaría por evitar interrupciones y medir ahorro.</w:t>
            </w:r>
          </w:p>
        </w:tc>
        <w:tc>
          <w:tcPr>
            <w:tcW w:type="dxa" w:w="3402"/>
          </w:tcPr>
          <w:p>
            <w:r/>
            <w:r>
              <w:rPr>
                <w:b w:val="0"/>
                <w:color w:val="2D3748"/>
                <w:sz w:val="19"/>
              </w:rPr>
              <w:t>Entrevistas y contraparte de piloto (pendiente)</w:t>
            </w:r>
          </w:p>
        </w:tc>
      </w:tr>
    </w:tbl>
    <w:p>
      <w:pPr>
        <w:spacing w:after="80"/>
      </w:pPr>
    </w:p>
    <w:sectPr w:rsidR="00FC693F" w:rsidRPr="0006063C" w:rsidSect="00034616">
      <w:pgSz w:w="11906" w:h="16838"/>
      <w:pgMar w:top="1134" w:right="1247" w:bottom="1134" w:left="124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 xml:space="preserve">IstpetDev · Hackathon Expo Clean Ecuador 2026 · Reto 1 · Entregable 1 — Problema · pág. </w:t>
    </w:r>
    <w:r>
      <w:rPr>
        <w:color w:val="64748B"/>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color w:val="2D374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